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800" w:lineRule="exact"/>
        <w:jc w:val="center"/>
        <w:rPr>
          <w:rFonts w:hint="eastAsia" w:ascii="方正小标宋_GBK" w:hAnsi="宋体" w:eastAsia="方正小标宋_GBK" w:cs="宋体"/>
          <w:bCs/>
          <w:w w:val="90"/>
          <w:kern w:val="0"/>
          <w:sz w:val="36"/>
          <w:szCs w:val="36"/>
        </w:rPr>
      </w:pPr>
    </w:p>
    <w:p>
      <w:pPr>
        <w:widowControl/>
        <w:spacing w:before="100" w:beforeAutospacing="1" w:after="100" w:afterAutospacing="1" w:line="800" w:lineRule="exact"/>
        <w:jc w:val="center"/>
        <w:rPr>
          <w:rFonts w:hint="eastAsia" w:ascii="方正小标宋_GBK" w:hAnsi="宋体" w:eastAsia="方正小标宋_GBK" w:cs="宋体"/>
          <w:bCs/>
          <w:w w:val="90"/>
          <w:kern w:val="0"/>
          <w:sz w:val="36"/>
          <w:szCs w:val="36"/>
        </w:rPr>
      </w:pPr>
      <w:r>
        <w:rPr>
          <w:rFonts w:hint="eastAsia" w:ascii="方正小标宋_GBK" w:hAnsi="宋体" w:eastAsia="方正小标宋_GBK" w:cs="宋体"/>
          <w:bCs/>
          <w:w w:val="90"/>
          <w:kern w:val="0"/>
          <w:sz w:val="36"/>
          <w:szCs w:val="36"/>
        </w:rPr>
        <w:t>宜良县部门（单位）整体支出绩效评价自评报告</w:t>
      </w:r>
    </w:p>
    <w:p>
      <w:pPr>
        <w:widowControl/>
        <w:spacing w:before="100" w:beforeAutospacing="1" w:after="100" w:afterAutospacing="1" w:line="800" w:lineRule="exact"/>
        <w:jc w:val="center"/>
        <w:rPr>
          <w:rFonts w:hint="eastAsia" w:ascii="黑体" w:hAnsi="宋体" w:eastAsia="黑体" w:cs="宋体"/>
          <w:bCs/>
          <w:kern w:val="0"/>
          <w:sz w:val="44"/>
          <w:szCs w:val="44"/>
        </w:rPr>
      </w:pPr>
      <w:r>
        <w:rPr>
          <w:rFonts w:hint="eastAsia" w:ascii="楷体_GB2312" w:hAnsi="宋体" w:eastAsia="楷体_GB2312" w:cs="宋体"/>
          <w:bCs/>
          <w:kern w:val="0"/>
          <w:sz w:val="24"/>
          <w:szCs w:val="32"/>
        </w:rPr>
        <w:t>（　</w:t>
      </w:r>
      <w:r>
        <w:rPr>
          <w:rFonts w:hint="eastAsia" w:ascii="楷体_GB2312" w:hAnsi="宋体" w:eastAsia="楷体_GB2312" w:cs="宋体"/>
          <w:bCs/>
          <w:kern w:val="0"/>
          <w:sz w:val="24"/>
          <w:szCs w:val="32"/>
          <w:lang w:val="en-US" w:eastAsia="zh-CN"/>
        </w:rPr>
        <w:t>2020</w:t>
      </w:r>
      <w:r>
        <w:rPr>
          <w:rFonts w:hint="eastAsia" w:ascii="楷体_GB2312" w:hAnsi="宋体" w:eastAsia="楷体_GB2312" w:cs="宋体"/>
          <w:bCs/>
          <w:kern w:val="0"/>
          <w:sz w:val="24"/>
          <w:szCs w:val="32"/>
        </w:rPr>
        <w:t>年度）</w:t>
      </w:r>
    </w:p>
    <w:p>
      <w:pPr>
        <w:widowControl/>
        <w:spacing w:before="100" w:beforeAutospacing="1" w:after="100" w:afterAutospacing="1" w:line="460" w:lineRule="atLeast"/>
        <w:jc w:val="left"/>
        <w:rPr>
          <w:rFonts w:ascii="宋体" w:hAnsi="宋体" w:eastAsia="仿宋_GB2312" w:cs="宋体"/>
          <w:b/>
          <w:kern w:val="0"/>
          <w:sz w:val="24"/>
        </w:rPr>
      </w:pPr>
    </w:p>
    <w:p>
      <w:pPr>
        <w:widowControl/>
        <w:spacing w:before="100" w:beforeAutospacing="1" w:after="100" w:afterAutospacing="1" w:line="460" w:lineRule="atLeast"/>
        <w:jc w:val="left"/>
        <w:rPr>
          <w:rFonts w:ascii="宋体" w:hAnsi="宋体" w:eastAsia="仿宋_GB2312" w:cs="宋体"/>
          <w:b/>
          <w:kern w:val="0"/>
          <w:sz w:val="32"/>
          <w:szCs w:val="32"/>
        </w:rPr>
      </w:pPr>
    </w:p>
    <w:p>
      <w:pPr>
        <w:widowControl/>
        <w:spacing w:before="156" w:beforeLines="50" w:after="100" w:afterAutospacing="1" w:line="348" w:lineRule="auto"/>
        <w:ind w:firstLine="830" w:firstLineChars="346"/>
        <w:jc w:val="left"/>
        <w:rPr>
          <w:rFonts w:ascii="宋体" w:hAnsi="宋体" w:eastAsia="仿宋_GB2312" w:cs="宋体"/>
          <w:kern w:val="0"/>
          <w:sz w:val="24"/>
          <w:u w:val="single"/>
        </w:rPr>
      </w:pPr>
      <w:r>
        <w:rPr>
          <w:rFonts w:hint="eastAsia" w:hAnsi="宋体" w:eastAsia="仿宋_GB2312" w:cs="宋体"/>
          <w:kern w:val="0"/>
          <w:sz w:val="24"/>
        </w:rPr>
        <w:t>部门</w:t>
      </w:r>
      <w:r>
        <w:rPr>
          <w:rFonts w:ascii="宋体" w:hAnsi="宋体" w:eastAsia="仿宋_GB2312" w:cs="宋体"/>
          <w:kern w:val="0"/>
          <w:sz w:val="24"/>
        </w:rPr>
        <w:t>(</w:t>
      </w:r>
      <w:r>
        <w:rPr>
          <w:rFonts w:hint="eastAsia" w:hAnsi="宋体" w:eastAsia="仿宋_GB2312" w:cs="宋体"/>
          <w:kern w:val="0"/>
          <w:sz w:val="24"/>
        </w:rPr>
        <w:t>单位</w:t>
      </w:r>
      <w:r>
        <w:rPr>
          <w:rFonts w:ascii="宋体" w:hAnsi="宋体" w:eastAsia="仿宋_GB2312" w:cs="宋体"/>
          <w:kern w:val="0"/>
          <w:sz w:val="24"/>
        </w:rPr>
        <w:t>)</w:t>
      </w:r>
      <w:r>
        <w:rPr>
          <w:rFonts w:hint="eastAsia" w:hAnsi="宋体" w:eastAsia="仿宋_GB2312" w:cs="宋体"/>
          <w:kern w:val="0"/>
          <w:sz w:val="24"/>
        </w:rPr>
        <w:t>名称</w:t>
      </w:r>
      <w:r>
        <w:rPr>
          <w:rFonts w:ascii="宋体" w:hAnsi="宋体" w:eastAsia="仿宋_GB2312" w:cs="宋体"/>
          <w:kern w:val="0"/>
          <w:sz w:val="24"/>
          <w:u w:val="single"/>
        </w:rPr>
        <w:t xml:space="preserve">   </w:t>
      </w:r>
      <w:r>
        <w:rPr>
          <w:rFonts w:hint="eastAsia" w:ascii="宋体" w:hAnsi="宋体" w:eastAsia="仿宋_GB2312" w:cs="宋体"/>
          <w:kern w:val="0"/>
          <w:sz w:val="24"/>
          <w:u w:val="single"/>
          <w:lang w:eastAsia="zh-CN"/>
        </w:rPr>
        <w:t>宜良县农业农村局</w:t>
      </w:r>
      <w:r>
        <w:rPr>
          <w:rFonts w:ascii="宋体" w:hAnsi="宋体" w:eastAsia="仿宋_GB2312" w:cs="宋体"/>
          <w:kern w:val="0"/>
          <w:sz w:val="24"/>
          <w:u w:val="single"/>
        </w:rPr>
        <w:t xml:space="preserve">              </w:t>
      </w:r>
      <w:r>
        <w:rPr>
          <w:rFonts w:hint="eastAsia" w:ascii="宋体" w:hAnsi="宋体" w:eastAsia="仿宋_GB2312" w:cs="宋体"/>
          <w:kern w:val="0"/>
          <w:sz w:val="24"/>
          <w:u w:val="single"/>
          <w:lang w:val="en-US" w:eastAsia="zh-CN"/>
        </w:rPr>
        <w:t xml:space="preserve">      </w:t>
      </w:r>
      <w:r>
        <w:rPr>
          <w:rFonts w:ascii="宋体" w:hAnsi="宋体" w:eastAsia="仿宋_GB2312" w:cs="宋体"/>
          <w:kern w:val="0"/>
          <w:sz w:val="24"/>
          <w:u w:val="single"/>
        </w:rPr>
        <w:t xml:space="preserve"> </w:t>
      </w:r>
    </w:p>
    <w:p>
      <w:pPr>
        <w:widowControl/>
        <w:spacing w:before="156" w:beforeLines="50" w:after="100" w:afterAutospacing="1" w:line="348" w:lineRule="auto"/>
        <w:ind w:firstLine="830" w:firstLineChars="346"/>
        <w:jc w:val="left"/>
        <w:rPr>
          <w:rFonts w:ascii="宋体" w:hAnsi="宋体" w:eastAsia="仿宋_GB2312" w:cs="宋体"/>
          <w:kern w:val="0"/>
          <w:sz w:val="24"/>
        </w:rPr>
      </w:pPr>
      <w:r>
        <w:rPr>
          <w:rFonts w:hint="eastAsia" w:hAnsi="宋体" w:eastAsia="仿宋_GB2312" w:cs="宋体"/>
          <w:kern w:val="0"/>
          <w:sz w:val="24"/>
        </w:rPr>
        <w:t>预算编码</w:t>
      </w:r>
      <w:r>
        <w:rPr>
          <w:rFonts w:ascii="宋体" w:hAnsi="宋体" w:eastAsia="仿宋_GB2312" w:cs="宋体"/>
          <w:kern w:val="0"/>
          <w:sz w:val="24"/>
          <w:u w:val="single"/>
        </w:rPr>
        <w:t xml:space="preserve">   </w:t>
      </w:r>
      <w:r>
        <w:rPr>
          <w:rFonts w:hint="eastAsia" w:ascii="宋体" w:hAnsi="宋体" w:eastAsia="仿宋_GB2312" w:cs="宋体"/>
          <w:kern w:val="0"/>
          <w:sz w:val="24"/>
          <w:u w:val="single"/>
          <w:lang w:val="en-US" w:eastAsia="zh-CN"/>
        </w:rPr>
        <w:t>125001</w:t>
      </w:r>
      <w:r>
        <w:rPr>
          <w:rFonts w:ascii="宋体" w:hAnsi="宋体" w:eastAsia="仿宋_GB2312" w:cs="宋体"/>
          <w:kern w:val="0"/>
          <w:sz w:val="24"/>
          <w:u w:val="single"/>
        </w:rPr>
        <w:t xml:space="preserve">                                      </w:t>
      </w:r>
    </w:p>
    <w:p>
      <w:pPr>
        <w:widowControl/>
        <w:spacing w:before="156" w:beforeLines="50" w:after="100" w:afterAutospacing="1" w:line="348" w:lineRule="auto"/>
        <w:ind w:firstLine="948" w:firstLineChars="395"/>
        <w:jc w:val="left"/>
        <w:rPr>
          <w:rFonts w:ascii="宋体" w:hAnsi="宋体" w:eastAsia="仿宋_GB2312" w:cs="宋体"/>
          <w:kern w:val="0"/>
          <w:sz w:val="24"/>
        </w:rPr>
      </w:pPr>
      <w:bookmarkStart w:id="0" w:name="_GoBack"/>
      <w:bookmarkEnd w:id="0"/>
      <w:r>
        <w:rPr>
          <w:rFonts w:hint="eastAsia" w:hAnsi="宋体" w:eastAsia="仿宋_GB2312" w:cs="宋体"/>
          <w:kern w:val="0"/>
          <w:sz w:val="24"/>
        </w:rPr>
        <w:t>评价方式：部门（单位）绩效自评</w:t>
      </w:r>
    </w:p>
    <w:p>
      <w:pPr>
        <w:widowControl/>
        <w:spacing w:before="156" w:beforeLines="50" w:after="100" w:afterAutospacing="1" w:line="348" w:lineRule="auto"/>
        <w:ind w:firstLine="948" w:firstLineChars="395"/>
        <w:jc w:val="left"/>
        <w:rPr>
          <w:rFonts w:ascii="宋体" w:hAnsi="宋体" w:eastAsia="仿宋_GB2312" w:cs="宋体"/>
          <w:kern w:val="0"/>
          <w:sz w:val="24"/>
        </w:rPr>
      </w:pPr>
      <w:r>
        <w:rPr>
          <w:rFonts w:hint="eastAsia" w:hAnsi="宋体" w:eastAsia="仿宋_GB2312" w:cs="宋体"/>
          <w:kern w:val="0"/>
          <w:sz w:val="24"/>
        </w:rPr>
        <w:t>评价机构：部门（单位）评价组</w:t>
      </w:r>
      <w:r>
        <w:rPr>
          <w:rFonts w:ascii="宋体" w:hAnsi="宋体" w:eastAsia="仿宋_GB2312" w:cs="宋体"/>
          <w:kern w:val="0"/>
          <w:sz w:val="24"/>
        </w:rPr>
        <w:t xml:space="preserve">   </w:t>
      </w:r>
    </w:p>
    <w:p>
      <w:pPr>
        <w:widowControl/>
        <w:spacing w:before="100" w:beforeAutospacing="1" w:after="100" w:afterAutospacing="1" w:line="348" w:lineRule="auto"/>
        <w:ind w:firstLine="1656" w:firstLineChars="690"/>
        <w:jc w:val="left"/>
        <w:rPr>
          <w:rFonts w:hint="eastAsia" w:hAnsi="宋体" w:eastAsia="仿宋_GB2312" w:cs="宋体"/>
          <w:kern w:val="0"/>
          <w:sz w:val="24"/>
        </w:rPr>
      </w:pPr>
    </w:p>
    <w:p>
      <w:pPr>
        <w:widowControl/>
        <w:spacing w:before="100" w:beforeAutospacing="1" w:after="100" w:afterAutospacing="1" w:line="348" w:lineRule="auto"/>
        <w:ind w:firstLine="1656" w:firstLineChars="690"/>
        <w:jc w:val="left"/>
        <w:rPr>
          <w:rFonts w:hint="eastAsia" w:hAnsi="宋体" w:eastAsia="仿宋_GB2312" w:cs="宋体"/>
          <w:kern w:val="0"/>
          <w:sz w:val="24"/>
        </w:rPr>
      </w:pPr>
    </w:p>
    <w:p>
      <w:pPr>
        <w:widowControl/>
        <w:spacing w:before="100" w:beforeAutospacing="1" w:after="100" w:afterAutospacing="1" w:line="348" w:lineRule="auto"/>
        <w:ind w:firstLine="1656" w:firstLineChars="690"/>
        <w:jc w:val="left"/>
        <w:rPr>
          <w:rFonts w:hint="eastAsia" w:hAnsi="宋体" w:eastAsia="仿宋_GB2312" w:cs="宋体"/>
          <w:kern w:val="0"/>
          <w:sz w:val="24"/>
        </w:rPr>
      </w:pPr>
    </w:p>
    <w:p>
      <w:pPr>
        <w:widowControl/>
        <w:spacing w:before="100" w:beforeAutospacing="1" w:after="100" w:afterAutospacing="1" w:line="348" w:lineRule="auto"/>
        <w:ind w:firstLine="1650" w:firstLineChars="550"/>
        <w:jc w:val="left"/>
        <w:rPr>
          <w:rFonts w:ascii="宋体" w:hAnsi="宋体" w:eastAsia="仿宋_GB2312" w:cs="宋体"/>
          <w:kern w:val="0"/>
          <w:sz w:val="30"/>
          <w:szCs w:val="30"/>
        </w:rPr>
      </w:pPr>
      <w:r>
        <w:rPr>
          <w:rFonts w:hint="eastAsia" w:hAnsi="宋体" w:eastAsia="仿宋_GB2312" w:cs="宋体"/>
          <w:kern w:val="0"/>
          <w:sz w:val="30"/>
          <w:szCs w:val="30"/>
        </w:rPr>
        <w:t>报告日期：</w:t>
      </w:r>
      <w:r>
        <w:rPr>
          <w:rFonts w:hint="eastAsia" w:ascii="宋体" w:hAnsi="宋体" w:eastAsia="仿宋_GB2312" w:cs="宋体"/>
          <w:kern w:val="0"/>
          <w:sz w:val="30"/>
          <w:szCs w:val="30"/>
          <w:lang w:val="en-US" w:eastAsia="zh-CN"/>
        </w:rPr>
        <w:t>2021</w:t>
      </w:r>
      <w:r>
        <w:rPr>
          <w:rFonts w:hint="eastAsia" w:hAnsi="宋体" w:eastAsia="仿宋_GB2312" w:cs="宋体"/>
          <w:kern w:val="0"/>
          <w:sz w:val="30"/>
          <w:szCs w:val="30"/>
        </w:rPr>
        <w:t>年</w:t>
      </w:r>
      <w:r>
        <w:rPr>
          <w:rFonts w:hint="eastAsia" w:ascii="宋体" w:hAnsi="宋体" w:eastAsia="仿宋_GB2312" w:cs="宋体"/>
          <w:kern w:val="0"/>
          <w:sz w:val="30"/>
          <w:szCs w:val="30"/>
          <w:lang w:val="en-US" w:eastAsia="zh-CN"/>
        </w:rPr>
        <w:t>5</w:t>
      </w:r>
      <w:r>
        <w:rPr>
          <w:rFonts w:hint="eastAsia" w:hAnsi="宋体" w:eastAsia="仿宋_GB2312" w:cs="宋体"/>
          <w:kern w:val="0"/>
          <w:sz w:val="30"/>
          <w:szCs w:val="30"/>
        </w:rPr>
        <w:t>月</w:t>
      </w:r>
      <w:r>
        <w:rPr>
          <w:rFonts w:hint="eastAsia" w:ascii="宋体" w:hAnsi="宋体" w:eastAsia="仿宋_GB2312" w:cs="宋体"/>
          <w:kern w:val="0"/>
          <w:sz w:val="30"/>
          <w:szCs w:val="30"/>
          <w:lang w:val="en-US" w:eastAsia="zh-CN"/>
        </w:rPr>
        <w:t>27</w:t>
      </w:r>
      <w:r>
        <w:rPr>
          <w:rFonts w:hint="eastAsia" w:hAnsi="宋体" w:eastAsia="仿宋_GB2312" w:cs="宋体"/>
          <w:kern w:val="0"/>
          <w:sz w:val="30"/>
          <w:szCs w:val="30"/>
        </w:rPr>
        <w:t>日</w:t>
      </w:r>
    </w:p>
    <w:p>
      <w:pPr>
        <w:widowControl/>
        <w:spacing w:before="100" w:beforeAutospacing="1" w:after="100" w:afterAutospacing="1" w:line="348" w:lineRule="auto"/>
        <w:jc w:val="center"/>
        <w:rPr>
          <w:rFonts w:hint="eastAsia" w:ascii="宋体" w:hAnsi="宋体" w:eastAsia="仿宋_GB2312" w:cs="宋体"/>
          <w:kern w:val="0"/>
          <w:sz w:val="30"/>
          <w:szCs w:val="30"/>
        </w:rPr>
      </w:pPr>
      <w:r>
        <w:rPr>
          <w:rFonts w:hint="eastAsia" w:hAnsi="宋体" w:eastAsia="仿宋_GB2312" w:cs="宋体"/>
          <w:kern w:val="0"/>
          <w:sz w:val="30"/>
          <w:szCs w:val="30"/>
        </w:rPr>
        <w:t>宜良</w:t>
      </w:r>
      <w:r>
        <w:rPr>
          <w:rFonts w:hint="eastAsia" w:hAnsi="宋体" w:eastAsia="仿宋_GB2312" w:cs="宋体"/>
          <w:kern w:val="0"/>
          <w:sz w:val="30"/>
          <w:szCs w:val="30"/>
          <w:highlight w:val="none"/>
        </w:rPr>
        <w:t>县</w:t>
      </w:r>
      <w:r>
        <w:rPr>
          <w:rFonts w:hint="eastAsia" w:hAnsi="宋体" w:eastAsia="仿宋_GB2312" w:cs="宋体"/>
          <w:kern w:val="0"/>
          <w:sz w:val="30"/>
          <w:szCs w:val="30"/>
          <w:highlight w:val="none"/>
          <w:lang w:val="en-US" w:eastAsia="zh-CN"/>
        </w:rPr>
        <w:t>财政局</w:t>
      </w:r>
      <w:r>
        <w:rPr>
          <w:rFonts w:hint="eastAsia" w:hAnsi="宋体" w:eastAsia="仿宋_GB2312" w:cs="宋体"/>
          <w:kern w:val="0"/>
          <w:sz w:val="30"/>
          <w:szCs w:val="30"/>
        </w:rPr>
        <w:t>（制）</w:t>
      </w:r>
    </w:p>
    <w:p>
      <w:pPr>
        <w:widowControl/>
        <w:spacing w:before="100" w:beforeAutospacing="1" w:after="100" w:afterAutospacing="1" w:line="600" w:lineRule="exact"/>
        <w:ind w:right="641"/>
        <w:jc w:val="center"/>
        <w:rPr>
          <w:rFonts w:hint="eastAsia" w:ascii="黑体" w:hAnsi="宋体" w:eastAsia="黑体" w:cs="宋体"/>
          <w:kern w:val="0"/>
          <w:sz w:val="44"/>
          <w:szCs w:val="44"/>
        </w:rPr>
      </w:pPr>
    </w:p>
    <w:p>
      <w:pPr>
        <w:widowControl/>
        <w:spacing w:before="100" w:beforeAutospacing="1" w:after="100" w:afterAutospacing="1" w:line="600" w:lineRule="exact"/>
        <w:ind w:right="641"/>
        <w:jc w:val="center"/>
        <w:rPr>
          <w:rFonts w:hint="eastAsia" w:ascii="黑体" w:hAnsi="宋体" w:eastAsia="黑体" w:cs="宋体"/>
          <w:kern w:val="0"/>
          <w:sz w:val="44"/>
          <w:szCs w:val="44"/>
        </w:rPr>
      </w:pPr>
    </w:p>
    <w:p>
      <w:pPr>
        <w:widowControl/>
        <w:spacing w:before="100" w:beforeAutospacing="1" w:after="100" w:afterAutospacing="1" w:line="600" w:lineRule="exact"/>
        <w:ind w:right="641"/>
        <w:rPr>
          <w:rFonts w:hint="eastAsia" w:ascii="黑体" w:hAnsi="宋体" w:eastAsia="黑体" w:cs="宋体"/>
          <w:kern w:val="0"/>
          <w:sz w:val="44"/>
          <w:szCs w:val="44"/>
        </w:rPr>
      </w:pPr>
    </w:p>
    <w:p>
      <w:pPr>
        <w:widowControl/>
        <w:shd w:val="clear" w:color="auto" w:fill="FFFFFF"/>
        <w:spacing w:line="560" w:lineRule="atLeast"/>
        <w:ind w:firstLine="630"/>
        <w:rPr>
          <w:rFonts w:hint="eastAsia" w:ascii="仿宋_GB2312" w:hAnsi="Arial" w:eastAsia="仿宋_GB2312" w:cs="Arial"/>
          <w:color w:val="000000"/>
          <w:kern w:val="0"/>
          <w:sz w:val="32"/>
          <w:szCs w:val="32"/>
        </w:rPr>
      </w:pPr>
    </w:p>
    <w:tbl>
      <w:tblPr>
        <w:tblStyle w:val="4"/>
        <w:tblW w:w="10520" w:type="dxa"/>
        <w:tblInd w:w="-7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7"/>
        <w:gridCol w:w="366"/>
        <w:gridCol w:w="132"/>
        <w:gridCol w:w="144"/>
        <w:gridCol w:w="480"/>
        <w:gridCol w:w="735"/>
        <w:gridCol w:w="334"/>
        <w:gridCol w:w="1005"/>
        <w:gridCol w:w="420"/>
        <w:gridCol w:w="1035"/>
        <w:gridCol w:w="50"/>
        <w:gridCol w:w="220"/>
        <w:gridCol w:w="144"/>
        <w:gridCol w:w="1320"/>
        <w:gridCol w:w="144"/>
        <w:gridCol w:w="420"/>
        <w:gridCol w:w="738"/>
        <w:gridCol w:w="240"/>
        <w:gridCol w:w="360"/>
        <w:gridCol w:w="108"/>
        <w:gridCol w:w="132"/>
        <w:gridCol w:w="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520" w:type="dxa"/>
            <w:gridSpan w:val="2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黑体" w:hAnsi="黑体" w:eastAsia="黑体" w:cs="黑体"/>
                <w:b/>
                <w:color w:val="000000"/>
                <w:kern w:val="0"/>
                <w:sz w:val="24"/>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9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联系人</w:t>
            </w:r>
          </w:p>
        </w:tc>
        <w:tc>
          <w:tcPr>
            <w:tcW w:w="4921" w:type="dxa"/>
            <w:gridSpan w:val="11"/>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3006"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联络电话</w:t>
            </w:r>
          </w:p>
        </w:tc>
        <w:tc>
          <w:tcPr>
            <w:tcW w:w="139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9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人员编制</w:t>
            </w:r>
          </w:p>
        </w:tc>
        <w:tc>
          <w:tcPr>
            <w:tcW w:w="4921" w:type="dxa"/>
            <w:gridSpan w:val="11"/>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258</w:t>
            </w:r>
          </w:p>
        </w:tc>
        <w:tc>
          <w:tcPr>
            <w:tcW w:w="3006"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实有人数</w:t>
            </w:r>
          </w:p>
        </w:tc>
        <w:tc>
          <w:tcPr>
            <w:tcW w:w="139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352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19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职能职责概述</w:t>
            </w:r>
          </w:p>
        </w:tc>
        <w:tc>
          <w:tcPr>
            <w:tcW w:w="9323" w:type="dxa"/>
            <w:gridSpan w:val="21"/>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（一）</w:t>
            </w:r>
            <w:r>
              <w:rPr>
                <w:rFonts w:hint="eastAsia" w:ascii="仿宋_GB2312" w:hAnsi="仿宋_GB2312" w:eastAsia="仿宋_GB2312" w:cs="仿宋_GB2312"/>
                <w:sz w:val="30"/>
                <w:szCs w:val="30"/>
                <w:lang w:eastAsia="zh-CN"/>
              </w:rPr>
              <w:t>坚持党管农村，</w:t>
            </w:r>
            <w:r>
              <w:rPr>
                <w:rFonts w:hint="eastAsia" w:ascii="仿宋_GB2312" w:hAnsi="仿宋_GB2312" w:eastAsia="仿宋_GB2312" w:cs="仿宋_GB2312"/>
                <w:sz w:val="30"/>
                <w:szCs w:val="30"/>
              </w:rPr>
              <w:t>统筹研究和组织实施“三农”工作的发展战略、中长期规划、重大政策。负责农业行政综合执法</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（二）负责全县扶贫开发工作的统筹、落实、督促、协调、 指导各级各部门开展扶贫开发工作；负责拟订全县扶贫开发发展战略、工作措施、发展规划、目标任务下达和年度总结计划等；组织学习党中央、国务院、省市扶贫办有关扶贫政策和业务工作的业务培训，负责全县扶贫系统统计监测信息工作；负责做好全县各级各部门扶贫工作绩效考评工作。</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w:t>
            </w:r>
            <w:r>
              <w:rPr>
                <w:rFonts w:hint="eastAsia" w:ascii="仿宋_GB2312" w:hAnsi="仿宋_GB2312" w:eastAsia="仿宋_GB2312" w:cs="仿宋_GB2312"/>
                <w:sz w:val="30"/>
                <w:szCs w:val="30"/>
                <w:lang w:eastAsia="zh-CN"/>
              </w:rPr>
              <w:t>组织实施乡村振兴战略，</w:t>
            </w:r>
            <w:r>
              <w:rPr>
                <w:rFonts w:hint="eastAsia" w:ascii="仿宋_GB2312" w:hAnsi="仿宋_GB2312" w:eastAsia="仿宋_GB2312" w:cs="仿宋_GB2312"/>
                <w:sz w:val="30"/>
                <w:szCs w:val="30"/>
              </w:rPr>
              <w:t>统筹推动发展农村社会事业、农村公共服务、农村文化、农村基础设施和乡村治理。牵头组织改善农村人居环境。指导农村精神文明和优秀农耕文化建设。指导农业行业安全生产工作。</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承担完善农村经营管理体制的责任。提出深化农村经济体制改革和稳定完善农村基本经营制度的政策建设，指导农村土地承包、土地承包经营权流转；指导、监督减轻农民负担和村民筹资筹劳管理工作；负责农民承包地</w:t>
            </w:r>
            <w:r>
              <w:rPr>
                <w:rFonts w:hint="eastAsia" w:ascii="仿宋_GB2312" w:hAnsi="仿宋_GB2312" w:eastAsia="仿宋_GB2312" w:cs="仿宋_GB2312"/>
                <w:sz w:val="30"/>
                <w:szCs w:val="30"/>
                <w:lang w:eastAsia="zh-CN"/>
              </w:rPr>
              <w:t>改革和</w:t>
            </w:r>
            <w:r>
              <w:rPr>
                <w:rFonts w:hint="eastAsia" w:ascii="仿宋_GB2312" w:hAnsi="仿宋_GB2312" w:eastAsia="仿宋_GB2312" w:cs="仿宋_GB2312"/>
                <w:sz w:val="30"/>
                <w:szCs w:val="30"/>
              </w:rPr>
              <w:t>管理有关工作。负责农村集体产权制度改革，指导农村集体经济组织发展和集体“三资”管理工作。指导、扶持农民合作经济组织、农业社会化服务体系、新型农业经营主体建设与发展。</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（五）指导乡村特色产业、农产品加工业、休闲农</w:t>
            </w:r>
            <w:r>
              <w:rPr>
                <w:rFonts w:hint="eastAsia" w:ascii="仿宋_GB2312" w:hAnsi="仿宋_GB2312" w:eastAsia="仿宋_GB2312" w:cs="仿宋_GB2312"/>
                <w:sz w:val="30"/>
                <w:szCs w:val="30"/>
                <w:lang w:eastAsia="zh-CN"/>
              </w:rPr>
              <w:t>业</w:t>
            </w:r>
            <w:r>
              <w:rPr>
                <w:rFonts w:hint="eastAsia" w:ascii="仿宋_GB2312" w:hAnsi="仿宋_GB2312" w:eastAsia="仿宋_GB2312" w:cs="仿宋_GB2312"/>
                <w:sz w:val="30"/>
                <w:szCs w:val="30"/>
              </w:rPr>
              <w:t>发展工作。提出促进大宗农产品流通的建议，培育、保护农业品牌。发布农业农村经济信息，监测分析农业农村经济运行。承担农业统计和农业农村信息化有关工作。</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jc w:val="both"/>
              <w:textAlignment w:val="auto"/>
              <w:outlineLvl w:val="9"/>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（六）负责种植业、畜牧业、渔业、农业机械化等农业各产业的监督管理。指导粮食等农产品生产。组织构建现代农业产业体系、生产体系、经营体系，指导农业标准化生产</w:t>
            </w:r>
            <w:r>
              <w:rPr>
                <w:rFonts w:hint="eastAsia" w:ascii="仿宋_GB2312" w:hAnsi="仿宋_GB2312" w:eastAsia="仿宋_GB2312" w:cs="仿宋_GB2312"/>
                <w:sz w:val="30"/>
                <w:szCs w:val="30"/>
                <w:lang w:eastAsia="zh-CN"/>
              </w:rPr>
              <w:t>等</w:t>
            </w:r>
            <w:r>
              <w:rPr>
                <w:rFonts w:hint="eastAsia" w:ascii="仿宋_GB2312" w:hAnsi="仿宋_GB2312" w:eastAsia="仿宋_GB2312" w:cs="仿宋_GB2312"/>
                <w:sz w:val="30"/>
                <w:szCs w:val="3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3" w:hRule="atLeast"/>
        </w:trPr>
        <w:tc>
          <w:tcPr>
            <w:tcW w:w="119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line="2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年度主要</w:t>
            </w:r>
          </w:p>
          <w:p>
            <w:pPr>
              <w:widowControl/>
              <w:spacing w:line="2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工作内容</w:t>
            </w:r>
          </w:p>
        </w:tc>
        <w:tc>
          <w:tcPr>
            <w:tcW w:w="9323" w:type="dxa"/>
            <w:gridSpan w:val="21"/>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抓好耕地生产障碍修复利用核心示范区建设。</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保障疫情期间重要农产品供给。</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val="en-US" w:eastAsia="zh-CN"/>
              </w:rPr>
              <w:t>持续抓好重大动植物病虫害防控工作。</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4、持续抓好</w:t>
            </w:r>
            <w:r>
              <w:rPr>
                <w:rFonts w:hint="eastAsia" w:ascii="仿宋_GB2312" w:hAnsi="仿宋_GB2312" w:eastAsia="仿宋_GB2312" w:cs="仿宋_GB2312"/>
                <w:sz w:val="30"/>
                <w:szCs w:val="30"/>
                <w:lang w:eastAsia="zh-CN"/>
              </w:rPr>
              <w:t>农业生产</w:t>
            </w:r>
            <w:r>
              <w:rPr>
                <w:rFonts w:hint="eastAsia" w:ascii="仿宋_GB2312" w:hAnsi="仿宋_GB2312" w:eastAsia="仿宋_GB2312" w:cs="仿宋_GB2312"/>
                <w:sz w:val="30"/>
                <w:szCs w:val="30"/>
                <w:lang w:val="en-US" w:eastAsia="zh-CN"/>
              </w:rPr>
              <w:t>工作。</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5、探索乡村振兴发展模式。</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6、持续开展农村人居环境整治工作。</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val="0"/>
                <w:bCs w:val="0"/>
                <w:sz w:val="30"/>
                <w:szCs w:val="30"/>
                <w:lang w:val="en-US" w:eastAsia="zh-CN"/>
              </w:rPr>
              <w:t>7、</w:t>
            </w:r>
            <w:r>
              <w:rPr>
                <w:rFonts w:hint="eastAsia" w:ascii="仿宋_GB2312" w:hAnsi="仿宋_GB2312" w:eastAsia="仿宋_GB2312" w:cs="仿宋_GB2312"/>
                <w:b w:val="0"/>
                <w:bCs w:val="0"/>
                <w:spacing w:val="0"/>
                <w:sz w:val="30"/>
                <w:szCs w:val="30"/>
                <w:lang w:val="en-US" w:eastAsia="zh-CN"/>
              </w:rPr>
              <w:t>农村集体产权制度改革工作。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trPr>
        <w:tc>
          <w:tcPr>
            <w:tcW w:w="119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年度部门（单位）总运行情况及取得的成绩</w:t>
            </w:r>
          </w:p>
        </w:tc>
        <w:tc>
          <w:tcPr>
            <w:tcW w:w="9323" w:type="dxa"/>
            <w:gridSpan w:val="21"/>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50" w:firstLineChars="150"/>
              <w:textAlignment w:val="auto"/>
              <w:rPr>
                <w:rFonts w:hint="eastAsia" w:ascii="仿宋_GB2312" w:hAnsi="仿宋_GB2312" w:eastAsia="仿宋_GB2312" w:cs="仿宋_GB2312"/>
                <w:b w:val="0"/>
                <w:bCs w:val="0"/>
                <w:spacing w:val="0"/>
                <w:sz w:val="30"/>
                <w:szCs w:val="30"/>
                <w:highlight w:val="none"/>
                <w:lang w:val="en-US" w:eastAsia="zh-CN"/>
              </w:rPr>
            </w:pPr>
            <w:r>
              <w:rPr>
                <w:rFonts w:hint="eastAsia" w:ascii="仿宋_GB2312" w:hAnsi="仿宋_GB2312" w:eastAsia="仿宋_GB2312" w:cs="仿宋_GB2312"/>
                <w:b w:val="0"/>
                <w:bCs w:val="0"/>
                <w:spacing w:val="0"/>
                <w:sz w:val="30"/>
                <w:szCs w:val="30"/>
                <w:highlight w:val="none"/>
                <w:lang w:val="en-US" w:eastAsia="zh-CN"/>
              </w:rPr>
              <w:t>（十六）探索乡村振兴发展模式。围绕乡村振兴产业兴旺、生态宜居、乡风文明、治理有效、生活富裕总要求，结合实际，以巩固提升脱贫成效、推动高原特色都市现代农业高质量发展、建设美丽宜居乡村、夯实农业生产基础、全面深化农村改革、完善乡村治理机制、全面加强农村基层组织建设、严格落实农业农村优先发展总方针为任务进行推进，在全县112个涉农行政村选取16个试点村先行先试，打造以“特色产业、美丽乡村、文明村庄、综合治理”不同类型的村庄为乡村振兴试点村，健康有序推动产业振兴、人才振兴、文化振兴、生态振兴、组织振兴。加快推进昆明都市驱动型乡村振兴创新实验村——九乡乡麦地冲村建设和昆明市乡村振兴综合试点——北古城镇陈家渡社区陈家渡村建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 w:val="0"/>
                <w:bCs w:val="0"/>
                <w:spacing w:val="0"/>
                <w:sz w:val="30"/>
                <w:szCs w:val="30"/>
                <w:lang w:val="en-US" w:eastAsia="zh-CN"/>
              </w:rPr>
            </w:pPr>
            <w:r>
              <w:rPr>
                <w:rFonts w:hint="eastAsia" w:ascii="仿宋_GB2312" w:hAnsi="仿宋_GB2312" w:eastAsia="仿宋_GB2312" w:cs="仿宋_GB2312"/>
                <w:b w:val="0"/>
                <w:bCs w:val="0"/>
                <w:spacing w:val="0"/>
                <w:sz w:val="30"/>
                <w:szCs w:val="30"/>
                <w:lang w:val="en-US" w:eastAsia="zh-CN"/>
              </w:rPr>
              <w:t>（十七）农村集体产权制度改革工作。</w:t>
            </w:r>
            <w:r>
              <w:rPr>
                <w:rFonts w:hint="eastAsia" w:ascii="仿宋_GB2312" w:hAnsi="仿宋_GB2312" w:eastAsia="仿宋_GB2312" w:cs="仿宋_GB2312"/>
                <w:b w:val="0"/>
                <w:bCs w:val="0"/>
                <w:color w:val="auto"/>
                <w:sz w:val="30"/>
                <w:szCs w:val="30"/>
                <w:lang w:val="en-US" w:eastAsia="zh-CN"/>
              </w:rPr>
              <w:t>一是</w:t>
            </w:r>
            <w:r>
              <w:rPr>
                <w:rFonts w:hint="eastAsia" w:ascii="仿宋_GB2312" w:hAnsi="仿宋_GB2312" w:eastAsia="仿宋_GB2312" w:cs="仿宋_GB2312"/>
                <w:b w:val="0"/>
                <w:bCs w:val="0"/>
                <w:sz w:val="30"/>
                <w:szCs w:val="30"/>
                <w:lang w:val="en-US" w:eastAsia="zh-CN"/>
              </w:rPr>
              <w:t>积极开展集体经济组织赋码登记工作。加快推进集体经济组织的赋码登记、挂牌、印章制作等工作，</w:t>
            </w:r>
            <w:r>
              <w:rPr>
                <w:rFonts w:hint="eastAsia" w:ascii="仿宋_GB2312" w:hAnsi="仿宋_GB2312" w:eastAsia="仿宋_GB2312" w:cs="仿宋_GB2312"/>
                <w:b w:val="0"/>
                <w:bCs w:val="0"/>
                <w:sz w:val="30"/>
                <w:szCs w:val="30"/>
              </w:rPr>
              <w:t>截止2020年10月10日，已</w:t>
            </w:r>
            <w:r>
              <w:rPr>
                <w:rFonts w:hint="eastAsia" w:ascii="仿宋_GB2312" w:hAnsi="仿宋_GB2312" w:eastAsia="仿宋_GB2312" w:cs="仿宋_GB2312"/>
                <w:b w:val="0"/>
                <w:bCs w:val="0"/>
                <w:sz w:val="30"/>
                <w:szCs w:val="30"/>
                <w:lang w:val="en-US" w:eastAsia="zh-CN"/>
              </w:rPr>
              <w:t>登记</w:t>
            </w:r>
            <w:r>
              <w:rPr>
                <w:rFonts w:hint="eastAsia" w:ascii="仿宋_GB2312" w:hAnsi="仿宋_GB2312" w:eastAsia="仿宋_GB2312" w:cs="仿宋_GB2312"/>
                <w:b w:val="0"/>
                <w:bCs w:val="0"/>
                <w:sz w:val="30"/>
                <w:szCs w:val="30"/>
              </w:rPr>
              <w:t>录入村集体经济组织910个，其中904个（村级111个，组级793个）有效</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二是探索</w:t>
            </w:r>
            <w:r>
              <w:rPr>
                <w:rFonts w:hint="eastAsia" w:ascii="仿宋_GB2312" w:hAnsi="仿宋_GB2312" w:eastAsia="仿宋_GB2312" w:cs="仿宋_GB2312"/>
                <w:b w:val="0"/>
                <w:bCs w:val="0"/>
                <w:color w:val="000000"/>
                <w:sz w:val="30"/>
                <w:szCs w:val="30"/>
                <w:u w:val="none"/>
                <w:lang w:eastAsia="zh-CN"/>
              </w:rPr>
              <w:t>开展农村</w:t>
            </w:r>
            <w:r>
              <w:rPr>
                <w:rFonts w:hint="eastAsia" w:ascii="仿宋_GB2312" w:hAnsi="仿宋_GB2312" w:eastAsia="仿宋_GB2312" w:cs="仿宋_GB2312"/>
                <w:b w:val="0"/>
                <w:bCs w:val="0"/>
                <w:sz w:val="30"/>
                <w:szCs w:val="30"/>
              </w:rPr>
              <w:t>金融</w:t>
            </w:r>
            <w:r>
              <w:rPr>
                <w:rFonts w:hint="eastAsia" w:ascii="仿宋_GB2312" w:hAnsi="仿宋_GB2312" w:eastAsia="仿宋_GB2312" w:cs="仿宋_GB2312"/>
                <w:b w:val="0"/>
                <w:bCs w:val="0"/>
                <w:sz w:val="30"/>
                <w:szCs w:val="30"/>
                <w:lang w:eastAsia="zh-CN"/>
              </w:rPr>
              <w:t>服务。</w:t>
            </w:r>
            <w:r>
              <w:rPr>
                <w:rFonts w:hint="eastAsia" w:ascii="仿宋_GB2312" w:hAnsi="仿宋_GB2312" w:eastAsia="仿宋_GB2312" w:cs="仿宋_GB2312"/>
                <w:b w:val="0"/>
                <w:bCs w:val="0"/>
                <w:sz w:val="30"/>
                <w:szCs w:val="30"/>
                <w:highlight w:val="none"/>
              </w:rPr>
              <w:t>与浙江网商银行合作实施的“普惠金融+智慧县域”项目，现已为全县5.16万人授信，授信金额超过6.19亿元；其中：历史放款人数8928人，历史放款金额4.75亿元；当前贷款人数3800人，当前贷款金额6182万元。</w:t>
            </w:r>
            <w:r>
              <w:rPr>
                <w:rFonts w:hint="eastAsia" w:ascii="仿宋_GB2312" w:hAnsi="仿宋_GB2312" w:eastAsia="仿宋_GB2312" w:cs="仿宋_GB2312"/>
                <w:b w:val="0"/>
                <w:bCs w:val="0"/>
                <w:sz w:val="30"/>
                <w:szCs w:val="30"/>
                <w:highlight w:val="none"/>
                <w:lang w:val="en-US" w:eastAsia="zh-CN"/>
              </w:rPr>
              <w:t>三是认真开展农村集体“三资”管理工作。全面完成全县8个乡镇（街道）112个村委会共计1043个集体经济组织资产清查工作；开展宜良县扫黑除恶专项斗争农村集体三资管理领域依法整治工作；开展村级债务清理核实，通过清理，全县村级债务达1.95亿元。四是做好农村土地承包管理工作。全面完成农村土地承包经营权确权登记颁证，发证到户率91%，继续抓好农村土地承包经营权确权登记颁证纠错和档案整理工作，截止10月底，全县共完成承包地确权档案整理4.8万户，占应完成数的60%；全县农村土地承包经营权流转面积达15.53万亩，占家庭承包耕地面积的39.3%。</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 w:val="0"/>
                <w:bCs w:val="0"/>
                <w:sz w:val="30"/>
                <w:szCs w:val="30"/>
                <w:lang w:val="en-US" w:eastAsia="zh-CN"/>
              </w:rPr>
              <w:t>（十八）持续开展农村人居环境整治工作。制订出台农村人居环境整治工作实施方案、工作制度、考评办法,</w:t>
            </w:r>
            <w:r>
              <w:rPr>
                <w:rFonts w:hint="eastAsia" w:ascii="仿宋_GB2312" w:hAnsi="仿宋_GB2312" w:eastAsia="仿宋_GB2312" w:cs="仿宋_GB2312"/>
                <w:b w:val="0"/>
                <w:bCs w:val="0"/>
                <w:sz w:val="30"/>
                <w:szCs w:val="30"/>
                <w:lang w:eastAsia="zh-CN"/>
              </w:rPr>
              <w:t>采取一月一观摩、一月一督查、一月一通报、一月一排名等方式，合力推进农村人居环境整治工作</w:t>
            </w:r>
            <w:r>
              <w:rPr>
                <w:rFonts w:hint="eastAsia" w:ascii="仿宋_GB2312" w:hAnsi="仿宋_GB2312" w:eastAsia="仿宋_GB2312" w:cs="仿宋_GB2312"/>
                <w:b w:val="0"/>
                <w:bCs w:val="0"/>
                <w:color w:val="auto"/>
                <w:sz w:val="30"/>
                <w:szCs w:val="30"/>
                <w:lang w:val="en-US" w:eastAsia="zh-CN"/>
              </w:rPr>
              <w:t>，</w:t>
            </w:r>
            <w:r>
              <w:rPr>
                <w:rFonts w:hint="eastAsia" w:ascii="仿宋_GB2312" w:hAnsi="仿宋_GB2312" w:eastAsia="仿宋_GB2312" w:cs="仿宋_GB2312"/>
                <w:b w:val="0"/>
                <w:bCs w:val="0"/>
                <w:color w:val="000000"/>
                <w:sz w:val="30"/>
                <w:szCs w:val="30"/>
                <w:lang w:val="en-US" w:eastAsia="zh-CN"/>
              </w:rPr>
              <w:t>2020年3月成功创建为2019年度全国村庄清洁行动先进县。一是农村厕所革命。截止10月20日，上报省市月调度数据：2020完成无害化卫生户厕改建25993座，完成目标任务30580座的85%；有卫生户厕79472座，覆盖率达85.2%；行政村公厕完成58座，完成目标任务43座的135%。目前实际进度：全县下达2019年农村无害化卫生户厕任务数22206座，2020年任务数24545座,两年总任务数46751座，全县累计完成12029座，完成总任务数46751座的25.7%；录入省信息平台农村卫生户厕总数57196座，卫生户厕覆盖率仅61%，距三年行动考核评估85%覆盖率还差24个百分点；2020年行政村委会所在地公厕建设任务43座，完工48座，完工率111.6%。2019-2020年，中央、省、市共下达“厕所革命”奖补资金5507.864万元，目前，县级财政拨付奖补资金1128.16万元，拨付比例20.48%。二是农村生活垃圾治理。10座垃圾中转站建设已完成选址、可研报告、环境影响评估报告、设计方案等前期工作，正在办理用地调规审批手续，目前6个乡镇镇区生活垃圾处理处理场（站）已完成选址工作。三是农村生活污水治理。完成《宜良县农村生活污水治理专项规划》（2018-2030）编制工作，已上报县政府常务会议待批复；自然村污水处理站完成实地踏勘52个自然村，已确定选址23个,共完成了22个自然村的地形图测量和16个自然村的施工图编制工作，现有6个自然村进场施工。四是村庄规划编制与管理。制定并印发了《宜良县“多规合一”的实用性村庄规划编制工作实施方案》（宜政办通〔2020〕90号）。全面建立村庄规划土地建设专管员制度，配有土地规划建设专管员924人，专管员覆盖率达100%。截至2020年10月，发出乡村建设规划许可证3435本。五是村容村貌整治。截止2020年10月，全县共清理垃圾、杂草等8284余吨，清理村内沟渠947.6公里，清理畜禽养殖粪污等农业生产废弃物数量42325.33余吨；2020改造畜禽养殖圈舍19424平方米，占全年16000平方米任务数的121.4％；秸秆还田已完成14.1万亩，完成全年任务14万亩的100.7%；饲料化利用完成3.5万吨，完成率占全年任务数3.5万吨的100%。农膜使用量1965.83吨，农膜回收量1858.08吨，农膜回收率94.52%；全县4个乡镇达到省级卫生乡镇、51个村达到省级卫生村创建标准并通过考核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520" w:type="dxa"/>
            <w:gridSpan w:val="2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黑体" w:hAnsi="黑体" w:eastAsia="黑体" w:cs="黑体"/>
                <w:b/>
                <w:color w:val="000000"/>
                <w:kern w:val="0"/>
                <w:sz w:val="24"/>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520" w:type="dxa"/>
            <w:gridSpan w:val="2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b/>
                <w:bCs/>
                <w:color w:val="000000"/>
                <w:kern w:val="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1695" w:type="dxa"/>
            <w:gridSpan w:val="3"/>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机构名称</w:t>
            </w:r>
          </w:p>
        </w:tc>
        <w:tc>
          <w:tcPr>
            <w:tcW w:w="1359" w:type="dxa"/>
            <w:gridSpan w:val="3"/>
            <w:vMerge w:val="restart"/>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收入合计</w:t>
            </w:r>
          </w:p>
        </w:tc>
        <w:tc>
          <w:tcPr>
            <w:tcW w:w="7466" w:type="dxa"/>
            <w:gridSpan w:val="16"/>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5"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359" w:type="dxa"/>
            <w:gridSpan w:val="3"/>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上年结转</w:t>
            </w:r>
          </w:p>
        </w:tc>
        <w:tc>
          <w:tcPr>
            <w:tcW w:w="1455"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公共财政拨款</w:t>
            </w:r>
          </w:p>
        </w:tc>
        <w:tc>
          <w:tcPr>
            <w:tcW w:w="1734"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政府基金拨款</w:t>
            </w:r>
          </w:p>
        </w:tc>
        <w:tc>
          <w:tcPr>
            <w:tcW w:w="1902"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纳入专户管理的非税收入拨款</w:t>
            </w:r>
          </w:p>
        </w:tc>
        <w:tc>
          <w:tcPr>
            <w:tcW w:w="1036"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695"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局机关及二级机构汇总</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16041.31</w:t>
            </w: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0</w:t>
            </w:r>
          </w:p>
        </w:tc>
        <w:tc>
          <w:tcPr>
            <w:tcW w:w="1455"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13503.41</w:t>
            </w:r>
          </w:p>
        </w:tc>
        <w:tc>
          <w:tcPr>
            <w:tcW w:w="1734"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2517.9</w:t>
            </w:r>
          </w:p>
        </w:tc>
        <w:tc>
          <w:tcPr>
            <w:tcW w:w="1902"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036"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5"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1.局机关</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15861.26</w:t>
            </w: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0</w:t>
            </w:r>
          </w:p>
        </w:tc>
        <w:tc>
          <w:tcPr>
            <w:tcW w:w="1455"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13323.36</w:t>
            </w:r>
          </w:p>
        </w:tc>
        <w:tc>
          <w:tcPr>
            <w:tcW w:w="1734"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2517.9</w:t>
            </w:r>
          </w:p>
        </w:tc>
        <w:tc>
          <w:tcPr>
            <w:tcW w:w="1902"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036"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5"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2.二级机构1</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180.05</w:t>
            </w: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0</w:t>
            </w:r>
          </w:p>
        </w:tc>
        <w:tc>
          <w:tcPr>
            <w:tcW w:w="1455"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180.05</w:t>
            </w:r>
          </w:p>
        </w:tc>
        <w:tc>
          <w:tcPr>
            <w:tcW w:w="1734"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0</w:t>
            </w:r>
          </w:p>
        </w:tc>
        <w:tc>
          <w:tcPr>
            <w:tcW w:w="1902"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036"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5"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3.二级机构2</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c>
          <w:tcPr>
            <w:tcW w:w="1455"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c>
          <w:tcPr>
            <w:tcW w:w="1734"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c>
          <w:tcPr>
            <w:tcW w:w="1902"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036"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520" w:type="dxa"/>
            <w:gridSpan w:val="2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b/>
                <w:bCs/>
                <w:color w:val="000000"/>
                <w:kern w:val="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695" w:type="dxa"/>
            <w:gridSpan w:val="3"/>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napToGrid w:val="0"/>
              <w:spacing w:before="100" w:beforeAutospacing="1" w:after="100" w:afterAutospacing="1"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机构名称</w:t>
            </w:r>
          </w:p>
        </w:tc>
        <w:tc>
          <w:tcPr>
            <w:tcW w:w="1359" w:type="dxa"/>
            <w:gridSpan w:val="3"/>
            <w:vMerge w:val="restart"/>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支出合计</w:t>
            </w:r>
          </w:p>
        </w:tc>
        <w:tc>
          <w:tcPr>
            <w:tcW w:w="6538" w:type="dxa"/>
            <w:gridSpan w:val="14"/>
            <w:tcBorders>
              <w:top w:val="single" w:color="000000" w:sz="4" w:space="0"/>
              <w:left w:val="single" w:color="auto"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其中：</w:t>
            </w:r>
          </w:p>
        </w:tc>
        <w:tc>
          <w:tcPr>
            <w:tcW w:w="928" w:type="dxa"/>
            <w:gridSpan w:val="2"/>
            <w:vMerge w:val="restart"/>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95"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1359" w:type="dxa"/>
            <w:gridSpan w:val="3"/>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339" w:type="dxa"/>
            <w:gridSpan w:val="2"/>
            <w:vMerge w:val="restart"/>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基本支出</w:t>
            </w:r>
          </w:p>
        </w:tc>
        <w:tc>
          <w:tcPr>
            <w:tcW w:w="3753" w:type="dxa"/>
            <w:gridSpan w:val="8"/>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其中：</w:t>
            </w:r>
          </w:p>
        </w:tc>
        <w:tc>
          <w:tcPr>
            <w:tcW w:w="1446" w:type="dxa"/>
            <w:gridSpan w:val="4"/>
            <w:vMerge w:val="restart"/>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项目支出</w:t>
            </w:r>
          </w:p>
        </w:tc>
        <w:tc>
          <w:tcPr>
            <w:tcW w:w="928" w:type="dxa"/>
            <w:gridSpan w:val="2"/>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95"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1359" w:type="dxa"/>
            <w:gridSpan w:val="3"/>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339" w:type="dxa"/>
            <w:gridSpan w:val="2"/>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869"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人员支出</w:t>
            </w:r>
          </w:p>
        </w:tc>
        <w:tc>
          <w:tcPr>
            <w:tcW w:w="188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公用支出</w:t>
            </w:r>
          </w:p>
        </w:tc>
        <w:tc>
          <w:tcPr>
            <w:tcW w:w="1446" w:type="dxa"/>
            <w:gridSpan w:val="4"/>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928" w:type="dxa"/>
            <w:gridSpan w:val="2"/>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95"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局机关及二级机构汇总</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12599.1</w:t>
            </w: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3137.82</w:t>
            </w:r>
          </w:p>
        </w:tc>
        <w:tc>
          <w:tcPr>
            <w:tcW w:w="1869"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3000.9</w:t>
            </w:r>
          </w:p>
        </w:tc>
        <w:tc>
          <w:tcPr>
            <w:tcW w:w="188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136.92</w:t>
            </w:r>
          </w:p>
        </w:tc>
        <w:tc>
          <w:tcPr>
            <w:tcW w:w="144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9461.27</w:t>
            </w:r>
          </w:p>
        </w:tc>
        <w:tc>
          <w:tcPr>
            <w:tcW w:w="92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3442.2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95"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kern w:val="0"/>
                <w:sz w:val="24"/>
              </w:rPr>
              <w:t>1.局机关</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12420.51</w:t>
            </w: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2959.23</w:t>
            </w:r>
          </w:p>
        </w:tc>
        <w:tc>
          <w:tcPr>
            <w:tcW w:w="1869"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2826.43</w:t>
            </w:r>
          </w:p>
        </w:tc>
        <w:tc>
          <w:tcPr>
            <w:tcW w:w="188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132.8</w:t>
            </w:r>
          </w:p>
        </w:tc>
        <w:tc>
          <w:tcPr>
            <w:tcW w:w="144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9461.27</w:t>
            </w:r>
          </w:p>
        </w:tc>
        <w:tc>
          <w:tcPr>
            <w:tcW w:w="92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3440.27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95"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kern w:val="0"/>
                <w:sz w:val="24"/>
              </w:rPr>
              <w:t>2.二级机构1</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178.59</w:t>
            </w: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178.59</w:t>
            </w:r>
          </w:p>
        </w:tc>
        <w:tc>
          <w:tcPr>
            <w:tcW w:w="1869"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174.47</w:t>
            </w:r>
          </w:p>
        </w:tc>
        <w:tc>
          <w:tcPr>
            <w:tcW w:w="188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4.12</w:t>
            </w:r>
          </w:p>
        </w:tc>
        <w:tc>
          <w:tcPr>
            <w:tcW w:w="144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0</w:t>
            </w:r>
          </w:p>
        </w:tc>
        <w:tc>
          <w:tcPr>
            <w:tcW w:w="92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95"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kern w:val="0"/>
                <w:sz w:val="24"/>
              </w:rPr>
              <w:t>3.二级机构2</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869"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88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44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92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95" w:type="dxa"/>
            <w:gridSpan w:val="3"/>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机构名称</w:t>
            </w:r>
          </w:p>
        </w:tc>
        <w:tc>
          <w:tcPr>
            <w:tcW w:w="1359" w:type="dxa"/>
            <w:gridSpan w:val="3"/>
            <w:vMerge w:val="restart"/>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三公经费</w:t>
            </w:r>
          </w:p>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合计</w:t>
            </w:r>
          </w:p>
        </w:tc>
        <w:tc>
          <w:tcPr>
            <w:tcW w:w="7466" w:type="dxa"/>
            <w:gridSpan w:val="16"/>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95"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1359" w:type="dxa"/>
            <w:gridSpan w:val="3"/>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公务接待费</w:t>
            </w:r>
          </w:p>
        </w:tc>
        <w:tc>
          <w:tcPr>
            <w:tcW w:w="1869"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公务用车运维费</w:t>
            </w:r>
          </w:p>
        </w:tc>
        <w:tc>
          <w:tcPr>
            <w:tcW w:w="188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公务用车购置费</w:t>
            </w:r>
          </w:p>
        </w:tc>
        <w:tc>
          <w:tcPr>
            <w:tcW w:w="1578"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因公出国费</w:t>
            </w: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会议费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95"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局机关及二级机构汇总</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24.087</w:t>
            </w: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13.987</w:t>
            </w:r>
          </w:p>
        </w:tc>
        <w:tc>
          <w:tcPr>
            <w:tcW w:w="1869"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10.1</w:t>
            </w:r>
          </w:p>
        </w:tc>
        <w:tc>
          <w:tcPr>
            <w:tcW w:w="188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0</w:t>
            </w:r>
          </w:p>
        </w:tc>
        <w:tc>
          <w:tcPr>
            <w:tcW w:w="1578"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0</w:t>
            </w: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6.05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95"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1、局机关</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23.1</w:t>
            </w: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13</w:t>
            </w:r>
          </w:p>
        </w:tc>
        <w:tc>
          <w:tcPr>
            <w:tcW w:w="1869"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10.1</w:t>
            </w:r>
          </w:p>
        </w:tc>
        <w:tc>
          <w:tcPr>
            <w:tcW w:w="188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0</w:t>
            </w:r>
          </w:p>
        </w:tc>
        <w:tc>
          <w:tcPr>
            <w:tcW w:w="1578"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0</w:t>
            </w: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95"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2、二级机构1</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0.987</w:t>
            </w: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0.987</w:t>
            </w:r>
          </w:p>
        </w:tc>
        <w:tc>
          <w:tcPr>
            <w:tcW w:w="1869"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0</w:t>
            </w:r>
          </w:p>
        </w:tc>
        <w:tc>
          <w:tcPr>
            <w:tcW w:w="188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0</w:t>
            </w:r>
          </w:p>
        </w:tc>
        <w:tc>
          <w:tcPr>
            <w:tcW w:w="1578"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0</w:t>
            </w: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95"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3、二级机构2</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339" w:type="dxa"/>
            <w:gridSpan w:val="2"/>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869"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884"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578"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95" w:type="dxa"/>
            <w:gridSpan w:val="3"/>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机构名称</w:t>
            </w:r>
          </w:p>
        </w:tc>
        <w:tc>
          <w:tcPr>
            <w:tcW w:w="1359" w:type="dxa"/>
            <w:gridSpan w:val="3"/>
            <w:vMerge w:val="restart"/>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固定资产</w:t>
            </w:r>
          </w:p>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合计</w:t>
            </w:r>
          </w:p>
        </w:tc>
        <w:tc>
          <w:tcPr>
            <w:tcW w:w="6670" w:type="dxa"/>
            <w:gridSpan w:val="15"/>
            <w:tcBorders>
              <w:top w:val="single" w:color="000000" w:sz="4" w:space="0"/>
              <w:left w:val="single" w:color="auto"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其中：</w:t>
            </w:r>
          </w:p>
        </w:tc>
        <w:tc>
          <w:tcPr>
            <w:tcW w:w="796" w:type="dxa"/>
            <w:vMerge w:val="restart"/>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95"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kern w:val="0"/>
                <w:sz w:val="24"/>
              </w:rPr>
            </w:pPr>
          </w:p>
        </w:tc>
        <w:tc>
          <w:tcPr>
            <w:tcW w:w="1359" w:type="dxa"/>
            <w:gridSpan w:val="3"/>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kern w:val="0"/>
                <w:sz w:val="24"/>
              </w:rPr>
            </w:pPr>
          </w:p>
        </w:tc>
        <w:tc>
          <w:tcPr>
            <w:tcW w:w="3208" w:type="dxa"/>
            <w:gridSpan w:val="7"/>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在用固定资产</w:t>
            </w:r>
          </w:p>
        </w:tc>
        <w:tc>
          <w:tcPr>
            <w:tcW w:w="3462" w:type="dxa"/>
            <w:gridSpan w:val="8"/>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出租固定资产</w:t>
            </w:r>
          </w:p>
        </w:tc>
        <w:tc>
          <w:tcPr>
            <w:tcW w:w="796"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95"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color w:val="000000"/>
                <w:kern w:val="0"/>
                <w:sz w:val="24"/>
              </w:rPr>
              <w:t>局机关及二级机构汇总</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898.16</w:t>
            </w:r>
          </w:p>
        </w:tc>
        <w:tc>
          <w:tcPr>
            <w:tcW w:w="3208" w:type="dxa"/>
            <w:gridSpan w:val="7"/>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898.16</w:t>
            </w:r>
          </w:p>
        </w:tc>
        <w:tc>
          <w:tcPr>
            <w:tcW w:w="3462" w:type="dxa"/>
            <w:gridSpan w:val="8"/>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0</w:t>
            </w: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95"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1、局机关</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890.11</w:t>
            </w:r>
          </w:p>
        </w:tc>
        <w:tc>
          <w:tcPr>
            <w:tcW w:w="3208" w:type="dxa"/>
            <w:gridSpan w:val="7"/>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890.11</w:t>
            </w:r>
          </w:p>
        </w:tc>
        <w:tc>
          <w:tcPr>
            <w:tcW w:w="3462" w:type="dxa"/>
            <w:gridSpan w:val="8"/>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0</w:t>
            </w: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95"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2、二级机构1</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8.05</w:t>
            </w:r>
          </w:p>
        </w:tc>
        <w:tc>
          <w:tcPr>
            <w:tcW w:w="3208" w:type="dxa"/>
            <w:gridSpan w:val="7"/>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8.05</w:t>
            </w:r>
          </w:p>
        </w:tc>
        <w:tc>
          <w:tcPr>
            <w:tcW w:w="3462" w:type="dxa"/>
            <w:gridSpan w:val="8"/>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0</w:t>
            </w: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95" w:type="dxa"/>
            <w:gridSpan w:val="3"/>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3、二级机构2</w:t>
            </w:r>
          </w:p>
        </w:tc>
        <w:tc>
          <w:tcPr>
            <w:tcW w:w="1359" w:type="dxa"/>
            <w:gridSpan w:val="3"/>
            <w:tcBorders>
              <w:top w:val="single" w:color="000000" w:sz="4" w:space="0"/>
              <w:left w:val="single" w:color="000000" w:sz="4" w:space="0"/>
              <w:bottom w:val="single" w:color="000000" w:sz="4" w:space="0"/>
              <w:right w:val="single" w:color="auto"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3208" w:type="dxa"/>
            <w:gridSpan w:val="7"/>
            <w:tcBorders>
              <w:top w:val="single" w:color="000000" w:sz="4" w:space="0"/>
              <w:left w:val="single" w:color="auto"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3462" w:type="dxa"/>
            <w:gridSpan w:val="8"/>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796"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520" w:type="dxa"/>
            <w:gridSpan w:val="2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黑体" w:hAnsi="黑体" w:eastAsia="黑体" w:cs="黑体"/>
                <w:b/>
                <w:color w:val="000000"/>
                <w:kern w:val="0"/>
                <w:sz w:val="24"/>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63" w:type="dxa"/>
            <w:gridSpan w:val="2"/>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整体支出绩效定性目标及实施计划完成情况</w:t>
            </w:r>
          </w:p>
        </w:tc>
        <w:tc>
          <w:tcPr>
            <w:tcW w:w="4335" w:type="dxa"/>
            <w:gridSpan w:val="9"/>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预期目标</w:t>
            </w:r>
          </w:p>
        </w:tc>
        <w:tc>
          <w:tcPr>
            <w:tcW w:w="4622" w:type="dxa"/>
            <w:gridSpan w:val="11"/>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156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4335" w:type="dxa"/>
            <w:gridSpan w:val="9"/>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color w:val="000000"/>
                <w:kern w:val="0"/>
                <w:sz w:val="30"/>
                <w:szCs w:val="30"/>
                <w:lang w:val="en-US" w:eastAsia="zh-CN"/>
              </w:rPr>
              <w:t>1、</w:t>
            </w:r>
            <w:r>
              <w:rPr>
                <w:rFonts w:hint="eastAsia" w:ascii="仿宋_GB2312" w:hAnsi="仿宋_GB2312" w:eastAsia="仿宋_GB2312" w:cs="仿宋_GB2312"/>
                <w:sz w:val="30"/>
                <w:szCs w:val="30"/>
                <w:lang w:val="en-US" w:eastAsia="zh-CN"/>
              </w:rPr>
              <w:t>抓好耕地生产障碍修复利用核心示范区建设。</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2、持续抓好重大动植物病虫害防控工作。</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3、持续抓好</w:t>
            </w:r>
            <w:r>
              <w:rPr>
                <w:rFonts w:hint="eastAsia" w:ascii="仿宋_GB2312" w:hAnsi="仿宋_GB2312" w:eastAsia="仿宋_GB2312" w:cs="仿宋_GB2312"/>
                <w:sz w:val="30"/>
                <w:szCs w:val="30"/>
                <w:lang w:eastAsia="zh-CN"/>
              </w:rPr>
              <w:t>农业生产</w:t>
            </w:r>
            <w:r>
              <w:rPr>
                <w:rFonts w:hint="eastAsia" w:ascii="仿宋_GB2312" w:hAnsi="仿宋_GB2312" w:eastAsia="仿宋_GB2312" w:cs="仿宋_GB2312"/>
                <w:sz w:val="30"/>
                <w:szCs w:val="30"/>
                <w:lang w:val="en-US" w:eastAsia="zh-CN"/>
              </w:rPr>
              <w:t>工作。</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4、探索乡村振兴发展模式。</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center"/>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5、持续开展农村人居环境整治工作。</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center"/>
              <w:outlineLvl w:val="9"/>
              <w:rPr>
                <w:rFonts w:ascii="仿宋_GB2312" w:hAnsi="仿宋_GB2312" w:eastAsia="仿宋_GB2312" w:cs="仿宋_GB2312"/>
                <w:color w:val="000000"/>
                <w:kern w:val="0"/>
                <w:sz w:val="30"/>
                <w:szCs w:val="30"/>
              </w:rPr>
            </w:pPr>
            <w:r>
              <w:rPr>
                <w:rFonts w:hint="eastAsia" w:ascii="仿宋_GB2312" w:hAnsi="仿宋_GB2312" w:eastAsia="仿宋_GB2312" w:cs="仿宋_GB2312"/>
                <w:b w:val="0"/>
                <w:bCs w:val="0"/>
                <w:sz w:val="30"/>
                <w:szCs w:val="30"/>
                <w:lang w:val="en-US" w:eastAsia="zh-CN"/>
              </w:rPr>
              <w:t>6、</w:t>
            </w:r>
            <w:r>
              <w:rPr>
                <w:rFonts w:hint="eastAsia" w:ascii="仿宋_GB2312" w:hAnsi="仿宋_GB2312" w:eastAsia="仿宋_GB2312" w:cs="仿宋_GB2312"/>
                <w:b w:val="0"/>
                <w:bCs w:val="0"/>
                <w:spacing w:val="0"/>
                <w:sz w:val="30"/>
                <w:szCs w:val="30"/>
                <w:lang w:val="en-US" w:eastAsia="zh-CN"/>
              </w:rPr>
              <w:t>农村集体产权制度改革工作。</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center"/>
              <w:outlineLvl w:val="9"/>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7、</w:t>
            </w:r>
            <w:r>
              <w:rPr>
                <w:rFonts w:hint="eastAsia" w:ascii="仿宋_GB2312" w:hAnsi="仿宋_GB2312" w:eastAsia="仿宋_GB2312" w:cs="仿宋_GB2312"/>
                <w:sz w:val="30"/>
                <w:szCs w:val="30"/>
                <w:lang w:val="en-US" w:eastAsia="zh-CN"/>
              </w:rPr>
              <w:t>保障疫情期间重要农产品供给。</w:t>
            </w:r>
          </w:p>
        </w:tc>
        <w:tc>
          <w:tcPr>
            <w:tcW w:w="4622" w:type="dxa"/>
            <w:gridSpan w:val="11"/>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color w:val="000000"/>
                <w:kern w:val="0"/>
                <w:sz w:val="30"/>
                <w:szCs w:val="30"/>
                <w:lang w:val="en-US" w:eastAsia="zh-CN"/>
              </w:rPr>
              <w:t>1、</w:t>
            </w:r>
            <w:r>
              <w:rPr>
                <w:rFonts w:hint="eastAsia" w:ascii="仿宋_GB2312" w:hAnsi="仿宋_GB2312" w:eastAsia="仿宋_GB2312" w:cs="仿宋_GB2312"/>
                <w:sz w:val="30"/>
                <w:szCs w:val="30"/>
                <w:lang w:val="en-US" w:eastAsia="zh-CN"/>
              </w:rPr>
              <w:t>抓好耕地生产障碍修复利用核心示范区建设。</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2、持续抓好重大动植物病虫害防控工作。</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3、持续抓好</w:t>
            </w:r>
            <w:r>
              <w:rPr>
                <w:rFonts w:hint="eastAsia" w:ascii="仿宋_GB2312" w:hAnsi="仿宋_GB2312" w:eastAsia="仿宋_GB2312" w:cs="仿宋_GB2312"/>
                <w:sz w:val="30"/>
                <w:szCs w:val="30"/>
                <w:lang w:eastAsia="zh-CN"/>
              </w:rPr>
              <w:t>农业生产</w:t>
            </w:r>
            <w:r>
              <w:rPr>
                <w:rFonts w:hint="eastAsia" w:ascii="仿宋_GB2312" w:hAnsi="仿宋_GB2312" w:eastAsia="仿宋_GB2312" w:cs="仿宋_GB2312"/>
                <w:sz w:val="30"/>
                <w:szCs w:val="30"/>
                <w:lang w:val="en-US" w:eastAsia="zh-CN"/>
              </w:rPr>
              <w:t>工作。</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4、探索乡村振兴发展模式。</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center"/>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5、持续开展农村人居环境整治工作。</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center"/>
              <w:outlineLvl w:val="9"/>
              <w:rPr>
                <w:rFonts w:hint="eastAsia" w:ascii="仿宋_GB2312" w:hAnsi="仿宋_GB2312" w:eastAsia="仿宋_GB2312" w:cs="仿宋_GB2312"/>
                <w:b w:val="0"/>
                <w:bCs w:val="0"/>
                <w:spacing w:val="0"/>
                <w:sz w:val="30"/>
                <w:szCs w:val="30"/>
                <w:lang w:val="en-US" w:eastAsia="zh-CN"/>
              </w:rPr>
            </w:pPr>
            <w:r>
              <w:rPr>
                <w:rFonts w:hint="eastAsia" w:ascii="仿宋_GB2312" w:hAnsi="仿宋_GB2312" w:eastAsia="仿宋_GB2312" w:cs="仿宋_GB2312"/>
                <w:b w:val="0"/>
                <w:bCs w:val="0"/>
                <w:sz w:val="30"/>
                <w:szCs w:val="30"/>
                <w:lang w:val="en-US" w:eastAsia="zh-CN"/>
              </w:rPr>
              <w:t>6、</w:t>
            </w:r>
            <w:r>
              <w:rPr>
                <w:rFonts w:hint="eastAsia" w:ascii="仿宋_GB2312" w:hAnsi="仿宋_GB2312" w:eastAsia="仿宋_GB2312" w:cs="仿宋_GB2312"/>
                <w:b w:val="0"/>
                <w:bCs w:val="0"/>
                <w:spacing w:val="0"/>
                <w:sz w:val="30"/>
                <w:szCs w:val="30"/>
                <w:lang w:val="en-US" w:eastAsia="zh-CN"/>
              </w:rPr>
              <w:t>农村集体产权制度改革工作。</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center"/>
              <w:outlineLvl w:val="9"/>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7、</w:t>
            </w:r>
            <w:r>
              <w:rPr>
                <w:rFonts w:hint="eastAsia" w:ascii="仿宋_GB2312" w:hAnsi="仿宋_GB2312" w:eastAsia="仿宋_GB2312" w:cs="仿宋_GB2312"/>
                <w:sz w:val="30"/>
                <w:szCs w:val="30"/>
                <w:lang w:val="en-US" w:eastAsia="zh-CN"/>
              </w:rPr>
              <w:t>保障疫情期间重要农产品供给。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1563" w:type="dxa"/>
            <w:gridSpan w:val="2"/>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整体支出绩效定量目标及实施计划完成情况</w:t>
            </w:r>
          </w:p>
        </w:tc>
        <w:tc>
          <w:tcPr>
            <w:tcW w:w="3250" w:type="dxa"/>
            <w:gridSpan w:val="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评价内容</w:t>
            </w:r>
          </w:p>
        </w:tc>
        <w:tc>
          <w:tcPr>
            <w:tcW w:w="2913"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绩效内容</w:t>
            </w: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绩效</w:t>
            </w:r>
          </w:p>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目标值</w:t>
            </w:r>
          </w:p>
        </w:tc>
        <w:tc>
          <w:tcPr>
            <w:tcW w:w="1636"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6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825" w:type="dxa"/>
            <w:gridSpan w:val="5"/>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产出目标</w:t>
            </w:r>
          </w:p>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425" w:type="dxa"/>
            <w:gridSpan w:val="2"/>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质量指标</w:t>
            </w:r>
          </w:p>
        </w:tc>
        <w:tc>
          <w:tcPr>
            <w:tcW w:w="2913"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636"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6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825" w:type="dxa"/>
            <w:gridSpan w:val="5"/>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2913"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636"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6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825" w:type="dxa"/>
            <w:gridSpan w:val="5"/>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数量指标</w:t>
            </w:r>
          </w:p>
        </w:tc>
        <w:tc>
          <w:tcPr>
            <w:tcW w:w="2913"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按时支付人员工资</w:t>
            </w: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人</w:t>
            </w:r>
          </w:p>
        </w:tc>
        <w:tc>
          <w:tcPr>
            <w:tcW w:w="1636"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宋体" w:eastAsia="仿宋_GB2312" w:cs="仿宋_GB2312"/>
                <w:b/>
                <w:color w:val="000000"/>
                <w:kern w:val="0"/>
                <w:sz w:val="24"/>
              </w:rPr>
            </w:pPr>
            <w:r>
              <w:rPr>
                <w:rFonts w:hint="eastAsia" w:ascii="仿宋_GB2312" w:hAnsi="仿宋_GB2312" w:eastAsia="仿宋_GB2312" w:cs="仿宋_GB2312"/>
                <w:b/>
                <w:color w:val="000000"/>
                <w:kern w:val="0"/>
                <w:sz w:val="24"/>
                <w:lang w:val="en-US" w:eastAsia="zh-CN"/>
              </w:rPr>
              <w:t>100%支付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56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825" w:type="dxa"/>
            <w:gridSpan w:val="5"/>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2913"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636"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6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825" w:type="dxa"/>
            <w:gridSpan w:val="5"/>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时效指标</w:t>
            </w:r>
          </w:p>
        </w:tc>
        <w:tc>
          <w:tcPr>
            <w:tcW w:w="2913"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按月支付</w:t>
            </w: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标准工资</w:t>
            </w:r>
          </w:p>
        </w:tc>
        <w:tc>
          <w:tcPr>
            <w:tcW w:w="1636"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lang w:eastAsia="zh-CN"/>
              </w:rPr>
              <w:t>按时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6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825" w:type="dxa"/>
            <w:gridSpan w:val="5"/>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2913"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636"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6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825" w:type="dxa"/>
            <w:gridSpan w:val="5"/>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成本指标</w:t>
            </w:r>
          </w:p>
        </w:tc>
        <w:tc>
          <w:tcPr>
            <w:tcW w:w="2913"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636"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6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825" w:type="dxa"/>
            <w:gridSpan w:val="5"/>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2913"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636"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6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825" w:type="dxa"/>
            <w:gridSpan w:val="5"/>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效益目标</w:t>
            </w:r>
          </w:p>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（预期实现的效益）</w:t>
            </w:r>
          </w:p>
        </w:tc>
        <w:tc>
          <w:tcPr>
            <w:tcW w:w="1425" w:type="dxa"/>
            <w:gridSpan w:val="2"/>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社会效益</w:t>
            </w:r>
          </w:p>
        </w:tc>
        <w:tc>
          <w:tcPr>
            <w:tcW w:w="2913"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按预算拨付，实际支出决算</w:t>
            </w: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预算数和决算数</w:t>
            </w:r>
          </w:p>
        </w:tc>
        <w:tc>
          <w:tcPr>
            <w:tcW w:w="1636"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lang w:eastAsia="zh-CN"/>
              </w:rPr>
              <w:t>足额拨付和支付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6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825" w:type="dxa"/>
            <w:gridSpan w:val="5"/>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2913"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636"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6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825" w:type="dxa"/>
            <w:gridSpan w:val="5"/>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经济效益</w:t>
            </w:r>
          </w:p>
        </w:tc>
        <w:tc>
          <w:tcPr>
            <w:tcW w:w="2913"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636"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6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825" w:type="dxa"/>
            <w:gridSpan w:val="5"/>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2913"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636"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6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825" w:type="dxa"/>
            <w:gridSpan w:val="5"/>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生态效益</w:t>
            </w:r>
          </w:p>
        </w:tc>
        <w:tc>
          <w:tcPr>
            <w:tcW w:w="2913"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636"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6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825" w:type="dxa"/>
            <w:gridSpan w:val="5"/>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2913"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636"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6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825" w:type="dxa"/>
            <w:gridSpan w:val="5"/>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社会公众或服务对象满意度</w:t>
            </w:r>
          </w:p>
        </w:tc>
        <w:tc>
          <w:tcPr>
            <w:tcW w:w="2913"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636"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6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825" w:type="dxa"/>
            <w:gridSpan w:val="5"/>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14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24"/>
              </w:rPr>
            </w:pPr>
          </w:p>
        </w:tc>
        <w:tc>
          <w:tcPr>
            <w:tcW w:w="2913"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p>
        </w:tc>
        <w:tc>
          <w:tcPr>
            <w:tcW w:w="1158"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100</w:t>
            </w:r>
          </w:p>
        </w:tc>
        <w:tc>
          <w:tcPr>
            <w:tcW w:w="1636"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388" w:type="dxa"/>
            <w:gridSpan w:val="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绩效自评综合得分</w:t>
            </w:r>
          </w:p>
        </w:tc>
        <w:tc>
          <w:tcPr>
            <w:tcW w:w="7132" w:type="dxa"/>
            <w:gridSpan w:val="1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388" w:type="dxa"/>
            <w:gridSpan w:val="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评价等次</w:t>
            </w:r>
          </w:p>
        </w:tc>
        <w:tc>
          <w:tcPr>
            <w:tcW w:w="7132" w:type="dxa"/>
            <w:gridSpan w:val="1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520" w:type="dxa"/>
            <w:gridSpan w:val="2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b/>
                <w:color w:val="000000"/>
                <w:kern w:val="0"/>
                <w:sz w:val="24"/>
              </w:rPr>
            </w:pPr>
            <w:r>
              <w:rPr>
                <w:rFonts w:hint="eastAsia" w:ascii="黑体" w:hAnsi="黑体" w:eastAsia="黑体" w:cs="黑体"/>
                <w:b/>
                <w:color w:val="000000"/>
                <w:kern w:val="0"/>
                <w:sz w:val="24"/>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319"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姓  名</w:t>
            </w:r>
          </w:p>
        </w:tc>
        <w:tc>
          <w:tcPr>
            <w:tcW w:w="3799" w:type="dxa"/>
            <w:gridSpan w:val="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职务/职称</w:t>
            </w:r>
          </w:p>
        </w:tc>
        <w:tc>
          <w:tcPr>
            <w:tcW w:w="3006"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单  位</w:t>
            </w:r>
          </w:p>
        </w:tc>
        <w:tc>
          <w:tcPr>
            <w:tcW w:w="139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319"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廖国宏</w:t>
            </w:r>
          </w:p>
        </w:tc>
        <w:tc>
          <w:tcPr>
            <w:tcW w:w="3799" w:type="dxa"/>
            <w:gridSpan w:val="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科长</w:t>
            </w:r>
          </w:p>
        </w:tc>
        <w:tc>
          <w:tcPr>
            <w:tcW w:w="3006"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both"/>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农业农村局计划财务科</w:t>
            </w:r>
          </w:p>
        </w:tc>
        <w:tc>
          <w:tcPr>
            <w:tcW w:w="139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廖国宏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319"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毛桂梅</w:t>
            </w:r>
          </w:p>
        </w:tc>
        <w:tc>
          <w:tcPr>
            <w:tcW w:w="3799" w:type="dxa"/>
            <w:gridSpan w:val="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主管会计</w:t>
            </w:r>
          </w:p>
        </w:tc>
        <w:tc>
          <w:tcPr>
            <w:tcW w:w="3006"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tabs>
                <w:tab w:val="left" w:pos="6480"/>
              </w:tabs>
              <w:spacing w:before="100" w:beforeAutospacing="1" w:after="100" w:afterAutospacing="1"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农业农村局计划财务科</w:t>
            </w:r>
          </w:p>
        </w:tc>
        <w:tc>
          <w:tcPr>
            <w:tcW w:w="139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毛桂梅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319"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李永梅</w:t>
            </w:r>
          </w:p>
        </w:tc>
        <w:tc>
          <w:tcPr>
            <w:tcW w:w="3799" w:type="dxa"/>
            <w:gridSpan w:val="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资产管理及工资核算管理员</w:t>
            </w:r>
          </w:p>
        </w:tc>
        <w:tc>
          <w:tcPr>
            <w:tcW w:w="3006"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tabs>
                <w:tab w:val="left" w:pos="6480"/>
              </w:tabs>
              <w:spacing w:before="100" w:beforeAutospacing="1" w:after="100" w:afterAutospacing="1"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农业农村局计划财务科</w:t>
            </w:r>
          </w:p>
        </w:tc>
        <w:tc>
          <w:tcPr>
            <w:tcW w:w="139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李永梅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319" w:type="dxa"/>
            <w:gridSpan w:val="5"/>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高静芳</w:t>
            </w:r>
          </w:p>
        </w:tc>
        <w:tc>
          <w:tcPr>
            <w:tcW w:w="3799" w:type="dxa"/>
            <w:gridSpan w:val="7"/>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出纳员</w:t>
            </w:r>
          </w:p>
        </w:tc>
        <w:tc>
          <w:tcPr>
            <w:tcW w:w="3006" w:type="dxa"/>
            <w:gridSpan w:val="6"/>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tabs>
                <w:tab w:val="left" w:pos="6480"/>
              </w:tabs>
              <w:spacing w:before="100" w:beforeAutospacing="1" w:after="100" w:afterAutospacing="1"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农业农村局计划财务科</w:t>
            </w:r>
          </w:p>
        </w:tc>
        <w:tc>
          <w:tcPr>
            <w:tcW w:w="1396" w:type="dxa"/>
            <w:gridSpan w:val="4"/>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高静芳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0520" w:type="dxa"/>
            <w:gridSpan w:val="2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评价组组长（签字）：</w:t>
            </w:r>
            <w:r>
              <w:rPr>
                <w:rFonts w:hint="eastAsia" w:ascii="仿宋_GB2312" w:hAnsi="仿宋_GB2312" w:eastAsia="仿宋_GB2312" w:cs="仿宋_GB2312"/>
                <w:color w:val="000000"/>
                <w:kern w:val="0"/>
                <w:sz w:val="24"/>
                <w:lang w:val="en-US" w:eastAsia="zh-CN"/>
              </w:rPr>
              <w:t>李云和</w:t>
            </w:r>
          </w:p>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lang w:val="en-US" w:eastAsia="zh-CN"/>
              </w:rPr>
              <w:t>2021</w:t>
            </w:r>
            <w:r>
              <w:rPr>
                <w:rFonts w:hint="eastAsia" w:ascii="仿宋_GB2312" w:hAnsi="仿宋_GB2312" w:eastAsia="仿宋_GB2312" w:cs="仿宋_GB2312"/>
                <w:color w:val="000000"/>
                <w:kern w:val="0"/>
                <w:sz w:val="24"/>
              </w:rPr>
              <w:t xml:space="preserve"> 年 </w:t>
            </w:r>
            <w:r>
              <w:rPr>
                <w:rFonts w:hint="eastAsia" w:ascii="仿宋_GB2312" w:hAnsi="仿宋_GB2312" w:eastAsia="仿宋_GB2312" w:cs="仿宋_GB2312"/>
                <w:color w:val="000000"/>
                <w:kern w:val="0"/>
                <w:sz w:val="24"/>
                <w:lang w:val="en-US" w:eastAsia="zh-CN"/>
              </w:rPr>
              <w:t>5</w:t>
            </w:r>
            <w:r>
              <w:rPr>
                <w:rFonts w:hint="eastAsia" w:ascii="仿宋_GB2312" w:hAnsi="仿宋_GB2312" w:eastAsia="仿宋_GB2312" w:cs="仿宋_GB2312"/>
                <w:color w:val="000000"/>
                <w:kern w:val="0"/>
                <w:sz w:val="24"/>
              </w:rPr>
              <w:t xml:space="preserve"> 月</w:t>
            </w:r>
            <w:r>
              <w:rPr>
                <w:rFonts w:hint="eastAsia" w:ascii="仿宋_GB2312" w:hAnsi="仿宋_GB2312" w:eastAsia="仿宋_GB2312" w:cs="仿宋_GB2312"/>
                <w:color w:val="000000"/>
                <w:kern w:val="0"/>
                <w:sz w:val="24"/>
                <w:lang w:val="en-US" w:eastAsia="zh-CN"/>
              </w:rPr>
              <w:t>27</w:t>
            </w:r>
            <w:r>
              <w:rPr>
                <w:rFonts w:hint="eastAsia" w:ascii="仿宋_GB2312" w:hAnsi="仿宋_GB2312" w:eastAsia="仿宋_GB2312" w:cs="仿宋_GB2312"/>
                <w:color w:val="000000"/>
                <w:kern w:val="0"/>
                <w:sz w:val="24"/>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5" w:hRule="atLeast"/>
        </w:trPr>
        <w:tc>
          <w:tcPr>
            <w:tcW w:w="10520" w:type="dxa"/>
            <w:gridSpan w:val="2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widowControl/>
              <w:spacing w:before="100" w:beforeAutospacing="1" w:after="100" w:afterAutospacing="1" w:line="320" w:lineRule="exact"/>
              <w:ind w:firstLine="240" w:firstLineChars="100"/>
              <w:jc w:val="left"/>
              <w:textAlignment w:val="center"/>
              <w:rPr>
                <w:rFonts w:hint="eastAsia" w:ascii="仿宋_GB2312" w:hAnsi="仿宋_GB2312" w:eastAsia="仿宋_GB2312" w:cs="仿宋_GB2312"/>
                <w:color w:val="000000"/>
                <w:kern w:val="0"/>
                <w:sz w:val="24"/>
              </w:rPr>
            </w:pPr>
          </w:p>
          <w:p>
            <w:pPr>
              <w:widowControl/>
              <w:spacing w:before="100" w:beforeAutospacing="1" w:after="100" w:afterAutospacing="1" w:line="320" w:lineRule="exact"/>
              <w:ind w:firstLine="240" w:firstLineChars="10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部门（单位）意见：</w:t>
            </w:r>
          </w:p>
          <w:p>
            <w:pPr>
              <w:widowControl/>
              <w:spacing w:before="100" w:beforeAutospacing="1" w:after="100" w:afterAutospacing="1" w:line="320" w:lineRule="exact"/>
              <w:ind w:firstLine="1200" w:firstLineChars="500"/>
              <w:jc w:val="left"/>
              <w:textAlignment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经审核，同意上报！</w:t>
            </w:r>
          </w:p>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 xml:space="preserve">  </w:t>
            </w:r>
          </w:p>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部门（单位）负责人（签字）：</w:t>
            </w:r>
            <w:r>
              <w:rPr>
                <w:rFonts w:hint="eastAsia" w:ascii="仿宋_GB2312" w:hAnsi="仿宋_GB2312" w:eastAsia="仿宋_GB2312" w:cs="仿宋_GB2312"/>
                <w:color w:val="000000"/>
                <w:kern w:val="0"/>
                <w:sz w:val="24"/>
                <w:lang w:val="en-US" w:eastAsia="zh-CN"/>
              </w:rPr>
              <w:t>马付才</w:t>
            </w:r>
          </w:p>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rPr>
            </w:pPr>
          </w:p>
          <w:p>
            <w:pPr>
              <w:widowControl/>
              <w:spacing w:before="100" w:beforeAutospacing="1" w:after="100" w:afterAutospacing="1" w:line="320" w:lineRule="exact"/>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lang w:val="en-US" w:eastAsia="zh-CN"/>
              </w:rPr>
              <w:t>2021年</w:t>
            </w:r>
            <w:r>
              <w:rPr>
                <w:rFonts w:hint="eastAsia"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lang w:val="en-US" w:eastAsia="zh-CN"/>
              </w:rPr>
              <w:t>5</w:t>
            </w:r>
            <w:r>
              <w:rPr>
                <w:rFonts w:hint="eastAsia" w:ascii="仿宋_GB2312" w:hAnsi="仿宋_GB2312" w:eastAsia="仿宋_GB2312" w:cs="仿宋_GB2312"/>
                <w:color w:val="000000"/>
                <w:kern w:val="0"/>
                <w:sz w:val="24"/>
              </w:rPr>
              <w:t xml:space="preserve">月 </w:t>
            </w:r>
            <w:r>
              <w:rPr>
                <w:rFonts w:hint="eastAsia" w:ascii="仿宋_GB2312" w:hAnsi="仿宋_GB2312" w:eastAsia="仿宋_GB2312" w:cs="仿宋_GB2312"/>
                <w:color w:val="000000"/>
                <w:kern w:val="0"/>
                <w:sz w:val="24"/>
                <w:lang w:val="en-US" w:eastAsia="zh-CN"/>
              </w:rPr>
              <w:t>27</w:t>
            </w:r>
            <w:r>
              <w:rPr>
                <w:rFonts w:hint="eastAsia" w:ascii="仿宋_GB2312" w:hAnsi="仿宋_GB2312" w:eastAsia="仿宋_GB2312" w:cs="仿宋_GB2312"/>
                <w:color w:val="000000"/>
                <w:kern w:val="0"/>
                <w:sz w:val="24"/>
              </w:rPr>
              <w:t>日</w:t>
            </w:r>
          </w:p>
          <w:p>
            <w:pPr>
              <w:widowControl/>
              <w:spacing w:before="100" w:beforeAutospacing="1" w:after="100" w:afterAutospacing="1" w:line="320" w:lineRule="exact"/>
              <w:jc w:val="left"/>
              <w:textAlignment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695" w:type="dxa"/>
            <w:gridSpan w:val="3"/>
            <w:tcBorders>
              <w:top w:val="nil"/>
              <w:left w:val="nil"/>
              <w:bottom w:val="nil"/>
              <w:right w:val="nil"/>
            </w:tcBorders>
            <w:vAlign w:val="center"/>
          </w:tcPr>
          <w:p>
            <w:pPr>
              <w:widowControl/>
              <w:jc w:val="left"/>
              <w:rPr>
                <w:rFonts w:ascii="Arial" w:hAnsi="Arial" w:cs="Arial"/>
                <w:kern w:val="0"/>
                <w:sz w:val="1"/>
                <w:szCs w:val="18"/>
              </w:rPr>
            </w:pPr>
          </w:p>
        </w:tc>
        <w:tc>
          <w:tcPr>
            <w:tcW w:w="144" w:type="dxa"/>
            <w:tcBorders>
              <w:top w:val="nil"/>
              <w:left w:val="nil"/>
              <w:bottom w:val="nil"/>
              <w:right w:val="nil"/>
            </w:tcBorders>
            <w:vAlign w:val="center"/>
          </w:tcPr>
          <w:p>
            <w:pPr>
              <w:widowControl/>
              <w:jc w:val="left"/>
              <w:rPr>
                <w:rFonts w:ascii="Arial" w:hAnsi="Arial" w:cs="Arial"/>
                <w:kern w:val="0"/>
                <w:sz w:val="1"/>
                <w:szCs w:val="18"/>
              </w:rPr>
            </w:pPr>
          </w:p>
        </w:tc>
        <w:tc>
          <w:tcPr>
            <w:tcW w:w="480" w:type="dxa"/>
            <w:tcBorders>
              <w:top w:val="nil"/>
              <w:left w:val="nil"/>
              <w:bottom w:val="nil"/>
              <w:right w:val="nil"/>
            </w:tcBorders>
            <w:vAlign w:val="center"/>
          </w:tcPr>
          <w:p>
            <w:pPr>
              <w:widowControl/>
              <w:jc w:val="left"/>
              <w:rPr>
                <w:rFonts w:ascii="Arial" w:hAnsi="Arial" w:cs="Arial"/>
                <w:kern w:val="0"/>
                <w:sz w:val="1"/>
                <w:szCs w:val="18"/>
              </w:rPr>
            </w:pPr>
          </w:p>
        </w:tc>
        <w:tc>
          <w:tcPr>
            <w:tcW w:w="735" w:type="dxa"/>
            <w:tcBorders>
              <w:top w:val="nil"/>
              <w:left w:val="nil"/>
              <w:bottom w:val="nil"/>
              <w:right w:val="nil"/>
            </w:tcBorders>
            <w:vAlign w:val="center"/>
          </w:tcPr>
          <w:p>
            <w:pPr>
              <w:widowControl/>
              <w:jc w:val="left"/>
              <w:rPr>
                <w:rFonts w:ascii="Arial" w:hAnsi="Arial" w:cs="Arial"/>
                <w:kern w:val="0"/>
                <w:sz w:val="1"/>
                <w:szCs w:val="18"/>
              </w:rPr>
            </w:pPr>
          </w:p>
        </w:tc>
        <w:tc>
          <w:tcPr>
            <w:tcW w:w="334" w:type="dxa"/>
            <w:tcBorders>
              <w:top w:val="nil"/>
              <w:left w:val="nil"/>
              <w:bottom w:val="nil"/>
              <w:right w:val="nil"/>
            </w:tcBorders>
            <w:vAlign w:val="center"/>
          </w:tcPr>
          <w:p>
            <w:pPr>
              <w:widowControl/>
              <w:jc w:val="left"/>
              <w:rPr>
                <w:rFonts w:ascii="Arial" w:hAnsi="Arial" w:cs="Arial"/>
                <w:kern w:val="0"/>
                <w:sz w:val="1"/>
                <w:szCs w:val="18"/>
              </w:rPr>
            </w:pPr>
          </w:p>
        </w:tc>
        <w:tc>
          <w:tcPr>
            <w:tcW w:w="1005" w:type="dxa"/>
            <w:tcBorders>
              <w:top w:val="nil"/>
              <w:left w:val="nil"/>
              <w:bottom w:val="nil"/>
              <w:right w:val="nil"/>
            </w:tcBorders>
            <w:vAlign w:val="center"/>
          </w:tcPr>
          <w:p>
            <w:pPr>
              <w:widowControl/>
              <w:jc w:val="left"/>
              <w:rPr>
                <w:rFonts w:ascii="Arial" w:hAnsi="Arial" w:cs="Arial"/>
                <w:kern w:val="0"/>
                <w:sz w:val="1"/>
                <w:szCs w:val="18"/>
              </w:rPr>
            </w:pPr>
          </w:p>
        </w:tc>
        <w:tc>
          <w:tcPr>
            <w:tcW w:w="420" w:type="dxa"/>
            <w:tcBorders>
              <w:top w:val="nil"/>
              <w:left w:val="nil"/>
              <w:bottom w:val="nil"/>
              <w:right w:val="nil"/>
            </w:tcBorders>
            <w:vAlign w:val="center"/>
          </w:tcPr>
          <w:p>
            <w:pPr>
              <w:widowControl/>
              <w:jc w:val="left"/>
              <w:rPr>
                <w:rFonts w:ascii="Arial" w:hAnsi="Arial" w:cs="Arial"/>
                <w:kern w:val="0"/>
                <w:sz w:val="1"/>
                <w:szCs w:val="18"/>
              </w:rPr>
            </w:pPr>
          </w:p>
        </w:tc>
        <w:tc>
          <w:tcPr>
            <w:tcW w:w="1035" w:type="dxa"/>
            <w:tcBorders>
              <w:top w:val="nil"/>
              <w:left w:val="nil"/>
              <w:bottom w:val="nil"/>
              <w:right w:val="nil"/>
            </w:tcBorders>
            <w:vAlign w:val="center"/>
          </w:tcPr>
          <w:p>
            <w:pPr>
              <w:widowControl/>
              <w:jc w:val="left"/>
              <w:rPr>
                <w:rFonts w:ascii="Arial" w:hAnsi="Arial" w:cs="Arial"/>
                <w:kern w:val="0"/>
                <w:sz w:val="1"/>
                <w:szCs w:val="18"/>
              </w:rPr>
            </w:pPr>
          </w:p>
        </w:tc>
        <w:tc>
          <w:tcPr>
            <w:tcW w:w="270" w:type="dxa"/>
            <w:gridSpan w:val="2"/>
            <w:tcBorders>
              <w:top w:val="nil"/>
              <w:left w:val="nil"/>
              <w:bottom w:val="nil"/>
              <w:right w:val="nil"/>
            </w:tcBorders>
            <w:vAlign w:val="center"/>
          </w:tcPr>
          <w:p>
            <w:pPr>
              <w:widowControl/>
              <w:jc w:val="left"/>
              <w:rPr>
                <w:rFonts w:ascii="Arial" w:hAnsi="Arial" w:cs="Arial"/>
                <w:kern w:val="0"/>
                <w:sz w:val="1"/>
                <w:szCs w:val="18"/>
              </w:rPr>
            </w:pPr>
          </w:p>
        </w:tc>
        <w:tc>
          <w:tcPr>
            <w:tcW w:w="144" w:type="dxa"/>
            <w:tcBorders>
              <w:top w:val="nil"/>
              <w:left w:val="nil"/>
              <w:bottom w:val="nil"/>
              <w:right w:val="nil"/>
            </w:tcBorders>
            <w:vAlign w:val="center"/>
          </w:tcPr>
          <w:p>
            <w:pPr>
              <w:widowControl/>
              <w:jc w:val="left"/>
              <w:rPr>
                <w:rFonts w:ascii="Arial" w:hAnsi="Arial" w:cs="Arial"/>
                <w:kern w:val="0"/>
                <w:sz w:val="1"/>
                <w:szCs w:val="18"/>
              </w:rPr>
            </w:pPr>
          </w:p>
        </w:tc>
        <w:tc>
          <w:tcPr>
            <w:tcW w:w="1320" w:type="dxa"/>
            <w:tcBorders>
              <w:top w:val="nil"/>
              <w:left w:val="nil"/>
              <w:bottom w:val="nil"/>
              <w:right w:val="nil"/>
            </w:tcBorders>
            <w:vAlign w:val="center"/>
          </w:tcPr>
          <w:p>
            <w:pPr>
              <w:widowControl/>
              <w:jc w:val="left"/>
              <w:rPr>
                <w:rFonts w:ascii="Arial" w:hAnsi="Arial" w:cs="Arial"/>
                <w:kern w:val="0"/>
                <w:sz w:val="1"/>
                <w:szCs w:val="18"/>
              </w:rPr>
            </w:pPr>
          </w:p>
        </w:tc>
        <w:tc>
          <w:tcPr>
            <w:tcW w:w="144" w:type="dxa"/>
            <w:tcBorders>
              <w:top w:val="nil"/>
              <w:left w:val="nil"/>
              <w:bottom w:val="nil"/>
              <w:right w:val="nil"/>
            </w:tcBorders>
            <w:vAlign w:val="center"/>
          </w:tcPr>
          <w:p>
            <w:pPr>
              <w:widowControl/>
              <w:jc w:val="left"/>
              <w:rPr>
                <w:rFonts w:ascii="Arial" w:hAnsi="Arial" w:cs="Arial"/>
                <w:kern w:val="0"/>
                <w:sz w:val="1"/>
                <w:szCs w:val="18"/>
              </w:rPr>
            </w:pPr>
          </w:p>
        </w:tc>
        <w:tc>
          <w:tcPr>
            <w:tcW w:w="420" w:type="dxa"/>
            <w:tcBorders>
              <w:top w:val="nil"/>
              <w:left w:val="nil"/>
              <w:bottom w:val="nil"/>
              <w:right w:val="nil"/>
            </w:tcBorders>
            <w:vAlign w:val="center"/>
          </w:tcPr>
          <w:p>
            <w:pPr>
              <w:widowControl/>
              <w:jc w:val="left"/>
              <w:rPr>
                <w:rFonts w:ascii="Arial" w:hAnsi="Arial" w:cs="Arial"/>
                <w:kern w:val="0"/>
                <w:sz w:val="1"/>
                <w:szCs w:val="18"/>
              </w:rPr>
            </w:pPr>
          </w:p>
        </w:tc>
        <w:tc>
          <w:tcPr>
            <w:tcW w:w="738" w:type="dxa"/>
            <w:tcBorders>
              <w:top w:val="nil"/>
              <w:left w:val="nil"/>
              <w:bottom w:val="nil"/>
              <w:right w:val="nil"/>
            </w:tcBorders>
            <w:vAlign w:val="center"/>
          </w:tcPr>
          <w:p>
            <w:pPr>
              <w:widowControl/>
              <w:jc w:val="left"/>
              <w:rPr>
                <w:rFonts w:ascii="Arial" w:hAnsi="Arial" w:cs="Arial"/>
                <w:kern w:val="0"/>
                <w:sz w:val="1"/>
                <w:szCs w:val="18"/>
              </w:rPr>
            </w:pPr>
          </w:p>
        </w:tc>
        <w:tc>
          <w:tcPr>
            <w:tcW w:w="240" w:type="dxa"/>
            <w:tcBorders>
              <w:top w:val="nil"/>
              <w:left w:val="nil"/>
              <w:bottom w:val="nil"/>
              <w:right w:val="nil"/>
            </w:tcBorders>
            <w:vAlign w:val="center"/>
          </w:tcPr>
          <w:p>
            <w:pPr>
              <w:widowControl/>
              <w:jc w:val="left"/>
              <w:rPr>
                <w:rFonts w:ascii="Arial" w:hAnsi="Arial" w:cs="Arial"/>
                <w:kern w:val="0"/>
                <w:sz w:val="1"/>
                <w:szCs w:val="18"/>
              </w:rPr>
            </w:pPr>
          </w:p>
        </w:tc>
        <w:tc>
          <w:tcPr>
            <w:tcW w:w="360" w:type="dxa"/>
            <w:tcBorders>
              <w:top w:val="nil"/>
              <w:left w:val="nil"/>
              <w:bottom w:val="nil"/>
              <w:right w:val="nil"/>
            </w:tcBorders>
            <w:vAlign w:val="center"/>
          </w:tcPr>
          <w:p>
            <w:pPr>
              <w:widowControl/>
              <w:jc w:val="left"/>
              <w:rPr>
                <w:rFonts w:ascii="Arial" w:hAnsi="Arial" w:cs="Arial"/>
                <w:kern w:val="0"/>
                <w:sz w:val="1"/>
                <w:szCs w:val="18"/>
              </w:rPr>
            </w:pPr>
          </w:p>
        </w:tc>
        <w:tc>
          <w:tcPr>
            <w:tcW w:w="240" w:type="dxa"/>
            <w:gridSpan w:val="2"/>
            <w:tcBorders>
              <w:top w:val="nil"/>
              <w:left w:val="nil"/>
              <w:bottom w:val="nil"/>
              <w:right w:val="nil"/>
            </w:tcBorders>
            <w:vAlign w:val="center"/>
          </w:tcPr>
          <w:p>
            <w:pPr>
              <w:widowControl/>
              <w:jc w:val="left"/>
              <w:rPr>
                <w:rFonts w:ascii="Arial" w:hAnsi="Arial" w:cs="Arial"/>
                <w:kern w:val="0"/>
                <w:sz w:val="1"/>
                <w:szCs w:val="18"/>
              </w:rPr>
            </w:pPr>
          </w:p>
        </w:tc>
        <w:tc>
          <w:tcPr>
            <w:tcW w:w="796" w:type="dxa"/>
            <w:tcBorders>
              <w:top w:val="nil"/>
              <w:left w:val="nil"/>
              <w:bottom w:val="nil"/>
              <w:right w:val="nil"/>
            </w:tcBorders>
            <w:vAlign w:val="center"/>
          </w:tcPr>
          <w:p>
            <w:pPr>
              <w:widowControl/>
              <w:jc w:val="left"/>
              <w:rPr>
                <w:rFonts w:ascii="Arial" w:hAnsi="Arial" w:cs="Arial"/>
                <w:kern w:val="0"/>
                <w:sz w:val="1"/>
                <w:szCs w:val="18"/>
              </w:rPr>
            </w:pPr>
          </w:p>
        </w:tc>
      </w:tr>
    </w:tbl>
    <w:p>
      <w:pPr>
        <w:widowControl/>
        <w:tabs>
          <w:tab w:val="left" w:pos="6480"/>
        </w:tabs>
        <w:spacing w:before="100" w:beforeAutospacing="1" w:after="100" w:afterAutospacing="1" w:line="320" w:lineRule="exact"/>
        <w:jc w:val="left"/>
      </w:pPr>
      <w:r>
        <w:rPr>
          <w:rFonts w:hint="eastAsia" w:hAnsi="宋体" w:eastAsia="仿宋_GB2312" w:cs="仿宋_GB2312"/>
          <w:bCs/>
          <w:kern w:val="0"/>
          <w:sz w:val="24"/>
        </w:rPr>
        <w:t>填报人（签名）：</w:t>
      </w:r>
      <w:r>
        <w:rPr>
          <w:rFonts w:hint="eastAsia" w:hAnsi="宋体" w:eastAsia="仿宋_GB2312" w:cs="仿宋_GB2312"/>
          <w:bCs/>
          <w:kern w:val="0"/>
          <w:sz w:val="24"/>
          <w:lang w:val="en-US" w:eastAsia="zh-CN"/>
        </w:rPr>
        <w:t>毛桂梅</w:t>
      </w:r>
      <w:r>
        <w:rPr>
          <w:rFonts w:ascii="宋体" w:hAnsi="宋体" w:eastAsia="仿宋_GB2312" w:cs="仿宋_GB2312"/>
          <w:bCs/>
          <w:kern w:val="0"/>
          <w:sz w:val="24"/>
        </w:rPr>
        <w:t xml:space="preserve">                          </w:t>
      </w:r>
      <w:r>
        <w:rPr>
          <w:rFonts w:hint="eastAsia" w:hAnsi="宋体" w:eastAsia="仿宋_GB2312" w:cs="仿宋_GB2312"/>
          <w:bCs/>
          <w:kern w:val="0"/>
          <w:sz w:val="24"/>
        </w:rPr>
        <w:t>联系电话</w:t>
      </w:r>
      <w:r>
        <w:rPr>
          <w:rFonts w:hint="eastAsia" w:hAnsi="宋体" w:eastAsia="仿宋_GB2312" w:cs="仿宋_GB2312"/>
          <w:bCs/>
          <w:kern w:val="0"/>
          <w:sz w:val="24"/>
          <w:lang w:val="en-US" w:eastAsia="zh-CN"/>
        </w:rPr>
        <w:t>67597842</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05F58"/>
    <w:rsid w:val="26AE620C"/>
    <w:rsid w:val="54105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昆明市宜良县党政机关单位</Company>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2021-06-24T01:47:00Z</dcterms:created>
  <dc:creator>admin</dc:creator>
  <cp:lastModifiedBy>JINNNY</cp:lastModifiedBy>
  <dcterms:modified xsi:type="dcterms:W3CDTF">2021-06-24T01:57:41Z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FC657AD023844D08805970D33EB881FD</vt:lpwstr>
  </property>
</Properties>
</file>