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3"/>
        <w:spacing w:line="360" w:lineRule="auto"/>
        <w:ind w:left="0"/>
        <w:jc w:val="center"/>
        <w:rPr>
          <w:rFonts w:hint="default" w:ascii="Times New Roman" w:hAnsi="Times New Roman" w:eastAsia="仿宋" w:cs="Times New Roman"/>
          <w:b/>
          <w:bCs/>
          <w:color w:val="auto"/>
          <w:sz w:val="30"/>
          <w:szCs w:val="30"/>
        </w:rPr>
      </w:pPr>
      <w:bookmarkStart w:id="0" w:name="_Toc17531"/>
      <w:r>
        <w:rPr>
          <w:rFonts w:hint="default" w:ascii="Times New Roman" w:hAnsi="Times New Roman" w:eastAsia="仿宋" w:cs="Times New Roman"/>
          <w:b/>
          <w:bCs/>
          <w:color w:val="auto"/>
          <w:sz w:val="30"/>
          <w:szCs w:val="30"/>
        </w:rPr>
        <w:t>《建设项目环境影响报告表》编制说明</w:t>
      </w:r>
    </w:p>
    <w:p>
      <w:pPr>
        <w:pStyle w:val="134"/>
        <w:adjustRightInd w:val="0"/>
        <w:snapToGrid w:val="0"/>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《建设项目环境影响报告表》由具有从事环境影响评价资质的单位编制。</w:t>
      </w:r>
    </w:p>
    <w:p>
      <w:pPr>
        <w:pStyle w:val="134"/>
        <w:adjustRightInd w:val="0"/>
        <w:snapToGrid w:val="0"/>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1.项目名称—</w:t>
      </w:r>
      <w:r>
        <w:rPr>
          <w:rFonts w:hint="default" w:ascii="Times New Roman" w:hAnsi="Times New Roman" w:eastAsia="仿宋" w:cs="Times New Roman"/>
          <w:color w:val="auto"/>
          <w:sz w:val="28"/>
          <w:szCs w:val="28"/>
        </w:rPr>
        <w:t>指项目立项批复时的名称，应不超过</w:t>
      </w:r>
      <w:r>
        <w:rPr>
          <w:rFonts w:hint="default" w:ascii="Times New Roman" w:hAnsi="Times New Roman" w:eastAsia="仿宋" w:cs="Times New Roman"/>
          <w:color w:val="auto"/>
          <w:sz w:val="28"/>
          <w:szCs w:val="28"/>
        </w:rPr>
        <w:t>30</w:t>
      </w:r>
      <w:r>
        <w:rPr>
          <w:rFonts w:hint="default" w:ascii="Times New Roman" w:hAnsi="Times New Roman" w:eastAsia="仿宋" w:cs="Times New Roman"/>
          <w:color w:val="auto"/>
          <w:sz w:val="28"/>
          <w:szCs w:val="28"/>
        </w:rPr>
        <w:t>个字</w:t>
      </w: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rPr>
        <w:t>两个英文字段作一个汉字</w:t>
      </w: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rPr>
        <w:t>。</w:t>
      </w:r>
    </w:p>
    <w:p>
      <w:pPr>
        <w:pStyle w:val="134"/>
        <w:adjustRightInd w:val="0"/>
        <w:snapToGrid w:val="0"/>
        <w:spacing w:line="360" w:lineRule="auto"/>
        <w:ind w:firstLine="5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w:t>
      </w:r>
      <w:r>
        <w:rPr>
          <w:rFonts w:hint="default" w:ascii="Times New Roman" w:hAnsi="Times New Roman" w:eastAsia="仿宋" w:cs="Times New Roman"/>
          <w:color w:val="auto"/>
          <w:sz w:val="28"/>
          <w:szCs w:val="28"/>
        </w:rPr>
        <w:t>建设地点</w:t>
      </w: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rPr>
        <w:t>指项目所在地详细地址，公路、铁路应填写起止终点。</w:t>
      </w:r>
    </w:p>
    <w:p>
      <w:pPr>
        <w:pStyle w:val="134"/>
        <w:adjustRightInd w:val="0"/>
        <w:snapToGrid w:val="0"/>
        <w:spacing w:line="360" w:lineRule="auto"/>
        <w:ind w:firstLine="5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3.行业类别—</w:t>
      </w:r>
      <w:r>
        <w:rPr>
          <w:rFonts w:hint="default" w:ascii="Times New Roman" w:hAnsi="Times New Roman" w:eastAsia="仿宋" w:cs="Times New Roman"/>
          <w:color w:val="auto"/>
          <w:sz w:val="28"/>
          <w:szCs w:val="28"/>
        </w:rPr>
        <w:t>按国标填写。</w:t>
      </w:r>
    </w:p>
    <w:p>
      <w:pPr>
        <w:pStyle w:val="134"/>
        <w:adjustRightInd w:val="0"/>
        <w:snapToGrid w:val="0"/>
        <w:spacing w:line="360" w:lineRule="auto"/>
        <w:ind w:firstLine="5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4.总投资—</w:t>
      </w:r>
      <w:r>
        <w:rPr>
          <w:rFonts w:hint="default" w:ascii="Times New Roman" w:hAnsi="Times New Roman" w:eastAsia="仿宋" w:cs="Times New Roman"/>
          <w:color w:val="auto"/>
          <w:sz w:val="28"/>
          <w:szCs w:val="28"/>
        </w:rPr>
        <w:t>指项目投资总额。</w:t>
      </w:r>
    </w:p>
    <w:p>
      <w:pPr>
        <w:pStyle w:val="134"/>
        <w:adjustRightInd w:val="0"/>
        <w:snapToGrid w:val="0"/>
        <w:spacing w:line="360" w:lineRule="auto"/>
        <w:ind w:firstLine="5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5.</w:t>
      </w:r>
      <w:r>
        <w:rPr>
          <w:rFonts w:hint="default" w:ascii="Times New Roman" w:hAnsi="Times New Roman" w:eastAsia="仿宋" w:cs="Times New Roman"/>
          <w:color w:val="auto"/>
          <w:sz w:val="28"/>
          <w:szCs w:val="28"/>
        </w:rPr>
        <w:t>主要环境保护目标</w:t>
      </w: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rPr>
        <w:t>指项目区周围一定范围内集中居民住宅区、学校、医院、保护文物、风景名胜区、水源地和生态敏感点等，应尽可能给出保护目标、性质、规模和距厂界距离等。</w:t>
      </w:r>
    </w:p>
    <w:p>
      <w:pPr>
        <w:pStyle w:val="134"/>
        <w:adjustRightInd w:val="0"/>
        <w:snapToGrid w:val="0"/>
        <w:spacing w:line="360" w:lineRule="auto"/>
        <w:ind w:firstLine="5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6.</w:t>
      </w:r>
      <w:r>
        <w:rPr>
          <w:rFonts w:hint="default" w:ascii="Times New Roman" w:hAnsi="Times New Roman" w:eastAsia="仿宋" w:cs="Times New Roman"/>
          <w:color w:val="auto"/>
          <w:sz w:val="28"/>
          <w:szCs w:val="28"/>
        </w:rPr>
        <w:t>结论与建议</w:t>
      </w: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rPr>
        <w:t>给出拟建项目清洁生产、达标排放和总量控制的分析结论，确定污染防治措施的有效性，说明拟建项目对环境造成的影响，给出建设项目环境可行性的明确结论。同时提出减少环境影响的其他建议。</w:t>
      </w:r>
    </w:p>
    <w:p>
      <w:pPr>
        <w:pStyle w:val="134"/>
        <w:adjustRightInd w:val="0"/>
        <w:snapToGrid w:val="0"/>
        <w:spacing w:line="360" w:lineRule="auto"/>
        <w:ind w:firstLine="5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7.</w:t>
      </w:r>
      <w:r>
        <w:rPr>
          <w:rFonts w:hint="default" w:ascii="Times New Roman" w:hAnsi="Times New Roman" w:eastAsia="仿宋" w:cs="Times New Roman"/>
          <w:color w:val="auto"/>
          <w:sz w:val="28"/>
          <w:szCs w:val="28"/>
        </w:rPr>
        <w:t>预审意见</w:t>
      </w: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rPr>
        <w:t>由行业主管部门填写答复意见，无主管部门项目，不填。</w:t>
      </w:r>
    </w:p>
    <w:p>
      <w:pPr>
        <w:pStyle w:val="134"/>
        <w:adjustRightInd w:val="0"/>
        <w:snapToGrid w:val="0"/>
        <w:spacing w:line="360" w:lineRule="auto"/>
        <w:ind w:firstLine="560"/>
        <w:rPr>
          <w:rFonts w:hint="default" w:ascii="Times New Roman" w:hAnsi="Times New Roman" w:eastAsia="仿宋" w:cs="Times New Roman"/>
          <w:color w:val="auto"/>
          <w:sz w:val="28"/>
          <w:szCs w:val="28"/>
        </w:rPr>
        <w:sectPr>
          <w:footerReference r:id="rId3" w:type="default"/>
          <w:pgSz w:w="11907" w:h="16840"/>
          <w:pgMar w:top="1418" w:right="1134" w:bottom="1418" w:left="1418" w:header="1247" w:footer="1247" w:gutter="0"/>
          <w:pgNumType w:start="1" w:chapStyle="1"/>
          <w:cols w:space="720" w:num="1"/>
          <w:docGrid w:linePitch="381" w:charSpace="0"/>
        </w:sectPr>
      </w:pPr>
      <w:r>
        <w:rPr>
          <w:rFonts w:hint="default" w:ascii="Times New Roman" w:hAnsi="Times New Roman" w:eastAsia="仿宋" w:cs="Times New Roman"/>
          <w:color w:val="auto"/>
          <w:sz w:val="28"/>
          <w:szCs w:val="28"/>
        </w:rPr>
        <w:t>8.审批意见—由负责审批该项目的环境保护行政主管部门批复。</w:t>
      </w:r>
    </w:p>
    <w:p>
      <w:pPr>
        <w:rPr>
          <w:rFonts w:ascii="Times New Roman" w:hAnsi="Times New Roman"/>
          <w:color w:val="auto"/>
        </w:rPr>
      </w:pPr>
      <w:r>
        <w:rPr>
          <w:rFonts w:ascii="Times New Roman" w:hAnsi="Times New Roman"/>
          <w:color w:val="auto"/>
        </w:rPr>
        <w:br w:type="page"/>
      </w:r>
    </w:p>
    <w:p>
      <w:pPr>
        <w:pStyle w:val="2"/>
        <w:spacing w:line="240" w:lineRule="auto"/>
        <w:jc w:val="center"/>
        <w:rPr>
          <w:rFonts w:hint="eastAsia" w:eastAsia="宋体"/>
          <w:b/>
          <w:bCs/>
          <w:color w:val="auto"/>
          <w:lang w:eastAsia="zh-CN"/>
        </w:rPr>
      </w:pPr>
      <w:r>
        <w:rPr>
          <w:rFonts w:hint="eastAsia"/>
          <w:b/>
          <w:bCs/>
          <w:color w:val="auto"/>
          <w:lang w:eastAsia="zh-CN"/>
        </w:rPr>
        <w:t>现</w:t>
      </w:r>
      <w:r>
        <w:rPr>
          <w:rFonts w:hint="eastAsia"/>
          <w:b/>
          <w:bCs/>
          <w:color w:val="auto"/>
          <w:lang w:val="en-US" w:eastAsia="zh-CN"/>
        </w:rPr>
        <w:t xml:space="preserve"> </w:t>
      </w:r>
      <w:r>
        <w:rPr>
          <w:rFonts w:hint="eastAsia"/>
          <w:b/>
          <w:bCs/>
          <w:color w:val="auto"/>
          <w:lang w:eastAsia="zh-CN"/>
        </w:rPr>
        <w:t>场</w:t>
      </w:r>
      <w:r>
        <w:rPr>
          <w:rFonts w:hint="eastAsia"/>
          <w:b/>
          <w:bCs/>
          <w:color w:val="auto"/>
          <w:lang w:val="en-US" w:eastAsia="zh-CN"/>
        </w:rPr>
        <w:t xml:space="preserve"> </w:t>
      </w:r>
      <w:r>
        <w:rPr>
          <w:rFonts w:hint="eastAsia"/>
          <w:b/>
          <w:bCs/>
          <w:color w:val="auto"/>
          <w:lang w:eastAsia="zh-CN"/>
        </w:rPr>
        <w:t>照</w:t>
      </w:r>
      <w:r>
        <w:rPr>
          <w:rFonts w:hint="eastAsia"/>
          <w:b/>
          <w:bCs/>
          <w:color w:val="auto"/>
          <w:lang w:val="en-US" w:eastAsia="zh-CN"/>
        </w:rPr>
        <w:t xml:space="preserve"> </w:t>
      </w:r>
      <w:r>
        <w:rPr>
          <w:rFonts w:hint="eastAsia"/>
          <w:b/>
          <w:bCs/>
          <w:color w:val="auto"/>
          <w:lang w:eastAsia="zh-CN"/>
        </w:rPr>
        <w:t>片</w:t>
      </w:r>
    </w:p>
    <w:tbl>
      <w:tblPr>
        <w:tblStyle w:val="3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27"/>
        <w:gridCol w:w="49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9" w:hRule="atLeast"/>
        </w:trPr>
        <w:tc>
          <w:tcPr>
            <w:tcW w:w="4927" w:type="dxa"/>
          </w:tcPr>
          <w:p>
            <w:pPr>
              <w:adjustRightInd w:val="0"/>
              <w:snapToGrid w:val="0"/>
              <w:spacing w:line="360" w:lineRule="auto"/>
              <w:rPr>
                <w:rFonts w:ascii="Times New Roman" w:hAnsi="Times New Roman"/>
                <w:color w:val="auto"/>
              </w:rPr>
            </w:pPr>
            <w:r>
              <w:rPr>
                <w:rFonts w:ascii="Times New Roman" w:hAnsi="Times New Roman"/>
                <w:color w:val="auto"/>
                <w:sz w:val="30"/>
                <w:szCs w:val="30"/>
              </w:rPr>
              <mc:AlternateContent>
                <mc:Choice Requires="wps">
                  <w:drawing>
                    <wp:anchor distT="0" distB="0" distL="114300" distR="114300" simplePos="0" relativeHeight="251659264" behindDoc="0" locked="0" layoutInCell="1" allowOverlap="1">
                      <wp:simplePos x="0" y="0"/>
                      <wp:positionH relativeFrom="column">
                        <wp:posOffset>1994535</wp:posOffset>
                      </wp:positionH>
                      <wp:positionV relativeFrom="paragraph">
                        <wp:posOffset>1936115</wp:posOffset>
                      </wp:positionV>
                      <wp:extent cx="977265" cy="287020"/>
                      <wp:effectExtent l="3810" t="0" r="0" b="0"/>
                      <wp:wrapNone/>
                      <wp:docPr id="15"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977265" cy="287020"/>
                              </a:xfrm>
                              <a:prstGeom prst="rect">
                                <a:avLst/>
                              </a:prstGeom>
                              <a:noFill/>
                              <a:ln>
                                <a:noFill/>
                              </a:ln>
                              <a:effectLst/>
                            </wps:spPr>
                            <wps:txbx>
                              <w:txbxContent>
                                <w:p>
                                  <w:pPr>
                                    <w:jc w:val="left"/>
                                    <w:rPr>
                                      <w:rFonts w:ascii="宋体" w:hAnsi="宋体"/>
                                      <w:b/>
                                    </w:rPr>
                                  </w:pPr>
                                  <w:r>
                                    <w:rPr>
                                      <w:rFonts w:hint="eastAsia" w:ascii="宋体" w:hAnsi="宋体"/>
                                      <w:b/>
                                      <w:color w:val="FFC000"/>
                                    </w:rPr>
                                    <w:t>202</w:t>
                                  </w:r>
                                  <w:r>
                                    <w:rPr>
                                      <w:rFonts w:hint="eastAsia" w:ascii="宋体" w:hAnsi="宋体"/>
                                      <w:b/>
                                      <w:color w:val="FFC000"/>
                                      <w:lang w:val="en-US" w:eastAsia="zh-CN"/>
                                    </w:rPr>
                                    <w:t>1</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4</w:t>
                                  </w:r>
                                </w:p>
                              </w:txbxContent>
                            </wps:txbx>
                            <wps:bodyPr rot="0" vert="horz" wrap="square" lIns="91440" tIns="45720" rIns="91440" bIns="45720" anchor="t" anchorCtr="0" upright="1">
                              <a:noAutofit/>
                            </wps:bodyPr>
                          </wps:wsp>
                        </a:graphicData>
                      </a:graphic>
                    </wp:anchor>
                  </w:drawing>
                </mc:Choice>
                <mc:Fallback>
                  <w:pict>
                    <v:shape id="文本框 30" o:spid="_x0000_s1026" o:spt="202" type="#_x0000_t202" style="position:absolute;left:0pt;margin-left:157.05pt;margin-top:152.45pt;height:22.6pt;width:76.95pt;z-index:251659264;mso-width-relative:page;mso-height-relative:page;" filled="f" stroked="f" coordsize="21600,21600" o:gfxdata="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YYxE9gAAAAL&#10;AQAADwAAAAAAAAABACAAAAAiAAAAZHJzL2Rvd25yZXYueG1sUEsBAhQAFAAAAAgAh07iQD13kLAc&#10;AgAAJAQAAA4AAAAAAAAAAQAgAAAAJwEAAGRycy9lMm9Eb2MueG1sUEsFBgAAAAAGAAYAWQEAALUF&#10;AAAAAA==&#10;">
                      <v:fill on="f" focussize="0,0"/>
                      <v:stroke on="f"/>
                      <v:imagedata o:title=""/>
                      <o:lock v:ext="edit" aspectratio="f"/>
                      <v:textbox>
                        <w:txbxContent>
                          <w:p>
                            <w:pPr>
                              <w:jc w:val="left"/>
                              <w:rPr>
                                <w:rFonts w:ascii="宋体" w:hAnsi="宋体"/>
                                <w:b/>
                              </w:rPr>
                            </w:pPr>
                            <w:r>
                              <w:rPr>
                                <w:rFonts w:hint="eastAsia" w:ascii="宋体" w:hAnsi="宋体"/>
                                <w:b/>
                                <w:color w:val="FFC000"/>
                              </w:rPr>
                              <w:t>202</w:t>
                            </w:r>
                            <w:r>
                              <w:rPr>
                                <w:rFonts w:hint="eastAsia" w:ascii="宋体" w:hAnsi="宋体"/>
                                <w:b/>
                                <w:color w:val="FFC000"/>
                                <w:lang w:val="en-US" w:eastAsia="zh-CN"/>
                              </w:rPr>
                              <w:t>1</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4</w:t>
                            </w:r>
                          </w:p>
                        </w:txbxContent>
                      </v:textbox>
                    </v:shape>
                  </w:pict>
                </mc:Fallback>
              </mc:AlternateContent>
            </w:r>
            <w:r>
              <w:rPr>
                <w:rFonts w:ascii="Times New Roman" w:hAnsi="Times New Roman"/>
                <w:color w:val="auto"/>
              </w:rPr>
              <w:drawing>
                <wp:inline distT="0" distB="0" distL="0" distR="0">
                  <wp:extent cx="2981325" cy="2228850"/>
                  <wp:effectExtent l="0" t="0" r="0" b="0"/>
                  <wp:docPr id="1" name="图片 40" descr="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0" descr="排气筒"/>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981325" cy="2228850"/>
                          </a:xfrm>
                          <a:prstGeom prst="rect">
                            <a:avLst/>
                          </a:prstGeom>
                          <a:noFill/>
                          <a:ln>
                            <a:noFill/>
                          </a:ln>
                        </pic:spPr>
                      </pic:pic>
                    </a:graphicData>
                  </a:graphic>
                </wp:inline>
              </w:drawing>
            </w:r>
          </w:p>
        </w:tc>
        <w:tc>
          <w:tcPr>
            <w:tcW w:w="4927" w:type="dxa"/>
          </w:tcPr>
          <w:p>
            <w:pPr>
              <w:adjustRightInd w:val="0"/>
              <w:snapToGrid w:val="0"/>
              <w:spacing w:line="360" w:lineRule="auto"/>
              <w:rPr>
                <w:rFonts w:ascii="Times New Roman" w:hAnsi="Times New Roman"/>
                <w:color w:val="auto"/>
              </w:rPr>
            </w:pPr>
            <w:r>
              <w:rPr>
                <w:rFonts w:ascii="Times New Roman" w:hAnsi="Times New Roman"/>
                <w:color w:val="auto"/>
                <w:sz w:val="30"/>
                <w:szCs w:val="30"/>
              </w:rPr>
              <mc:AlternateContent>
                <mc:Choice Requires="wps">
                  <w:drawing>
                    <wp:anchor distT="0" distB="0" distL="114300" distR="114300" simplePos="0" relativeHeight="251660288" behindDoc="0" locked="0" layoutInCell="1" allowOverlap="1">
                      <wp:simplePos x="0" y="0"/>
                      <wp:positionH relativeFrom="column">
                        <wp:posOffset>2018665</wp:posOffset>
                      </wp:positionH>
                      <wp:positionV relativeFrom="paragraph">
                        <wp:posOffset>1955165</wp:posOffset>
                      </wp:positionV>
                      <wp:extent cx="977265" cy="287020"/>
                      <wp:effectExtent l="3810" t="0" r="0" b="0"/>
                      <wp:wrapNone/>
                      <wp:docPr id="14"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977265" cy="287020"/>
                              </a:xfrm>
                              <a:prstGeom prst="rect">
                                <a:avLst/>
                              </a:prstGeom>
                              <a:noFill/>
                              <a:ln>
                                <a:noFill/>
                              </a:ln>
                            </wps:spPr>
                            <wps:txbx>
                              <w:txbxContent>
                                <w:p>
                                  <w:pPr>
                                    <w:jc w:val="left"/>
                                    <w:rPr>
                                      <w:rFonts w:ascii="宋体" w:hAnsi="宋体"/>
                                      <w:b/>
                                    </w:rPr>
                                  </w:pPr>
                                  <w:r>
                                    <w:rPr>
                                      <w:rFonts w:hint="eastAsia" w:ascii="宋体" w:hAnsi="宋体"/>
                                      <w:b/>
                                      <w:color w:val="FFC000"/>
                                    </w:rPr>
                                    <w:t>202</w:t>
                                  </w:r>
                                  <w:r>
                                    <w:rPr>
                                      <w:rFonts w:hint="eastAsia" w:ascii="宋体" w:hAnsi="宋体"/>
                                      <w:b/>
                                      <w:color w:val="FFC000"/>
                                      <w:lang w:val="en-US" w:eastAsia="zh-CN"/>
                                    </w:rPr>
                                    <w:t>1</w:t>
                                  </w:r>
                                  <w:r>
                                    <w:rPr>
                                      <w:rFonts w:hint="eastAsia" w:ascii="宋体" w:hAnsi="宋体"/>
                                      <w:b/>
                                      <w:color w:val="FFC000"/>
                                    </w:rPr>
                                    <w:t>.</w:t>
                                  </w:r>
                                  <w:r>
                                    <w:rPr>
                                      <w:rFonts w:hint="eastAsia" w:ascii="宋体" w:hAnsi="宋体"/>
                                      <w:b/>
                                      <w:color w:val="FFC000"/>
                                      <w:lang w:val="en-US" w:eastAsia="zh-CN"/>
                                    </w:rPr>
                                    <w:t>2.2</w:t>
                                  </w:r>
                                  <w:r>
                                    <w:rPr>
                                      <w:rFonts w:hint="eastAsia" w:ascii="宋体" w:hAnsi="宋体"/>
                                      <w:b/>
                                      <w:color w:val="FFC000"/>
                                    </w:rPr>
                                    <w:t>4</w:t>
                                  </w:r>
                                </w:p>
                              </w:txbxContent>
                            </wps:txbx>
                            <wps:bodyPr rot="0" vert="horz" wrap="square" lIns="91440" tIns="45720" rIns="91440" bIns="45720" anchor="t" anchorCtr="0" upright="1">
                              <a:noAutofit/>
                            </wps:bodyPr>
                          </wps:wsp>
                        </a:graphicData>
                      </a:graphic>
                    </wp:anchor>
                  </w:drawing>
                </mc:Choice>
                <mc:Fallback>
                  <w:pict>
                    <v:shape id="文本框 30" o:spid="_x0000_s1026" o:spt="202" type="#_x0000_t202" style="position:absolute;left:0pt;margin-left:158.95pt;margin-top:153.95pt;height:22.6pt;width:76.95pt;z-index:251660288;mso-width-relative:page;mso-height-relative:page;" filled="f" stroked="f" coordsize="21600,21600" o:gfxdata="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8RQf7XAAAACwEAAA8A&#10;AAAAAAAAAQAgAAAAIgAAAGRycy9kb3ducmV2LnhtbFBLAQIUABQAAAAIAIdO4kDMT2t9GAIAABYE&#10;AAAOAAAAAAAAAAEAIAAAACYBAABkcnMvZTJvRG9jLnhtbFBLBQYAAAAABgAGAFkBAACwBQAAAAA=&#10;">
                      <v:fill on="f" focussize="0,0"/>
                      <v:stroke on="f"/>
                      <v:imagedata o:title=""/>
                      <o:lock v:ext="edit" aspectratio="f"/>
                      <v:textbox>
                        <w:txbxContent>
                          <w:p>
                            <w:pPr>
                              <w:jc w:val="left"/>
                              <w:rPr>
                                <w:rFonts w:ascii="宋体" w:hAnsi="宋体"/>
                                <w:b/>
                              </w:rPr>
                            </w:pPr>
                            <w:r>
                              <w:rPr>
                                <w:rFonts w:hint="eastAsia" w:ascii="宋体" w:hAnsi="宋体"/>
                                <w:b/>
                                <w:color w:val="FFC000"/>
                              </w:rPr>
                              <w:t>202</w:t>
                            </w:r>
                            <w:r>
                              <w:rPr>
                                <w:rFonts w:hint="eastAsia" w:ascii="宋体" w:hAnsi="宋体"/>
                                <w:b/>
                                <w:color w:val="FFC000"/>
                                <w:lang w:val="en-US" w:eastAsia="zh-CN"/>
                              </w:rPr>
                              <w:t>1</w:t>
                            </w:r>
                            <w:r>
                              <w:rPr>
                                <w:rFonts w:hint="eastAsia" w:ascii="宋体" w:hAnsi="宋体"/>
                                <w:b/>
                                <w:color w:val="FFC000"/>
                              </w:rPr>
                              <w:t>.</w:t>
                            </w:r>
                            <w:r>
                              <w:rPr>
                                <w:rFonts w:hint="eastAsia" w:ascii="宋体" w:hAnsi="宋体"/>
                                <w:b/>
                                <w:color w:val="FFC000"/>
                                <w:lang w:val="en-US" w:eastAsia="zh-CN"/>
                              </w:rPr>
                              <w:t>2.2</w:t>
                            </w:r>
                            <w:r>
                              <w:rPr>
                                <w:rFonts w:hint="eastAsia" w:ascii="宋体" w:hAnsi="宋体"/>
                                <w:b/>
                                <w:color w:val="FFC000"/>
                              </w:rPr>
                              <w:t>4</w:t>
                            </w:r>
                          </w:p>
                        </w:txbxContent>
                      </v:textbox>
                    </v:shape>
                  </w:pict>
                </mc:Fallback>
              </mc:AlternateContent>
            </w:r>
            <w:r>
              <w:rPr>
                <w:rFonts w:ascii="Times New Roman" w:hAnsi="Times New Roman"/>
                <w:color w:val="auto"/>
              </w:rPr>
              <w:drawing>
                <wp:inline distT="0" distB="0" distL="0" distR="0">
                  <wp:extent cx="2990850" cy="2238375"/>
                  <wp:effectExtent l="0" t="0" r="0" b="0"/>
                  <wp:docPr id="2" name="图片 39" descr="微信图片_2020122914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descr="微信图片_202012291412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90850" cy="22383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pPr>
              <w:adjustRightInd w:val="0"/>
              <w:snapToGrid w:val="0"/>
              <w:spacing w:line="360" w:lineRule="auto"/>
              <w:jc w:val="center"/>
              <w:rPr>
                <w:rFonts w:ascii="Times New Roman" w:hAnsi="Times New Roman"/>
                <w:color w:val="auto"/>
              </w:rPr>
            </w:pPr>
            <w:r>
              <w:rPr>
                <w:rFonts w:ascii="Times New Roman" w:hAnsi="Times New Roman"/>
                <w:color w:val="auto"/>
              </w:rPr>
              <w:t>锅炉排气筒</w:t>
            </w:r>
          </w:p>
        </w:tc>
        <w:tc>
          <w:tcPr>
            <w:tcW w:w="4927" w:type="dxa"/>
          </w:tcPr>
          <w:p>
            <w:pPr>
              <w:adjustRightInd w:val="0"/>
              <w:snapToGrid w:val="0"/>
              <w:spacing w:line="360" w:lineRule="auto"/>
              <w:jc w:val="center"/>
              <w:rPr>
                <w:rFonts w:ascii="Times New Roman" w:hAnsi="Times New Roman"/>
                <w:color w:val="auto"/>
              </w:rPr>
            </w:pPr>
            <w:r>
              <w:rPr>
                <w:rFonts w:ascii="Times New Roman" w:hAnsi="Times New Roman"/>
                <w:color w:val="auto"/>
              </w:rPr>
              <w:t>现状燃煤锅炉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pPr>
              <w:adjustRightInd w:val="0"/>
              <w:snapToGrid w:val="0"/>
              <w:spacing w:line="360" w:lineRule="auto"/>
              <w:rPr>
                <w:rFonts w:ascii="Times New Roman" w:hAnsi="Times New Roman"/>
                <w:color w:val="auto"/>
              </w:rPr>
            </w:pPr>
            <w:r>
              <w:rPr>
                <w:rFonts w:ascii="Times New Roman" w:hAnsi="Times New Roman"/>
                <w:color w:val="auto"/>
                <w:sz w:val="30"/>
                <w:szCs w:val="30"/>
              </w:rPr>
              <mc:AlternateContent>
                <mc:Choice Requires="wps">
                  <w:drawing>
                    <wp:anchor distT="0" distB="0" distL="114300" distR="114300" simplePos="0" relativeHeight="251661312" behindDoc="0" locked="0" layoutInCell="1" allowOverlap="1">
                      <wp:simplePos x="0" y="0"/>
                      <wp:positionH relativeFrom="column">
                        <wp:posOffset>2004060</wp:posOffset>
                      </wp:positionH>
                      <wp:positionV relativeFrom="paragraph">
                        <wp:posOffset>1947545</wp:posOffset>
                      </wp:positionV>
                      <wp:extent cx="977265" cy="287020"/>
                      <wp:effectExtent l="3810" t="0" r="0" b="2540"/>
                      <wp:wrapNone/>
                      <wp:docPr id="10"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977265" cy="287020"/>
                              </a:xfrm>
                              <a:prstGeom prst="rect">
                                <a:avLst/>
                              </a:prstGeom>
                              <a:noFill/>
                              <a:ln>
                                <a:noFill/>
                              </a:ln>
                            </wps:spPr>
                            <wps:txbx>
                              <w:txbxContent>
                                <w:p>
                                  <w:pPr>
                                    <w:jc w:val="left"/>
                                    <w:rPr>
                                      <w:rFonts w:ascii="宋体" w:hAnsi="宋体"/>
                                      <w:b/>
                                    </w:rPr>
                                  </w:pPr>
                                  <w:r>
                                    <w:rPr>
                                      <w:rFonts w:hint="eastAsia" w:ascii="宋体" w:hAnsi="宋体"/>
                                      <w:b/>
                                      <w:color w:val="FFC000"/>
                                    </w:rPr>
                                    <w:t>202</w:t>
                                  </w:r>
                                  <w:r>
                                    <w:rPr>
                                      <w:rFonts w:hint="eastAsia" w:ascii="宋体" w:hAnsi="宋体"/>
                                      <w:b/>
                                      <w:color w:val="FFC000"/>
                                      <w:lang w:val="en-US" w:eastAsia="zh-CN"/>
                                    </w:rPr>
                                    <w:t>1</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4</w:t>
                                  </w:r>
                                </w:p>
                              </w:txbxContent>
                            </wps:txbx>
                            <wps:bodyPr rot="0" vert="horz" wrap="square" lIns="91440" tIns="45720" rIns="91440" bIns="45720" anchor="t" anchorCtr="0" upright="1">
                              <a:noAutofit/>
                            </wps:bodyPr>
                          </wps:wsp>
                        </a:graphicData>
                      </a:graphic>
                    </wp:anchor>
                  </w:drawing>
                </mc:Choice>
                <mc:Fallback>
                  <w:pict>
                    <v:shape id="文本框 30" o:spid="_x0000_s1026" o:spt="202" type="#_x0000_t202" style="position:absolute;left:0pt;margin-left:157.8pt;margin-top:153.35pt;height:22.6pt;width:76.95pt;z-index:251661312;mso-width-relative:page;mso-height-relative:page;" filled="f" stroked="f" coordsize="21600,21600" o:gfxdata="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5keJ+2AAAAAsBAAAP&#10;AAAAAAAAAAEAIAAAACIAAABkcnMvZG93bnJldi54bWxQSwECFAAUAAAACACHTuJAylG41RgCAAAW&#10;BAAADgAAAAAAAAABACAAAAAnAQAAZHJzL2Uyb0RvYy54bWxQSwUGAAAAAAYABgBZAQAAsQUAAAAA&#10;">
                      <v:fill on="f" focussize="0,0"/>
                      <v:stroke on="f"/>
                      <v:imagedata o:title=""/>
                      <o:lock v:ext="edit" aspectratio="f"/>
                      <v:textbox>
                        <w:txbxContent>
                          <w:p>
                            <w:pPr>
                              <w:jc w:val="left"/>
                              <w:rPr>
                                <w:rFonts w:ascii="宋体" w:hAnsi="宋体"/>
                                <w:b/>
                              </w:rPr>
                            </w:pPr>
                            <w:r>
                              <w:rPr>
                                <w:rFonts w:hint="eastAsia" w:ascii="宋体" w:hAnsi="宋体"/>
                                <w:b/>
                                <w:color w:val="FFC000"/>
                              </w:rPr>
                              <w:t>202</w:t>
                            </w:r>
                            <w:r>
                              <w:rPr>
                                <w:rFonts w:hint="eastAsia" w:ascii="宋体" w:hAnsi="宋体"/>
                                <w:b/>
                                <w:color w:val="FFC000"/>
                                <w:lang w:val="en-US" w:eastAsia="zh-CN"/>
                              </w:rPr>
                              <w:t>1</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4</w:t>
                            </w:r>
                          </w:p>
                        </w:txbxContent>
                      </v:textbox>
                    </v:shape>
                  </w:pict>
                </mc:Fallback>
              </mc:AlternateContent>
            </w:r>
            <w:r>
              <w:rPr>
                <w:rFonts w:ascii="Times New Roman" w:hAnsi="Times New Roman"/>
                <w:color w:val="auto"/>
              </w:rPr>
              <w:drawing>
                <wp:inline distT="0" distB="0" distL="0" distR="0">
                  <wp:extent cx="2990850" cy="2238375"/>
                  <wp:effectExtent l="0" t="0" r="0" b="0"/>
                  <wp:docPr id="3" name="图片 38" descr="煤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8" descr="煤棚"/>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90850" cy="2238375"/>
                          </a:xfrm>
                          <a:prstGeom prst="rect">
                            <a:avLst/>
                          </a:prstGeom>
                          <a:noFill/>
                          <a:ln>
                            <a:noFill/>
                          </a:ln>
                        </pic:spPr>
                      </pic:pic>
                    </a:graphicData>
                  </a:graphic>
                </wp:inline>
              </w:drawing>
            </w:r>
          </w:p>
        </w:tc>
        <w:tc>
          <w:tcPr>
            <w:tcW w:w="4927" w:type="dxa"/>
          </w:tcPr>
          <w:p>
            <w:pPr>
              <w:adjustRightInd w:val="0"/>
              <w:snapToGrid w:val="0"/>
              <w:spacing w:line="360" w:lineRule="auto"/>
              <w:rPr>
                <w:rFonts w:ascii="Times New Roman" w:hAnsi="Times New Roman"/>
                <w:color w:val="auto"/>
              </w:rPr>
            </w:pPr>
            <w:r>
              <w:rPr>
                <w:rFonts w:ascii="Times New Roman" w:hAnsi="Times New Roman"/>
                <w:color w:val="auto"/>
                <w:sz w:val="30"/>
                <w:szCs w:val="30"/>
              </w:rPr>
              <mc:AlternateContent>
                <mc:Choice Requires="wps">
                  <w:drawing>
                    <wp:anchor distT="0" distB="0" distL="114300" distR="114300" simplePos="0" relativeHeight="251662336" behindDoc="0" locked="0" layoutInCell="1" allowOverlap="1">
                      <wp:simplePos x="0" y="0"/>
                      <wp:positionH relativeFrom="column">
                        <wp:posOffset>2018665</wp:posOffset>
                      </wp:positionH>
                      <wp:positionV relativeFrom="paragraph">
                        <wp:posOffset>1947545</wp:posOffset>
                      </wp:positionV>
                      <wp:extent cx="977265" cy="287020"/>
                      <wp:effectExtent l="3810" t="0" r="0" b="2540"/>
                      <wp:wrapNone/>
                      <wp:docPr id="9"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977265" cy="287020"/>
                              </a:xfrm>
                              <a:prstGeom prst="rect">
                                <a:avLst/>
                              </a:prstGeom>
                              <a:noFill/>
                              <a:ln>
                                <a:noFill/>
                              </a:ln>
                            </wps:spPr>
                            <wps:txbx>
                              <w:txbxContent>
                                <w:p>
                                  <w:pPr>
                                    <w:jc w:val="left"/>
                                    <w:rPr>
                                      <w:rFonts w:ascii="宋体" w:hAnsi="宋体"/>
                                      <w:b/>
                                    </w:rPr>
                                  </w:pPr>
                                  <w:r>
                                    <w:rPr>
                                      <w:rFonts w:hint="eastAsia" w:ascii="宋体" w:hAnsi="宋体"/>
                                      <w:b/>
                                      <w:color w:val="FFC000"/>
                                    </w:rPr>
                                    <w:t>202</w:t>
                                  </w:r>
                                  <w:r>
                                    <w:rPr>
                                      <w:rFonts w:hint="eastAsia" w:ascii="宋体" w:hAnsi="宋体"/>
                                      <w:b/>
                                      <w:color w:val="FFC000"/>
                                      <w:lang w:val="en-US" w:eastAsia="zh-CN"/>
                                    </w:rPr>
                                    <w:t>1</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4</w:t>
                                  </w:r>
                                </w:p>
                              </w:txbxContent>
                            </wps:txbx>
                            <wps:bodyPr rot="0" vert="horz" wrap="square" lIns="91440" tIns="45720" rIns="91440" bIns="45720" anchor="t" anchorCtr="0" upright="1">
                              <a:noAutofit/>
                            </wps:bodyPr>
                          </wps:wsp>
                        </a:graphicData>
                      </a:graphic>
                    </wp:anchor>
                  </w:drawing>
                </mc:Choice>
                <mc:Fallback>
                  <w:pict>
                    <v:shape id="文本框 30" o:spid="_x0000_s1026" o:spt="202" type="#_x0000_t202" style="position:absolute;left:0pt;margin-left:158.95pt;margin-top:153.35pt;height:22.6pt;width:76.95pt;z-index:251662336;mso-width-relative:page;mso-height-relative:page;" filled="f" stroked="f" coordsize="21600,21600" o:gfxdata="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TC2NgAAAALAQAA&#10;DwAAAAAAAAABACAAAAAiAAAAZHJzL2Rvd25yZXYueG1sUEsBAhQAFAAAAAgAh07iQHY6a4UZAgAA&#10;FQQAAA4AAAAAAAAAAQAgAAAAJwEAAGRycy9lMm9Eb2MueG1sUEsFBgAAAAAGAAYAWQEAALIFAAAA&#10;AA==&#10;">
                      <v:fill on="f" focussize="0,0"/>
                      <v:stroke on="f"/>
                      <v:imagedata o:title=""/>
                      <o:lock v:ext="edit" aspectratio="f"/>
                      <v:textbox>
                        <w:txbxContent>
                          <w:p>
                            <w:pPr>
                              <w:jc w:val="left"/>
                              <w:rPr>
                                <w:rFonts w:ascii="宋体" w:hAnsi="宋体"/>
                                <w:b/>
                              </w:rPr>
                            </w:pPr>
                            <w:r>
                              <w:rPr>
                                <w:rFonts w:hint="eastAsia" w:ascii="宋体" w:hAnsi="宋体"/>
                                <w:b/>
                                <w:color w:val="FFC000"/>
                              </w:rPr>
                              <w:t>202</w:t>
                            </w:r>
                            <w:r>
                              <w:rPr>
                                <w:rFonts w:hint="eastAsia" w:ascii="宋体" w:hAnsi="宋体"/>
                                <w:b/>
                                <w:color w:val="FFC000"/>
                                <w:lang w:val="en-US" w:eastAsia="zh-CN"/>
                              </w:rPr>
                              <w:t>1</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4</w:t>
                            </w:r>
                          </w:p>
                        </w:txbxContent>
                      </v:textbox>
                    </v:shape>
                  </w:pict>
                </mc:Fallback>
              </mc:AlternateContent>
            </w:r>
            <w:r>
              <w:rPr>
                <w:rFonts w:ascii="Times New Roman" w:hAnsi="Times New Roman"/>
                <w:color w:val="auto"/>
              </w:rPr>
              <w:drawing>
                <wp:inline distT="0" distB="0" distL="0" distR="0">
                  <wp:extent cx="2990850" cy="2238375"/>
                  <wp:effectExtent l="0" t="0" r="0" b="0"/>
                  <wp:docPr id="4" name="图片 37" descr="渣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7" descr="渣棚"/>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90850" cy="22383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pPr>
              <w:adjustRightInd w:val="0"/>
              <w:snapToGrid w:val="0"/>
              <w:spacing w:line="360" w:lineRule="auto"/>
              <w:jc w:val="center"/>
              <w:rPr>
                <w:rFonts w:ascii="Times New Roman" w:hAnsi="Times New Roman"/>
                <w:color w:val="auto"/>
              </w:rPr>
            </w:pPr>
            <w:r>
              <w:rPr>
                <w:rFonts w:hint="eastAsia" w:ascii="Times New Roman" w:hAnsi="Times New Roman"/>
                <w:color w:val="auto"/>
              </w:rPr>
              <w:t>现有</w:t>
            </w:r>
            <w:r>
              <w:rPr>
                <w:rFonts w:ascii="Times New Roman" w:hAnsi="Times New Roman"/>
                <w:color w:val="auto"/>
              </w:rPr>
              <w:t>煤棚</w:t>
            </w:r>
          </w:p>
        </w:tc>
        <w:tc>
          <w:tcPr>
            <w:tcW w:w="4927" w:type="dxa"/>
          </w:tcPr>
          <w:p>
            <w:pPr>
              <w:adjustRightInd w:val="0"/>
              <w:snapToGrid w:val="0"/>
              <w:spacing w:line="360" w:lineRule="auto"/>
              <w:jc w:val="center"/>
              <w:rPr>
                <w:rFonts w:ascii="Times New Roman" w:hAnsi="Times New Roman"/>
                <w:color w:val="auto"/>
              </w:rPr>
            </w:pPr>
            <w:r>
              <w:rPr>
                <w:rFonts w:hint="eastAsia" w:ascii="Times New Roman" w:hAnsi="Times New Roman"/>
                <w:color w:val="auto"/>
              </w:rPr>
              <w:t>现有</w:t>
            </w:r>
            <w:r>
              <w:rPr>
                <w:rFonts w:ascii="Times New Roman" w:hAnsi="Times New Roman"/>
                <w:color w:val="auto"/>
              </w:rPr>
              <w:t>渣棚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pPr>
              <w:adjustRightInd w:val="0"/>
              <w:snapToGrid w:val="0"/>
              <w:spacing w:line="360" w:lineRule="auto"/>
              <w:jc w:val="center"/>
              <w:rPr>
                <w:rFonts w:ascii="Times New Roman" w:hAnsi="Times New Roman"/>
                <w:color w:val="auto"/>
              </w:rPr>
            </w:pPr>
            <w:r>
              <w:rPr>
                <w:rFonts w:ascii="Times New Roman" w:hAnsi="Times New Roman"/>
                <w:color w:val="auto"/>
                <w:sz w:val="30"/>
                <w:szCs w:val="30"/>
              </w:rPr>
              <mc:AlternateContent>
                <mc:Choice Requires="wps">
                  <w:drawing>
                    <wp:anchor distT="0" distB="0" distL="114300" distR="114300" simplePos="0" relativeHeight="251663360" behindDoc="0" locked="0" layoutInCell="1" allowOverlap="1">
                      <wp:simplePos x="0" y="0"/>
                      <wp:positionH relativeFrom="column">
                        <wp:posOffset>2013585</wp:posOffset>
                      </wp:positionH>
                      <wp:positionV relativeFrom="paragraph">
                        <wp:posOffset>1955800</wp:posOffset>
                      </wp:positionV>
                      <wp:extent cx="977265" cy="287020"/>
                      <wp:effectExtent l="3810" t="2540" r="0" b="0"/>
                      <wp:wrapNone/>
                      <wp:docPr id="8"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977265" cy="287020"/>
                              </a:xfrm>
                              <a:prstGeom prst="rect">
                                <a:avLst/>
                              </a:prstGeom>
                              <a:noFill/>
                              <a:ln>
                                <a:noFill/>
                              </a:ln>
                            </wps:spPr>
                            <wps:txbx>
                              <w:txbxContent>
                                <w:p>
                                  <w:pPr>
                                    <w:jc w:val="left"/>
                                    <w:rPr>
                                      <w:rFonts w:ascii="宋体" w:hAnsi="宋体"/>
                                      <w:b/>
                                    </w:rPr>
                                  </w:pPr>
                                  <w:r>
                                    <w:rPr>
                                      <w:rFonts w:hint="eastAsia" w:ascii="宋体" w:hAnsi="宋体"/>
                                      <w:b/>
                                      <w:color w:val="FFC000"/>
                                    </w:rPr>
                                    <w:t>202</w:t>
                                  </w:r>
                                  <w:r>
                                    <w:rPr>
                                      <w:rFonts w:hint="eastAsia" w:ascii="宋体" w:hAnsi="宋体"/>
                                      <w:b/>
                                      <w:color w:val="FFC000"/>
                                      <w:lang w:val="en-US" w:eastAsia="zh-CN"/>
                                    </w:rPr>
                                    <w:t>1</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4</w:t>
                                  </w:r>
                                </w:p>
                              </w:txbxContent>
                            </wps:txbx>
                            <wps:bodyPr rot="0" vert="horz" wrap="square" lIns="91440" tIns="45720" rIns="91440" bIns="45720" anchor="t" anchorCtr="0" upright="1">
                              <a:noAutofit/>
                            </wps:bodyPr>
                          </wps:wsp>
                        </a:graphicData>
                      </a:graphic>
                    </wp:anchor>
                  </w:drawing>
                </mc:Choice>
                <mc:Fallback>
                  <w:pict>
                    <v:shape id="文本框 30" o:spid="_x0000_s1026" o:spt="202" type="#_x0000_t202" style="position:absolute;left:0pt;margin-left:158.55pt;margin-top:154pt;height:22.6pt;width:76.95pt;z-index:251663360;mso-width-relative:page;mso-height-relative:page;" filled="f" stroked="f" coordsize="21600,21600" o:gfxdata="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Ennl2AAAAAsBAAAP&#10;AAAAAAAAAAEAIAAAACIAAABkcnMvZG93bnJldi54bWxQSwECFAAUAAAACACHTuJA137nQhgCAAAV&#10;BAAADgAAAAAAAAABACAAAAAnAQAAZHJzL2Uyb0RvYy54bWxQSwUGAAAAAAYABgBZAQAAsQUAAAAA&#10;">
                      <v:fill on="f" focussize="0,0"/>
                      <v:stroke on="f"/>
                      <v:imagedata o:title=""/>
                      <o:lock v:ext="edit" aspectratio="f"/>
                      <v:textbox>
                        <w:txbxContent>
                          <w:p>
                            <w:pPr>
                              <w:jc w:val="left"/>
                              <w:rPr>
                                <w:rFonts w:ascii="宋体" w:hAnsi="宋体"/>
                                <w:b/>
                              </w:rPr>
                            </w:pPr>
                            <w:r>
                              <w:rPr>
                                <w:rFonts w:hint="eastAsia" w:ascii="宋体" w:hAnsi="宋体"/>
                                <w:b/>
                                <w:color w:val="FFC000"/>
                              </w:rPr>
                              <w:t>202</w:t>
                            </w:r>
                            <w:r>
                              <w:rPr>
                                <w:rFonts w:hint="eastAsia" w:ascii="宋体" w:hAnsi="宋体"/>
                                <w:b/>
                                <w:color w:val="FFC000"/>
                                <w:lang w:val="en-US" w:eastAsia="zh-CN"/>
                              </w:rPr>
                              <w:t>1</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4</w:t>
                            </w:r>
                          </w:p>
                        </w:txbxContent>
                      </v:textbox>
                    </v:shape>
                  </w:pict>
                </mc:Fallback>
              </mc:AlternateContent>
            </w:r>
            <w:r>
              <w:rPr>
                <w:rFonts w:ascii="Times New Roman" w:hAnsi="Times New Roman"/>
                <w:color w:val="auto"/>
                <w:sz w:val="30"/>
                <w:szCs w:val="30"/>
              </w:rPr>
              <w:drawing>
                <wp:inline distT="0" distB="0" distL="0" distR="0">
                  <wp:extent cx="2990850" cy="2238375"/>
                  <wp:effectExtent l="0" t="0" r="0" b="0"/>
                  <wp:docPr id="5" name="图片 35" descr="大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5" descr="大门"/>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90850" cy="2238375"/>
                          </a:xfrm>
                          <a:prstGeom prst="rect">
                            <a:avLst/>
                          </a:prstGeom>
                          <a:noFill/>
                          <a:ln>
                            <a:noFill/>
                          </a:ln>
                        </pic:spPr>
                      </pic:pic>
                    </a:graphicData>
                  </a:graphic>
                </wp:inline>
              </w:drawing>
            </w:r>
          </w:p>
        </w:tc>
        <w:tc>
          <w:tcPr>
            <w:tcW w:w="4927" w:type="dxa"/>
          </w:tcPr>
          <w:p>
            <w:pPr>
              <w:adjustRightInd w:val="0"/>
              <w:snapToGrid w:val="0"/>
              <w:spacing w:line="360" w:lineRule="auto"/>
              <w:jc w:val="center"/>
              <w:rPr>
                <w:rFonts w:ascii="Times New Roman" w:hAnsi="Times New Roman"/>
                <w:color w:val="auto"/>
              </w:rPr>
            </w:pPr>
            <w:r>
              <w:rPr>
                <w:rFonts w:ascii="Times New Roman" w:hAnsi="Times New Roman"/>
                <w:color w:val="auto"/>
                <w:sz w:val="30"/>
                <w:szCs w:val="30"/>
              </w:rPr>
              <mc:AlternateContent>
                <mc:Choice Requires="wps">
                  <w:drawing>
                    <wp:anchor distT="0" distB="0" distL="114300" distR="114300" simplePos="0" relativeHeight="251664384" behindDoc="0" locked="0" layoutInCell="1" allowOverlap="1">
                      <wp:simplePos x="0" y="0"/>
                      <wp:positionH relativeFrom="column">
                        <wp:posOffset>2009140</wp:posOffset>
                      </wp:positionH>
                      <wp:positionV relativeFrom="paragraph">
                        <wp:posOffset>1946275</wp:posOffset>
                      </wp:positionV>
                      <wp:extent cx="977265" cy="287020"/>
                      <wp:effectExtent l="3810" t="2540" r="0" b="0"/>
                      <wp:wrapNone/>
                      <wp:docPr id="7"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977265" cy="287020"/>
                              </a:xfrm>
                              <a:prstGeom prst="rect">
                                <a:avLst/>
                              </a:prstGeom>
                              <a:noFill/>
                              <a:ln>
                                <a:noFill/>
                              </a:ln>
                            </wps:spPr>
                            <wps:txbx>
                              <w:txbxContent>
                                <w:p>
                                  <w:pPr>
                                    <w:jc w:val="left"/>
                                    <w:rPr>
                                      <w:rFonts w:ascii="宋体" w:hAnsi="宋体"/>
                                      <w:b/>
                                    </w:rPr>
                                  </w:pPr>
                                  <w:r>
                                    <w:rPr>
                                      <w:rFonts w:hint="eastAsia" w:ascii="宋体" w:hAnsi="宋体"/>
                                      <w:b/>
                                      <w:color w:val="FFC000"/>
                                    </w:rPr>
                                    <w:t>202</w:t>
                                  </w:r>
                                  <w:r>
                                    <w:rPr>
                                      <w:rFonts w:hint="eastAsia" w:ascii="宋体" w:hAnsi="宋体"/>
                                      <w:b/>
                                      <w:color w:val="FFC000"/>
                                      <w:lang w:val="en-US" w:eastAsia="zh-CN"/>
                                    </w:rPr>
                                    <w:t>1</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4</w:t>
                                  </w:r>
                                </w:p>
                              </w:txbxContent>
                            </wps:txbx>
                            <wps:bodyPr rot="0" vert="horz" wrap="square" lIns="91440" tIns="45720" rIns="91440" bIns="45720" anchor="t" anchorCtr="0" upright="1">
                              <a:noAutofit/>
                            </wps:bodyPr>
                          </wps:wsp>
                        </a:graphicData>
                      </a:graphic>
                    </wp:anchor>
                  </w:drawing>
                </mc:Choice>
                <mc:Fallback>
                  <w:pict>
                    <v:shape id="文本框 30" o:spid="_x0000_s1026" o:spt="202" type="#_x0000_t202" style="position:absolute;left:0pt;margin-left:158.2pt;margin-top:153.25pt;height:22.6pt;width:76.95pt;z-index:251664384;mso-width-relative:page;mso-height-relative:page;" filled="f" stroked="f" coordsize="21600,21600" o:gfxdata="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dBGA2AAAAAsBAAAP&#10;AAAAAAAAAAEAIAAAACIAAABkcnMvZG93bnJldi54bWxQSwECFAAUAAAACACHTuJAPpEG8xgCAAAV&#10;BAAADgAAAAAAAAABACAAAAAnAQAAZHJzL2Uyb0RvYy54bWxQSwUGAAAAAAYABgBZAQAAsQUAAAAA&#10;">
                      <v:fill on="f" focussize="0,0"/>
                      <v:stroke on="f"/>
                      <v:imagedata o:title=""/>
                      <o:lock v:ext="edit" aspectratio="f"/>
                      <v:textbox>
                        <w:txbxContent>
                          <w:p>
                            <w:pPr>
                              <w:jc w:val="left"/>
                              <w:rPr>
                                <w:rFonts w:ascii="宋体" w:hAnsi="宋体"/>
                                <w:b/>
                              </w:rPr>
                            </w:pPr>
                            <w:r>
                              <w:rPr>
                                <w:rFonts w:hint="eastAsia" w:ascii="宋体" w:hAnsi="宋体"/>
                                <w:b/>
                                <w:color w:val="FFC000"/>
                              </w:rPr>
                              <w:t>202</w:t>
                            </w:r>
                            <w:r>
                              <w:rPr>
                                <w:rFonts w:hint="eastAsia" w:ascii="宋体" w:hAnsi="宋体"/>
                                <w:b/>
                                <w:color w:val="FFC000"/>
                                <w:lang w:val="en-US" w:eastAsia="zh-CN"/>
                              </w:rPr>
                              <w:t>1</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w:t>
                            </w:r>
                            <w:r>
                              <w:rPr>
                                <w:rFonts w:hint="eastAsia" w:ascii="宋体" w:hAnsi="宋体"/>
                                <w:b/>
                                <w:color w:val="FFC000"/>
                                <w:lang w:val="en-US" w:eastAsia="zh-CN"/>
                              </w:rPr>
                              <w:t>2</w:t>
                            </w:r>
                            <w:r>
                              <w:rPr>
                                <w:rFonts w:hint="eastAsia" w:ascii="宋体" w:hAnsi="宋体"/>
                                <w:b/>
                                <w:color w:val="FFC000"/>
                              </w:rPr>
                              <w:t>4</w:t>
                            </w:r>
                          </w:p>
                        </w:txbxContent>
                      </v:textbox>
                    </v:shape>
                  </w:pict>
                </mc:Fallback>
              </mc:AlternateContent>
            </w:r>
            <w:r>
              <w:rPr>
                <w:rFonts w:ascii="Times New Roman" w:hAnsi="Times New Roman"/>
                <w:color w:val="auto"/>
              </w:rPr>
              <w:drawing>
                <wp:inline distT="0" distB="0" distL="0" distR="0">
                  <wp:extent cx="2990850" cy="2238375"/>
                  <wp:effectExtent l="0" t="0" r="0" b="0"/>
                  <wp:docPr id="6" name="图片 36" descr="河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 descr="河道"/>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90850" cy="22383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pPr>
              <w:adjustRightInd w:val="0"/>
              <w:snapToGrid w:val="0"/>
              <w:spacing w:line="360" w:lineRule="auto"/>
              <w:jc w:val="center"/>
              <w:rPr>
                <w:rFonts w:ascii="Times New Roman" w:hAnsi="Times New Roman"/>
                <w:color w:val="auto"/>
              </w:rPr>
            </w:pPr>
            <w:r>
              <w:rPr>
                <w:rFonts w:ascii="Times New Roman" w:hAnsi="Times New Roman"/>
                <w:color w:val="auto"/>
              </w:rPr>
              <w:t>厂区大门</w:t>
            </w:r>
          </w:p>
        </w:tc>
        <w:tc>
          <w:tcPr>
            <w:tcW w:w="4927" w:type="dxa"/>
          </w:tcPr>
          <w:p>
            <w:pPr>
              <w:adjustRightInd w:val="0"/>
              <w:snapToGrid w:val="0"/>
              <w:spacing w:line="360" w:lineRule="auto"/>
              <w:jc w:val="center"/>
              <w:rPr>
                <w:rFonts w:ascii="Times New Roman" w:hAnsi="Times New Roman"/>
                <w:color w:val="auto"/>
              </w:rPr>
            </w:pPr>
            <w:r>
              <w:rPr>
                <w:rFonts w:ascii="Times New Roman" w:hAnsi="Times New Roman"/>
                <w:color w:val="auto"/>
              </w:rPr>
              <w:t>厂区</w:t>
            </w:r>
            <w:r>
              <w:rPr>
                <w:rFonts w:hint="eastAsia" w:ascii="Times New Roman" w:hAnsi="Times New Roman"/>
                <w:color w:val="auto"/>
              </w:rPr>
              <w:t>东侧</w:t>
            </w:r>
            <w:r>
              <w:rPr>
                <w:rFonts w:ascii="Times New Roman" w:hAnsi="Times New Roman"/>
                <w:color w:val="auto"/>
              </w:rPr>
              <w:t>河道</w:t>
            </w:r>
          </w:p>
        </w:tc>
      </w:tr>
    </w:tbl>
    <w:p>
      <w:pPr>
        <w:adjustRightInd w:val="0"/>
        <w:snapToGrid w:val="0"/>
        <w:spacing w:after="120"/>
        <w:ind w:right="1928"/>
        <w:outlineLvl w:val="0"/>
        <w:rPr>
          <w:rFonts w:ascii="Times New Roman" w:hAnsi="Times New Roman"/>
          <w:b/>
          <w:bCs/>
          <w:color w:val="auto"/>
          <w:sz w:val="30"/>
          <w:szCs w:val="30"/>
        </w:rPr>
      </w:pPr>
    </w:p>
    <w:p>
      <w:pPr>
        <w:pStyle w:val="37"/>
        <w:adjustRightInd w:val="0"/>
        <w:snapToGrid w:val="0"/>
        <w:ind w:firstLine="480"/>
        <w:rPr>
          <w:rFonts w:ascii="Times New Roman" w:hAnsi="Times New Roman"/>
          <w:color w:val="auto"/>
        </w:rPr>
      </w:pPr>
    </w:p>
    <w:p>
      <w:pPr>
        <w:adjustRightInd w:val="0"/>
        <w:snapToGrid w:val="0"/>
        <w:spacing w:after="120"/>
        <w:ind w:right="1928"/>
        <w:outlineLvl w:val="0"/>
        <w:rPr>
          <w:rFonts w:ascii="Times New Roman" w:hAnsi="Times New Roman"/>
          <w:b/>
          <w:bCs/>
          <w:color w:val="auto"/>
          <w:sz w:val="30"/>
          <w:szCs w:val="30"/>
        </w:rPr>
      </w:pPr>
      <w:r>
        <w:rPr>
          <w:rFonts w:ascii="Times New Roman" w:hAnsi="Times New Roman"/>
          <w:b/>
          <w:bCs/>
          <w:color w:val="auto"/>
          <w:sz w:val="30"/>
          <w:szCs w:val="30"/>
        </w:rPr>
        <w:br w:type="page"/>
      </w:r>
    </w:p>
    <w:p>
      <w:pPr>
        <w:adjustRightInd w:val="0"/>
        <w:snapToGrid w:val="0"/>
        <w:spacing w:after="120"/>
        <w:ind w:right="1928"/>
        <w:outlineLvl w:val="0"/>
        <w:rPr>
          <w:rFonts w:ascii="Times New Roman" w:hAnsi="Times New Roman"/>
          <w:b/>
          <w:bCs/>
          <w:color w:val="auto"/>
          <w:sz w:val="30"/>
          <w:szCs w:val="30"/>
        </w:rPr>
      </w:pPr>
      <w:r>
        <w:rPr>
          <w:rFonts w:ascii="Times New Roman" w:hAnsi="Times New Roman"/>
          <w:b/>
          <w:bCs/>
          <w:color w:val="auto"/>
          <w:sz w:val="30"/>
          <w:szCs w:val="30"/>
        </w:rPr>
        <w:t>表一、建设项目基本情况</w:t>
      </w:r>
      <w:bookmarkEnd w:id="0"/>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540"/>
        <w:gridCol w:w="539"/>
        <w:gridCol w:w="808"/>
        <w:gridCol w:w="252"/>
        <w:gridCol w:w="1098"/>
        <w:gridCol w:w="184"/>
        <w:gridCol w:w="1148"/>
        <w:gridCol w:w="140"/>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right="-108" w:rightChars="-45"/>
              <w:jc w:val="center"/>
              <w:rPr>
                <w:rFonts w:ascii="Times New Roman" w:hAnsi="Times New Roman"/>
                <w:b/>
                <w:bCs/>
                <w:color w:val="auto"/>
                <w:spacing w:val="-20"/>
              </w:rPr>
            </w:pPr>
            <w:r>
              <w:rPr>
                <w:rFonts w:ascii="Times New Roman" w:hAnsi="Times New Roman"/>
                <w:b/>
                <w:bCs/>
                <w:color w:val="auto"/>
                <w:spacing w:val="-20"/>
              </w:rPr>
              <w:t>项 目 名 称</w:t>
            </w:r>
          </w:p>
        </w:tc>
        <w:tc>
          <w:tcPr>
            <w:tcW w:w="7113" w:type="dxa"/>
            <w:gridSpan w:val="9"/>
            <w:tcBorders>
              <w:top w:val="single" w:color="auto" w:sz="4" w:space="0"/>
              <w:left w:val="single" w:color="auto" w:sz="4" w:space="0"/>
              <w:bottom w:val="single" w:color="auto" w:sz="4" w:space="0"/>
              <w:right w:val="single" w:color="auto" w:sz="4" w:space="0"/>
            </w:tcBorders>
            <w:vAlign w:val="center"/>
          </w:tcPr>
          <w:p>
            <w:pPr>
              <w:pStyle w:val="26"/>
              <w:adjustRightInd w:val="0"/>
              <w:snapToGrid w:val="0"/>
              <w:rPr>
                <w:rFonts w:ascii="Times New Roman" w:hAnsi="Times New Roman"/>
                <w:color w:val="auto"/>
              </w:rPr>
            </w:pPr>
            <w:bookmarkStart w:id="1" w:name="OLE_LINK8"/>
            <w:r>
              <w:rPr>
                <w:rFonts w:ascii="Times New Roman" w:hAnsi="Times New Roman"/>
                <w:color w:val="auto"/>
                <w:kern w:val="0"/>
              </w:rPr>
              <w:t>宜良明丰造纸厂锅炉技改建设项目</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right="-108" w:rightChars="-45"/>
              <w:jc w:val="center"/>
              <w:rPr>
                <w:rFonts w:ascii="Times New Roman" w:hAnsi="Times New Roman"/>
                <w:b/>
                <w:bCs/>
                <w:color w:val="auto"/>
                <w:spacing w:val="-20"/>
              </w:rPr>
            </w:pPr>
            <w:r>
              <w:rPr>
                <w:rFonts w:ascii="Times New Roman" w:hAnsi="Times New Roman"/>
                <w:b/>
                <w:bCs/>
                <w:color w:val="auto"/>
                <w:spacing w:val="-20"/>
              </w:rPr>
              <w:t>建 设 单 位</w:t>
            </w:r>
          </w:p>
        </w:tc>
        <w:tc>
          <w:tcPr>
            <w:tcW w:w="7113" w:type="dxa"/>
            <w:gridSpan w:val="9"/>
            <w:tcBorders>
              <w:top w:val="single" w:color="auto" w:sz="4" w:space="0"/>
              <w:left w:val="single" w:color="auto" w:sz="4" w:space="0"/>
              <w:bottom w:val="single" w:color="auto" w:sz="4" w:space="0"/>
              <w:right w:val="single" w:color="auto" w:sz="4" w:space="0"/>
            </w:tcBorders>
            <w:vAlign w:val="center"/>
          </w:tcPr>
          <w:p>
            <w:pPr>
              <w:pStyle w:val="26"/>
              <w:adjustRightInd w:val="0"/>
              <w:snapToGrid w:val="0"/>
              <w:rPr>
                <w:rFonts w:ascii="Times New Roman" w:hAnsi="Times New Roman"/>
                <w:color w:val="auto"/>
              </w:rPr>
            </w:pPr>
            <w:r>
              <w:rPr>
                <w:rFonts w:ascii="Times New Roman" w:hAnsi="Times New Roman"/>
                <w:color w:val="auto"/>
                <w:kern w:val="0"/>
              </w:rPr>
              <w:t>宜良明丰造纸厂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right="-108" w:rightChars="-45"/>
              <w:jc w:val="center"/>
              <w:rPr>
                <w:rFonts w:ascii="Times New Roman" w:hAnsi="Times New Roman"/>
                <w:b/>
                <w:bCs/>
                <w:color w:val="auto"/>
                <w:spacing w:val="-20"/>
              </w:rPr>
            </w:pPr>
            <w:r>
              <w:rPr>
                <w:rFonts w:ascii="Times New Roman" w:hAnsi="Times New Roman"/>
                <w:b/>
                <w:bCs/>
                <w:color w:val="auto"/>
                <w:spacing w:val="-20"/>
              </w:rPr>
              <w:t>法 人 代 表</w:t>
            </w:r>
          </w:p>
        </w:tc>
        <w:tc>
          <w:tcPr>
            <w:tcW w:w="3103" w:type="dxa"/>
            <w:gridSpan w:val="4"/>
            <w:tcBorders>
              <w:top w:val="single" w:color="auto" w:sz="4" w:space="0"/>
              <w:left w:val="single" w:color="auto" w:sz="4" w:space="0"/>
              <w:bottom w:val="single" w:color="auto" w:sz="4" w:space="0"/>
              <w:right w:val="single" w:color="auto" w:sz="4" w:space="0"/>
            </w:tcBorders>
            <w:vAlign w:val="center"/>
          </w:tcPr>
          <w:p>
            <w:pPr>
              <w:pStyle w:val="26"/>
              <w:adjustRightInd w:val="0"/>
              <w:snapToGrid w:val="0"/>
              <w:rPr>
                <w:rFonts w:ascii="Times New Roman" w:hAnsi="Times New Roman"/>
                <w:color w:val="auto"/>
              </w:rPr>
            </w:pPr>
            <w:r>
              <w:rPr>
                <w:rFonts w:ascii="Times New Roman" w:hAnsi="Times New Roman"/>
                <w:color w:val="auto"/>
                <w:kern w:val="0"/>
              </w:rPr>
              <w:t>梁龙富</w:t>
            </w:r>
          </w:p>
        </w:tc>
        <w:tc>
          <w:tcPr>
            <w:tcW w:w="126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left="26" w:leftChars="11"/>
              <w:jc w:val="center"/>
              <w:rPr>
                <w:rFonts w:ascii="Times New Roman" w:hAnsi="Times New Roman"/>
                <w:color w:val="auto"/>
              </w:rPr>
            </w:pPr>
            <w:r>
              <w:rPr>
                <w:rFonts w:ascii="Times New Roman" w:hAnsi="Times New Roman"/>
                <w:b/>
                <w:bCs/>
                <w:color w:val="auto"/>
              </w:rPr>
              <w:t>联 系 人</w:t>
            </w:r>
          </w:p>
        </w:tc>
        <w:tc>
          <w:tcPr>
            <w:tcW w:w="2741" w:type="dxa"/>
            <w:gridSpan w:val="3"/>
            <w:tcBorders>
              <w:top w:val="single" w:color="auto" w:sz="4" w:space="0"/>
              <w:left w:val="single" w:color="auto" w:sz="4" w:space="0"/>
              <w:bottom w:val="single" w:color="auto" w:sz="4" w:space="0"/>
              <w:right w:val="single" w:color="auto" w:sz="4" w:space="0"/>
            </w:tcBorders>
            <w:vAlign w:val="center"/>
          </w:tcPr>
          <w:p>
            <w:pPr>
              <w:pStyle w:val="26"/>
              <w:adjustRightInd w:val="0"/>
              <w:snapToGrid w:val="0"/>
              <w:rPr>
                <w:rFonts w:ascii="Times New Roman" w:hAnsi="Times New Roman"/>
                <w:color w:val="auto"/>
              </w:rPr>
            </w:pPr>
            <w:r>
              <w:rPr>
                <w:rFonts w:ascii="Times New Roman" w:hAnsi="Times New Roman"/>
                <w:color w:val="auto"/>
                <w:kern w:val="0"/>
              </w:rPr>
              <w:t>梁龙富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right="-108" w:rightChars="-45"/>
              <w:jc w:val="center"/>
              <w:rPr>
                <w:rFonts w:ascii="Times New Roman" w:hAnsi="Times New Roman"/>
                <w:b/>
                <w:bCs/>
                <w:color w:val="auto"/>
                <w:spacing w:val="-20"/>
              </w:rPr>
            </w:pPr>
            <w:r>
              <w:rPr>
                <w:rFonts w:ascii="Times New Roman" w:hAnsi="Times New Roman"/>
                <w:b/>
                <w:bCs/>
                <w:color w:val="auto"/>
                <w:spacing w:val="-20"/>
              </w:rPr>
              <w:t>通 讯 地 址</w:t>
            </w:r>
          </w:p>
        </w:tc>
        <w:tc>
          <w:tcPr>
            <w:tcW w:w="7113" w:type="dxa"/>
            <w:gridSpan w:val="9"/>
            <w:tcBorders>
              <w:top w:val="single" w:color="auto" w:sz="4" w:space="0"/>
              <w:left w:val="single" w:color="auto" w:sz="4" w:space="0"/>
              <w:bottom w:val="single" w:color="auto" w:sz="4" w:space="0"/>
              <w:right w:val="single" w:color="auto" w:sz="4" w:space="0"/>
            </w:tcBorders>
            <w:vAlign w:val="center"/>
          </w:tcPr>
          <w:p>
            <w:pPr>
              <w:pStyle w:val="26"/>
              <w:adjustRightInd w:val="0"/>
              <w:snapToGrid w:val="0"/>
              <w:rPr>
                <w:rFonts w:ascii="Times New Roman" w:hAnsi="Times New Roman"/>
                <w:color w:val="auto"/>
              </w:rPr>
            </w:pPr>
            <w:r>
              <w:rPr>
                <w:rFonts w:ascii="Times New Roman" w:hAnsi="Times New Roman"/>
                <w:color w:val="auto"/>
              </w:rPr>
              <w:t>宜良县匡远街道办事处左营村宜马公路旁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right="-108" w:rightChars="-45"/>
              <w:jc w:val="center"/>
              <w:rPr>
                <w:rFonts w:ascii="Times New Roman" w:hAnsi="Times New Roman"/>
                <w:b/>
                <w:bCs/>
                <w:color w:val="auto"/>
                <w:spacing w:val="-20"/>
              </w:rPr>
            </w:pPr>
            <w:r>
              <w:rPr>
                <w:rFonts w:ascii="Times New Roman" w:hAnsi="Times New Roman"/>
                <w:b/>
                <w:bCs/>
                <w:color w:val="auto"/>
                <w:spacing w:val="-20"/>
              </w:rPr>
              <w:t>联 系 电 话</w:t>
            </w:r>
          </w:p>
        </w:tc>
        <w:tc>
          <w:tcPr>
            <w:tcW w:w="2055" w:type="dxa"/>
            <w:gridSpan w:val="2"/>
            <w:tcBorders>
              <w:top w:val="single" w:color="auto" w:sz="4" w:space="0"/>
              <w:left w:val="single" w:color="auto" w:sz="4" w:space="0"/>
              <w:bottom w:val="single" w:color="auto" w:sz="4" w:space="0"/>
              <w:right w:val="single" w:color="auto" w:sz="4" w:space="0"/>
            </w:tcBorders>
            <w:vAlign w:val="center"/>
          </w:tcPr>
          <w:p>
            <w:pPr>
              <w:pStyle w:val="26"/>
              <w:adjustRightInd w:val="0"/>
              <w:snapToGrid w:val="0"/>
              <w:rPr>
                <w:rFonts w:ascii="Times New Roman" w:hAnsi="Times New Roman"/>
                <w:color w:val="auto"/>
              </w:rPr>
            </w:pPr>
            <w:r>
              <w:rPr>
                <w:rFonts w:ascii="Times New Roman" w:hAnsi="Times New Roman"/>
                <w:color w:val="auto"/>
                <w:kern w:val="0"/>
              </w:rPr>
              <w:t>13769106198</w:t>
            </w:r>
          </w:p>
        </w:tc>
        <w:tc>
          <w:tcPr>
            <w:tcW w:w="104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olor w:val="auto"/>
              </w:rPr>
            </w:pPr>
            <w:r>
              <w:rPr>
                <w:rFonts w:ascii="Times New Roman" w:hAnsi="Times New Roman"/>
                <w:b/>
                <w:bCs/>
                <w:color w:val="auto"/>
              </w:rPr>
              <w:t>传 真</w:t>
            </w:r>
          </w:p>
        </w:tc>
        <w:tc>
          <w:tcPr>
            <w:tcW w:w="126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olor w:val="auto"/>
              </w:rPr>
            </w:pPr>
            <w:r>
              <w:rPr>
                <w:rFonts w:ascii="Times New Roman" w:hAnsi="Times New Roman"/>
                <w:bCs/>
                <w:snapToGrid w:val="0"/>
                <w:color w:val="auto"/>
                <w:kern w:val="0"/>
              </w:rPr>
              <w:t>/</w:t>
            </w:r>
          </w:p>
        </w:tc>
        <w:tc>
          <w:tcPr>
            <w:tcW w:w="128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olor w:val="auto"/>
              </w:rPr>
            </w:pPr>
            <w:r>
              <w:rPr>
                <w:rFonts w:ascii="Times New Roman" w:hAnsi="Times New Roman"/>
                <w:b/>
                <w:bCs/>
                <w:color w:val="auto"/>
              </w:rPr>
              <w:t>邮政编码</w:t>
            </w:r>
          </w:p>
        </w:tc>
        <w:tc>
          <w:tcPr>
            <w:tcW w:w="1453" w:type="dxa"/>
            <w:tcBorders>
              <w:top w:val="single" w:color="auto" w:sz="4" w:space="0"/>
              <w:left w:val="single" w:color="auto" w:sz="4" w:space="0"/>
              <w:bottom w:val="single" w:color="auto" w:sz="4" w:space="0"/>
              <w:right w:val="single" w:color="auto" w:sz="4" w:space="0"/>
            </w:tcBorders>
            <w:vAlign w:val="center"/>
          </w:tcPr>
          <w:p>
            <w:pPr>
              <w:pStyle w:val="26"/>
              <w:adjustRightInd w:val="0"/>
              <w:snapToGrid w:val="0"/>
              <w:rPr>
                <w:rFonts w:ascii="Times New Roman" w:hAnsi="Times New Roman"/>
                <w:color w:val="auto"/>
                <w:kern w:val="24"/>
              </w:rPr>
            </w:pPr>
            <w:r>
              <w:rPr>
                <w:rFonts w:ascii="Times New Roman" w:hAnsi="Times New Roman"/>
                <w:color w:val="auto"/>
                <w:kern w:val="24"/>
              </w:rPr>
              <w:t>652100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right="-108" w:rightChars="-45"/>
              <w:jc w:val="center"/>
              <w:rPr>
                <w:rFonts w:ascii="Times New Roman" w:hAnsi="Times New Roman"/>
                <w:b/>
                <w:bCs/>
                <w:color w:val="auto"/>
                <w:spacing w:val="-20"/>
              </w:rPr>
            </w:pPr>
            <w:r>
              <w:rPr>
                <w:rFonts w:ascii="Times New Roman" w:hAnsi="Times New Roman"/>
                <w:b/>
                <w:bCs/>
                <w:color w:val="auto"/>
                <w:spacing w:val="-20"/>
              </w:rPr>
              <w:t>建 设 地 点</w:t>
            </w:r>
          </w:p>
        </w:tc>
        <w:tc>
          <w:tcPr>
            <w:tcW w:w="7113" w:type="dxa"/>
            <w:gridSpan w:val="9"/>
            <w:tcBorders>
              <w:top w:val="single" w:color="auto" w:sz="4" w:space="0"/>
              <w:left w:val="single" w:color="auto" w:sz="4" w:space="0"/>
              <w:bottom w:val="single" w:color="auto" w:sz="4" w:space="0"/>
              <w:right w:val="single" w:color="auto" w:sz="4" w:space="0"/>
            </w:tcBorders>
            <w:vAlign w:val="center"/>
          </w:tcPr>
          <w:p>
            <w:pPr>
              <w:pStyle w:val="26"/>
              <w:adjustRightInd w:val="0"/>
              <w:snapToGrid w:val="0"/>
              <w:rPr>
                <w:rFonts w:ascii="Times New Roman" w:hAnsi="Times New Roman"/>
                <w:color w:val="auto"/>
              </w:rPr>
            </w:pPr>
            <w:r>
              <w:rPr>
                <w:rFonts w:ascii="Times New Roman" w:hAnsi="Times New Roman"/>
                <w:color w:val="auto"/>
              </w:rPr>
              <w:t>宜良县匡远街道办事处左营村宜马公路旁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right="-108" w:rightChars="-45"/>
              <w:jc w:val="center"/>
              <w:rPr>
                <w:rFonts w:ascii="Times New Roman" w:hAnsi="Times New Roman"/>
                <w:b/>
                <w:bCs/>
                <w:color w:val="auto"/>
                <w:spacing w:val="-6"/>
              </w:rPr>
            </w:pPr>
            <w:r>
              <w:rPr>
                <w:rFonts w:ascii="Times New Roman" w:hAnsi="Times New Roman"/>
                <w:b/>
                <w:bCs/>
                <w:color w:val="auto"/>
                <w:spacing w:val="-6"/>
              </w:rPr>
              <w:t>立项审批部门</w:t>
            </w:r>
          </w:p>
        </w:tc>
        <w:tc>
          <w:tcPr>
            <w:tcW w:w="285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left="-108" w:right="-108" w:rightChars="-45"/>
              <w:jc w:val="center"/>
              <w:rPr>
                <w:rFonts w:ascii="Times New Roman" w:hAnsi="Times New Roman"/>
                <w:color w:val="auto"/>
              </w:rPr>
            </w:pPr>
            <w:r>
              <w:rPr>
                <w:rFonts w:ascii="Times New Roman" w:hAnsi="Times New Roman"/>
                <w:color w:val="auto"/>
              </w:rPr>
              <w:t>-</w:t>
            </w:r>
          </w:p>
        </w:tc>
        <w:tc>
          <w:tcPr>
            <w:tcW w:w="133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b/>
                <w:bCs/>
                <w:color w:val="auto"/>
              </w:rPr>
            </w:pPr>
            <w:r>
              <w:rPr>
                <w:rFonts w:ascii="Times New Roman" w:hAnsi="Times New Roman"/>
                <w:b/>
                <w:bCs/>
                <w:color w:val="auto"/>
              </w:rPr>
              <w:t>批准文号</w:t>
            </w:r>
          </w:p>
        </w:tc>
        <w:tc>
          <w:tcPr>
            <w:tcW w:w="2925"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olor w:val="auto"/>
              </w:rPr>
            </w:pPr>
            <w:r>
              <w:rPr>
                <w:rFonts w:ascii="Times New Roman" w:hAns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right="-108" w:rightChars="-45"/>
              <w:jc w:val="center"/>
              <w:rPr>
                <w:rFonts w:ascii="Times New Roman" w:hAnsi="Times New Roman"/>
                <w:b/>
                <w:bCs/>
                <w:color w:val="auto"/>
                <w:spacing w:val="-20"/>
              </w:rPr>
            </w:pPr>
            <w:r>
              <w:rPr>
                <w:rFonts w:ascii="Times New Roman" w:hAnsi="Times New Roman"/>
                <w:b/>
                <w:bCs/>
                <w:color w:val="auto"/>
                <w:spacing w:val="-20"/>
              </w:rPr>
              <w:t>建 设 性 质</w:t>
            </w:r>
          </w:p>
        </w:tc>
        <w:tc>
          <w:tcPr>
            <w:tcW w:w="285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olor w:val="auto"/>
              </w:rPr>
            </w:pPr>
            <w:r>
              <w:rPr>
                <w:rFonts w:ascii="Times New Roman" w:hAnsi="Times New Roman"/>
                <w:color w:val="auto"/>
                <w:kern w:val="0"/>
              </w:rPr>
              <w:t>技改</w:t>
            </w:r>
          </w:p>
        </w:tc>
        <w:tc>
          <w:tcPr>
            <w:tcW w:w="133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b/>
                <w:bCs/>
                <w:color w:val="auto"/>
              </w:rPr>
            </w:pPr>
            <w:r>
              <w:rPr>
                <w:rFonts w:ascii="Times New Roman" w:hAnsi="Times New Roman"/>
                <w:b/>
                <w:bCs/>
                <w:color w:val="auto"/>
              </w:rPr>
              <w:t>行业类别</w:t>
            </w:r>
          </w:p>
          <w:p>
            <w:pPr>
              <w:adjustRightInd w:val="0"/>
              <w:snapToGrid w:val="0"/>
              <w:spacing w:line="320" w:lineRule="exact"/>
              <w:jc w:val="center"/>
              <w:rPr>
                <w:rFonts w:ascii="Times New Roman" w:hAnsi="Times New Roman"/>
                <w:b/>
                <w:bCs/>
                <w:color w:val="auto"/>
              </w:rPr>
            </w:pPr>
            <w:r>
              <w:rPr>
                <w:rFonts w:ascii="Times New Roman" w:hAnsi="Times New Roman"/>
                <w:b/>
                <w:bCs/>
                <w:color w:val="auto"/>
              </w:rPr>
              <w:t>及代码</w:t>
            </w:r>
          </w:p>
        </w:tc>
        <w:tc>
          <w:tcPr>
            <w:tcW w:w="2925"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imes New Roman" w:hAnsi="Times New Roman"/>
                <w:color w:val="auto"/>
                <w:spacing w:val="-6"/>
              </w:rPr>
            </w:pPr>
            <w:r>
              <w:rPr>
                <w:rFonts w:ascii="Times New Roman" w:hAnsi="Times New Roman"/>
                <w:color w:val="auto"/>
              </w:rPr>
              <w:t>热力生产和供应（D4430)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right="-108" w:rightChars="-45"/>
              <w:jc w:val="center"/>
              <w:rPr>
                <w:rFonts w:ascii="Times New Roman" w:hAnsi="Times New Roman"/>
                <w:b/>
                <w:bCs/>
                <w:color w:val="auto"/>
                <w:spacing w:val="-6"/>
              </w:rPr>
            </w:pPr>
            <w:r>
              <w:rPr>
                <w:rFonts w:ascii="Times New Roman" w:hAnsi="Times New Roman"/>
                <w:b/>
                <w:bCs/>
                <w:color w:val="auto"/>
                <w:spacing w:val="-20"/>
              </w:rPr>
              <w:t>占 地 面 积</w:t>
            </w:r>
          </w:p>
          <w:p>
            <w:pPr>
              <w:adjustRightInd w:val="0"/>
              <w:snapToGrid w:val="0"/>
              <w:spacing w:line="320" w:lineRule="exact"/>
              <w:ind w:right="-108" w:rightChars="-45"/>
              <w:jc w:val="center"/>
              <w:rPr>
                <w:rFonts w:ascii="Times New Roman" w:hAnsi="Times New Roman"/>
                <w:b/>
                <w:bCs/>
                <w:color w:val="auto"/>
                <w:spacing w:val="-6"/>
              </w:rPr>
            </w:pPr>
            <w:r>
              <w:rPr>
                <w:rFonts w:ascii="Times New Roman" w:hAnsi="Times New Roman"/>
                <w:b/>
                <w:bCs/>
                <w:color w:val="auto"/>
                <w:spacing w:val="-6"/>
              </w:rPr>
              <w:t>（平方米）</w:t>
            </w:r>
          </w:p>
        </w:tc>
        <w:tc>
          <w:tcPr>
            <w:tcW w:w="2854" w:type="dxa"/>
            <w:gridSpan w:val="3"/>
            <w:tcBorders>
              <w:top w:val="single" w:color="auto" w:sz="4" w:space="0"/>
              <w:left w:val="single" w:color="auto" w:sz="4" w:space="0"/>
              <w:bottom w:val="single" w:color="auto" w:sz="4" w:space="0"/>
              <w:right w:val="single" w:color="auto" w:sz="4" w:space="0"/>
            </w:tcBorders>
            <w:vAlign w:val="center"/>
          </w:tcPr>
          <w:p>
            <w:pPr>
              <w:pStyle w:val="26"/>
              <w:adjustRightInd w:val="0"/>
              <w:snapToGrid w:val="0"/>
              <w:rPr>
                <w:rFonts w:ascii="Times New Roman" w:hAnsi="Times New Roman"/>
                <w:color w:val="auto"/>
              </w:rPr>
            </w:pPr>
            <w:r>
              <w:rPr>
                <w:rFonts w:ascii="Times New Roman" w:hAnsi="Times New Roman"/>
                <w:color w:val="auto"/>
                <w:kern w:val="0"/>
              </w:rPr>
              <w:t>3045</w:t>
            </w:r>
          </w:p>
        </w:tc>
        <w:tc>
          <w:tcPr>
            <w:tcW w:w="133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b/>
                <w:bCs/>
                <w:color w:val="auto"/>
              </w:rPr>
            </w:pPr>
            <w:r>
              <w:rPr>
                <w:rFonts w:ascii="Times New Roman" w:hAnsi="Times New Roman"/>
                <w:b/>
                <w:bCs/>
                <w:color w:val="auto"/>
              </w:rPr>
              <w:t>绿化面积（平方米）</w:t>
            </w:r>
          </w:p>
        </w:tc>
        <w:tc>
          <w:tcPr>
            <w:tcW w:w="2925"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olor w:val="auto"/>
              </w:rPr>
            </w:pPr>
            <w:r>
              <w:rPr>
                <w:rFonts w:ascii="Times New Roman" w:hAnsi="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right="-108" w:rightChars="-45"/>
              <w:jc w:val="center"/>
              <w:rPr>
                <w:rFonts w:ascii="Times New Roman" w:hAnsi="Times New Roman"/>
                <w:b/>
                <w:bCs/>
                <w:color w:val="auto"/>
                <w:spacing w:val="-6"/>
              </w:rPr>
            </w:pPr>
            <w:r>
              <w:rPr>
                <w:rFonts w:ascii="Times New Roman" w:hAnsi="Times New Roman"/>
                <w:b/>
                <w:bCs/>
                <w:color w:val="auto"/>
                <w:spacing w:val="-20"/>
              </w:rPr>
              <w:t>总  投  资</w:t>
            </w:r>
            <w:r>
              <w:rPr>
                <w:rFonts w:ascii="Times New Roman" w:hAnsi="Times New Roman"/>
                <w:b/>
                <w:bCs/>
                <w:color w:val="auto"/>
                <w:spacing w:val="-6"/>
              </w:rPr>
              <w:t xml:space="preserve"> </w:t>
            </w:r>
          </w:p>
          <w:p>
            <w:pPr>
              <w:adjustRightInd w:val="0"/>
              <w:snapToGrid w:val="0"/>
              <w:spacing w:line="320" w:lineRule="exact"/>
              <w:ind w:right="-108" w:rightChars="-45"/>
              <w:jc w:val="center"/>
              <w:rPr>
                <w:rFonts w:ascii="Times New Roman" w:hAnsi="Times New Roman"/>
                <w:b/>
                <w:bCs/>
                <w:color w:val="auto"/>
                <w:spacing w:val="-6"/>
              </w:rPr>
            </w:pPr>
            <w:r>
              <w:rPr>
                <w:rFonts w:ascii="Times New Roman" w:hAnsi="Times New Roman"/>
                <w:b/>
                <w:bCs/>
                <w:color w:val="auto"/>
                <w:spacing w:val="-6"/>
              </w:rPr>
              <w:t>（万元）</w:t>
            </w:r>
          </w:p>
        </w:tc>
        <w:tc>
          <w:tcPr>
            <w:tcW w:w="1522" w:type="dxa"/>
            <w:tcBorders>
              <w:top w:val="single" w:color="auto" w:sz="4" w:space="0"/>
              <w:left w:val="single" w:color="auto" w:sz="4" w:space="0"/>
              <w:bottom w:val="single" w:color="auto" w:sz="4" w:space="0"/>
              <w:right w:val="single" w:color="auto" w:sz="4" w:space="0"/>
            </w:tcBorders>
            <w:vAlign w:val="center"/>
          </w:tcPr>
          <w:p>
            <w:pPr>
              <w:pStyle w:val="26"/>
              <w:adjustRightInd w:val="0"/>
              <w:snapToGrid w:val="0"/>
              <w:rPr>
                <w:rFonts w:ascii="Times New Roman" w:hAnsi="Times New Roman"/>
                <w:color w:val="auto"/>
                <w:kern w:val="24"/>
              </w:rPr>
            </w:pPr>
            <w:r>
              <w:rPr>
                <w:rFonts w:ascii="Times New Roman" w:hAnsi="Times New Roman"/>
                <w:color w:val="auto"/>
              </w:rPr>
              <w:t>20</w:t>
            </w:r>
          </w:p>
        </w:tc>
        <w:tc>
          <w:tcPr>
            <w:tcW w:w="133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olor w:val="auto"/>
              </w:rPr>
            </w:pPr>
            <w:r>
              <w:rPr>
                <w:rFonts w:ascii="Times New Roman" w:hAnsi="Times New Roman"/>
                <w:b/>
                <w:bCs/>
                <w:color w:val="auto"/>
              </w:rPr>
              <w:t>其中：环保投资（万元）</w:t>
            </w:r>
          </w:p>
        </w:tc>
        <w:tc>
          <w:tcPr>
            <w:tcW w:w="133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olor w:val="auto"/>
              </w:rPr>
            </w:pPr>
            <w:r>
              <w:rPr>
                <w:rFonts w:ascii="Times New Roman" w:hAnsi="Times New Roman"/>
                <w:color w:val="auto"/>
              </w:rPr>
              <w:t>6.5</w:t>
            </w:r>
          </w:p>
        </w:tc>
        <w:tc>
          <w:tcPr>
            <w:tcW w:w="133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olor w:val="auto"/>
              </w:rPr>
            </w:pPr>
            <w:r>
              <w:rPr>
                <w:rFonts w:ascii="Times New Roman" w:hAnsi="Times New Roman"/>
                <w:b/>
                <w:bCs/>
                <w:color w:val="auto"/>
              </w:rPr>
              <w:t>环保投资占总投资比例</w:t>
            </w:r>
          </w:p>
        </w:tc>
        <w:tc>
          <w:tcPr>
            <w:tcW w:w="159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olor w:val="auto"/>
              </w:rPr>
            </w:pPr>
            <w:r>
              <w:rPr>
                <w:rFonts w:ascii="Times New Roman" w:hAnsi="Times New Roman"/>
                <w:color w:val="auto"/>
                <w:kern w:val="2"/>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right="-108" w:rightChars="-45"/>
              <w:jc w:val="center"/>
              <w:rPr>
                <w:rFonts w:ascii="Times New Roman" w:hAnsi="Times New Roman"/>
                <w:b/>
                <w:bCs/>
                <w:color w:val="auto"/>
                <w:spacing w:val="-6"/>
              </w:rPr>
            </w:pPr>
            <w:r>
              <w:rPr>
                <w:rFonts w:ascii="Times New Roman" w:hAnsi="Times New Roman"/>
                <w:b/>
                <w:bCs/>
                <w:color w:val="auto"/>
                <w:spacing w:val="-20"/>
              </w:rPr>
              <w:t>评 价 经 费</w:t>
            </w:r>
          </w:p>
          <w:p>
            <w:pPr>
              <w:adjustRightInd w:val="0"/>
              <w:snapToGrid w:val="0"/>
              <w:spacing w:line="320" w:lineRule="exact"/>
              <w:ind w:right="-108" w:rightChars="-45"/>
              <w:jc w:val="center"/>
              <w:rPr>
                <w:rFonts w:ascii="Times New Roman" w:hAnsi="Times New Roman"/>
                <w:b/>
                <w:bCs/>
                <w:color w:val="auto"/>
                <w:spacing w:val="-6"/>
              </w:rPr>
            </w:pPr>
            <w:r>
              <w:rPr>
                <w:rFonts w:ascii="Times New Roman" w:hAnsi="Times New Roman"/>
                <w:b/>
                <w:bCs/>
                <w:color w:val="auto"/>
                <w:spacing w:val="-6"/>
              </w:rPr>
              <w:t>（万元）</w:t>
            </w:r>
          </w:p>
        </w:tc>
        <w:tc>
          <w:tcPr>
            <w:tcW w:w="1522" w:type="dxa"/>
            <w:tcBorders>
              <w:top w:val="single" w:color="auto" w:sz="4" w:space="0"/>
              <w:left w:val="single" w:color="auto" w:sz="4" w:space="0"/>
              <w:bottom w:val="single" w:color="auto" w:sz="4" w:space="0"/>
              <w:right w:val="single" w:color="auto" w:sz="4" w:space="0"/>
            </w:tcBorders>
            <w:vAlign w:val="center"/>
          </w:tcPr>
          <w:p>
            <w:pPr>
              <w:pStyle w:val="26"/>
              <w:adjustRightInd w:val="0"/>
              <w:snapToGrid w:val="0"/>
              <w:rPr>
                <w:rFonts w:ascii="Times New Roman" w:hAnsi="Times New Roman"/>
                <w:color w:val="auto"/>
                <w:kern w:val="24"/>
              </w:rPr>
            </w:pPr>
            <w:r>
              <w:rPr>
                <w:rFonts w:ascii="Times New Roman" w:hAnsi="Times New Roman"/>
                <w:color w:val="auto"/>
              </w:rPr>
              <w:t>/</w:t>
            </w:r>
          </w:p>
        </w:tc>
        <w:tc>
          <w:tcPr>
            <w:tcW w:w="266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olor w:val="auto"/>
              </w:rPr>
            </w:pPr>
            <w:r>
              <w:rPr>
                <w:rFonts w:ascii="Times New Roman" w:hAnsi="Times New Roman"/>
                <w:b/>
                <w:bCs/>
                <w:color w:val="auto"/>
              </w:rPr>
              <w:t>预期投产日期</w:t>
            </w:r>
          </w:p>
        </w:tc>
        <w:tc>
          <w:tcPr>
            <w:tcW w:w="2925"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2021年7月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3" w:type="dxa"/>
            <w:gridSpan w:val="10"/>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outlineLvl w:val="1"/>
              <w:rPr>
                <w:rFonts w:ascii="Times New Roman" w:hAnsi="Times New Roman"/>
                <w:b/>
                <w:bCs/>
                <w:color w:val="auto"/>
              </w:rPr>
            </w:pPr>
            <w:r>
              <w:rPr>
                <w:rFonts w:ascii="Times New Roman" w:hAnsi="Times New Roman"/>
                <w:b/>
                <w:bCs/>
                <w:color w:val="auto"/>
              </w:rPr>
              <w:t>1、项目背景</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宜良明丰造纸厂位于宜良县匡远街道办事处左营村宜马公路旁，占地面积约为31223m</w:t>
            </w:r>
            <w:r>
              <w:rPr>
                <w:rFonts w:ascii="Times New Roman" w:hAnsi="Times New Roman"/>
                <w:color w:val="auto"/>
                <w:vertAlign w:val="superscript"/>
              </w:rPr>
              <w:t>2</w:t>
            </w:r>
            <w:r>
              <w:rPr>
                <w:rFonts w:ascii="Times New Roman" w:hAnsi="Times New Roman"/>
                <w:color w:val="auto"/>
              </w:rPr>
              <w:t>，宜良明丰造纸厂主要以废纸板为原料，专业生产包装纸箱用纸。经过近二十年的发展，目前生产能力为10000吨/年。造纸厂原有的6600吨/年的1、2号生产线，7000吨/年的3号生产线均已拆除，目前的生产线为2007年建设的生产能力为10000吨/年的4号生产线。</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现状10000吨/年的4号生产线的环评于2007年由原昆明市环境保护局（暨现昆明市生态环境局）以昆环保复[2007]39号文批复，并于2009年4月通过了原宜良县环保局验收（暨现昆明市生态环境局宜良分局），并办理排污许可证。</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本次评价的锅炉的作用是为4号生产线提供烘干纸张的热源。《宜良县人民政府关于印发2018年宜良县大气污染防治工作实施方案的通知》中</w:t>
            </w:r>
            <w:r>
              <w:rPr>
                <w:rFonts w:hint="eastAsia" w:ascii="Times New Roman" w:hAnsi="Times New Roman"/>
                <w:color w:val="auto"/>
              </w:rPr>
              <w:t>规定：</w:t>
            </w:r>
            <w:r>
              <w:rPr>
                <w:rFonts w:ascii="Times New Roman" w:hAnsi="Times New Roman"/>
                <w:color w:val="auto"/>
              </w:rPr>
              <w:t>“宜良县城规划区内禁止新建燃煤锅炉，已建成的2018年12月31日前完成淘汰。”，为提升厂区环保水平，2018年宜良明丰造纸厂编制了整改方案，针对锅炉的内容为同意企业保留原有燃煤锅炉但要求配设在线监测系统。</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为响应《宜良县人民政府关于印发2018年宜良县大气污染防治工作实施方案的通知》中“宜良县城规划区内禁止新建燃煤锅炉，已建成的2018年12月31日前完成淘汰。”的要求，本项目</w:t>
            </w:r>
            <w:r>
              <w:rPr>
                <w:rFonts w:hint="eastAsia" w:ascii="Times New Roman" w:hAnsi="Times New Roman"/>
                <w:color w:val="auto"/>
              </w:rPr>
              <w:t>拟</w:t>
            </w:r>
            <w:r>
              <w:rPr>
                <w:rFonts w:ascii="Times New Roman" w:hAnsi="Times New Roman"/>
                <w:color w:val="auto"/>
              </w:rPr>
              <w:t>将原有的一台10吨的燃煤锅炉</w:t>
            </w:r>
            <w:r>
              <w:rPr>
                <w:rFonts w:hint="eastAsia" w:ascii="Times New Roman" w:hAnsi="Times New Roman"/>
                <w:color w:val="auto"/>
              </w:rPr>
              <w:t>淘汰，新建</w:t>
            </w:r>
            <w:r>
              <w:rPr>
                <w:rFonts w:ascii="Times New Roman" w:hAnsi="Times New Roman"/>
                <w:color w:val="auto"/>
              </w:rPr>
              <w:t>两台15吨的生物质锅炉（一用一备），此次锅炉改造</w:t>
            </w:r>
            <w:r>
              <w:rPr>
                <w:rFonts w:hint="eastAsia" w:ascii="Times New Roman" w:hAnsi="Times New Roman"/>
                <w:color w:val="auto"/>
              </w:rPr>
              <w:t>拟</w:t>
            </w:r>
            <w:r>
              <w:rPr>
                <w:rFonts w:ascii="Times New Roman" w:hAnsi="Times New Roman"/>
                <w:color w:val="auto"/>
              </w:rPr>
              <w:t>增加</w:t>
            </w:r>
            <w:r>
              <w:rPr>
                <w:rFonts w:hint="eastAsia" w:ascii="Times New Roman" w:hAnsi="Times New Roman"/>
                <w:color w:val="auto"/>
                <w:lang w:eastAsia="zh-CN"/>
              </w:rPr>
              <w:t>单台</w:t>
            </w:r>
            <w:r>
              <w:rPr>
                <w:rFonts w:ascii="Times New Roman" w:hAnsi="Times New Roman"/>
                <w:color w:val="auto"/>
              </w:rPr>
              <w:t>锅炉</w:t>
            </w:r>
            <w:r>
              <w:rPr>
                <w:rFonts w:hint="eastAsia" w:ascii="Times New Roman" w:hAnsi="Times New Roman"/>
                <w:color w:val="auto"/>
                <w:lang w:eastAsia="zh-CN"/>
              </w:rPr>
              <w:t>生产规模</w:t>
            </w:r>
            <w:r>
              <w:rPr>
                <w:rFonts w:ascii="Times New Roman" w:hAnsi="Times New Roman"/>
                <w:color w:val="auto"/>
              </w:rPr>
              <w:t>，</w:t>
            </w:r>
            <w:r>
              <w:rPr>
                <w:rFonts w:hint="eastAsia" w:ascii="Times New Roman" w:hAnsi="Times New Roman"/>
                <w:color w:val="auto"/>
                <w:lang w:eastAsia="zh-CN"/>
              </w:rPr>
              <w:t>以</w:t>
            </w:r>
            <w:r>
              <w:rPr>
                <w:rFonts w:hint="eastAsia" w:ascii="Times New Roman" w:hAnsi="Times New Roman"/>
                <w:color w:val="auto"/>
              </w:rPr>
              <w:t>缓解原有锅炉超负荷运转的情况，并为</w:t>
            </w:r>
            <w:r>
              <w:rPr>
                <w:rFonts w:ascii="Times New Roman" w:hAnsi="Times New Roman"/>
                <w:color w:val="auto"/>
              </w:rPr>
              <w:t>后期发展做准备。目前锅炉技改尚未开始，项目</w:t>
            </w:r>
            <w:r>
              <w:rPr>
                <w:rFonts w:hint="eastAsia" w:ascii="Times New Roman" w:hAnsi="Times New Roman"/>
                <w:color w:val="auto"/>
              </w:rPr>
              <w:t>现有</w:t>
            </w:r>
            <w:r>
              <w:rPr>
                <w:rFonts w:ascii="Times New Roman" w:hAnsi="Times New Roman"/>
                <w:color w:val="auto"/>
              </w:rPr>
              <w:t>燃煤锅炉正常生产中。</w:t>
            </w:r>
          </w:p>
          <w:p>
            <w:pPr>
              <w:adjustRightInd w:val="0"/>
              <w:snapToGrid w:val="0"/>
              <w:spacing w:line="360" w:lineRule="auto"/>
              <w:ind w:firstLine="480" w:firstLineChars="200"/>
              <w:rPr>
                <w:rFonts w:ascii="Times New Roman" w:hAnsi="Times New Roman"/>
                <w:color w:val="auto"/>
                <w:lang w:val="zh-CN"/>
              </w:rPr>
            </w:pPr>
            <w:r>
              <w:rPr>
                <w:rFonts w:ascii="Times New Roman" w:hAnsi="Times New Roman"/>
                <w:color w:val="auto"/>
                <w:lang w:val="zh-CN"/>
              </w:rPr>
              <w:t>本次技改不涉及废纸</w:t>
            </w:r>
            <w:r>
              <w:rPr>
                <w:rFonts w:hint="eastAsia" w:ascii="Times New Roman" w:hAnsi="Times New Roman"/>
                <w:color w:val="auto"/>
                <w:lang w:val="zh-CN"/>
              </w:rPr>
              <w:t>生产线</w:t>
            </w:r>
            <w:r>
              <w:rPr>
                <w:rFonts w:ascii="Times New Roman" w:hAnsi="Times New Roman"/>
                <w:color w:val="auto"/>
                <w:lang w:val="zh-CN"/>
              </w:rPr>
              <w:t>产能改变和工艺改变，</w:t>
            </w:r>
            <w:r>
              <w:rPr>
                <w:rFonts w:hint="eastAsia" w:ascii="Times New Roman" w:hAnsi="Times New Roman"/>
                <w:color w:val="auto"/>
                <w:lang w:val="zh-CN"/>
              </w:rPr>
              <w:t>则本次环评</w:t>
            </w:r>
            <w:r>
              <w:rPr>
                <w:rFonts w:ascii="Times New Roman" w:hAnsi="Times New Roman"/>
                <w:color w:val="auto"/>
                <w:lang w:val="zh-CN"/>
              </w:rPr>
              <w:t>仅对锅炉改造进行评价。</w:t>
            </w:r>
          </w:p>
          <w:p>
            <w:pPr>
              <w:adjustRightInd w:val="0"/>
              <w:snapToGrid w:val="0"/>
              <w:spacing w:line="360" w:lineRule="auto"/>
              <w:ind w:firstLine="480" w:firstLineChars="200"/>
              <w:rPr>
                <w:rFonts w:ascii="Times New Roman" w:hAnsi="Times New Roman"/>
                <w:color w:val="auto"/>
                <w:lang w:val="zh-CN"/>
              </w:rPr>
            </w:pPr>
            <w:r>
              <w:rPr>
                <w:rFonts w:ascii="Times New Roman" w:hAnsi="Times New Roman"/>
                <w:color w:val="auto"/>
                <w:lang w:val="zh-CN"/>
              </w:rPr>
              <w:t>本项目将原有燃煤锅炉改为生物质锅炉，根据</w:t>
            </w:r>
            <w:r>
              <w:rPr>
                <w:rFonts w:ascii="Times New Roman" w:hAnsi="Times New Roman"/>
                <w:color w:val="auto"/>
              </w:rPr>
              <w:t>《建设项目环境影响评价分类管理名录（2021版）》</w:t>
            </w:r>
            <w:r>
              <w:rPr>
                <w:rFonts w:hint="eastAsia" w:ascii="Times New Roman" w:hAnsi="Times New Roman"/>
                <w:color w:val="auto"/>
                <w:lang w:eastAsia="zh-CN"/>
              </w:rPr>
              <w:t>及地方环保主管部门要求</w:t>
            </w:r>
            <w:r>
              <w:rPr>
                <w:rFonts w:hint="eastAsia" w:ascii="Times New Roman" w:hAnsi="Times New Roman"/>
                <w:color w:val="auto"/>
                <w:lang w:val="zh-CN"/>
              </w:rPr>
              <w:t>确定</w:t>
            </w:r>
            <w:r>
              <w:rPr>
                <w:rFonts w:ascii="Times New Roman" w:hAnsi="Times New Roman"/>
                <w:color w:val="auto"/>
                <w:lang w:val="zh-CN"/>
              </w:rPr>
              <w:t>编制环境影响报告表。</w:t>
            </w:r>
          </w:p>
          <w:p>
            <w:pPr>
              <w:adjustRightInd w:val="0"/>
              <w:snapToGrid w:val="0"/>
              <w:spacing w:line="360" w:lineRule="auto"/>
              <w:ind w:firstLine="480" w:firstLineChars="200"/>
              <w:rPr>
                <w:rFonts w:ascii="Times New Roman" w:hAnsi="Times New Roman"/>
                <w:color w:val="auto"/>
                <w:lang w:val="zh-CN"/>
              </w:rPr>
            </w:pPr>
            <w:r>
              <w:rPr>
                <w:rFonts w:ascii="Times New Roman" w:hAnsi="Times New Roman"/>
                <w:color w:val="auto"/>
                <w:lang w:val="zh-CN"/>
              </w:rPr>
              <w:t>我公司受</w:t>
            </w:r>
            <w:r>
              <w:rPr>
                <w:rFonts w:ascii="Times New Roman" w:hAnsi="Times New Roman"/>
                <w:color w:val="auto"/>
              </w:rPr>
              <w:t>宜良明丰造纸厂</w:t>
            </w:r>
            <w:r>
              <w:rPr>
                <w:rFonts w:ascii="Times New Roman" w:hAnsi="Times New Roman"/>
                <w:color w:val="auto"/>
                <w:lang w:val="zh-CN"/>
              </w:rPr>
              <w:t>的委托，承担了该项目环境影响报告表的编制工作，接受委托后，组织相关技术人员进行现场踏勘，收集相关资料后，编制了</w:t>
            </w:r>
            <w:r>
              <w:rPr>
                <w:rFonts w:hint="eastAsia" w:ascii="Times New Roman" w:hAnsi="Times New Roman"/>
                <w:color w:val="auto"/>
                <w:lang w:val="zh-CN"/>
              </w:rPr>
              <w:t>《</w:t>
            </w:r>
            <w:r>
              <w:rPr>
                <w:rFonts w:ascii="Times New Roman" w:hAnsi="Times New Roman"/>
                <w:color w:val="auto"/>
                <w:kern w:val="0"/>
              </w:rPr>
              <w:t>宜良明丰造纸厂锅炉技改建设项目</w:t>
            </w:r>
            <w:r>
              <w:rPr>
                <w:rFonts w:ascii="Times New Roman" w:hAnsi="Times New Roman"/>
                <w:color w:val="auto"/>
                <w:lang w:val="zh-CN"/>
              </w:rPr>
              <w:t>环境影响报告表</w:t>
            </w:r>
            <w:r>
              <w:rPr>
                <w:rFonts w:hint="eastAsia" w:ascii="Times New Roman" w:hAnsi="Times New Roman"/>
                <w:color w:val="auto"/>
                <w:lang w:val="zh-CN"/>
              </w:rPr>
              <w:t>》</w:t>
            </w:r>
            <w:r>
              <w:rPr>
                <w:rFonts w:ascii="Times New Roman" w:hAnsi="Times New Roman"/>
                <w:color w:val="auto"/>
                <w:lang w:val="zh-CN"/>
              </w:rPr>
              <w:t>，供建设单位上报审批。</w:t>
            </w:r>
          </w:p>
          <w:p>
            <w:pPr>
              <w:adjustRightInd w:val="0"/>
              <w:snapToGrid w:val="0"/>
              <w:spacing w:line="360" w:lineRule="auto"/>
              <w:outlineLvl w:val="1"/>
              <w:rPr>
                <w:rFonts w:ascii="Times New Roman" w:hAnsi="Times New Roman"/>
                <w:b/>
                <w:bCs/>
                <w:color w:val="auto"/>
              </w:rPr>
            </w:pPr>
            <w:r>
              <w:rPr>
                <w:rFonts w:ascii="Times New Roman" w:hAnsi="Times New Roman"/>
                <w:b/>
                <w:bCs/>
                <w:color w:val="auto"/>
              </w:rPr>
              <w:t>2、项目建设基本情况</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项目名称：</w:t>
            </w:r>
            <w:r>
              <w:rPr>
                <w:rFonts w:ascii="Times New Roman" w:hAnsi="Times New Roman"/>
                <w:color w:val="auto"/>
                <w:kern w:val="0"/>
              </w:rPr>
              <w:t>宜良明丰造纸厂锅炉技改建设项目</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建设地址：宜良县匡远街道办事处左营村宜马公路旁</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建设单位：</w:t>
            </w:r>
            <w:r>
              <w:rPr>
                <w:rFonts w:ascii="Times New Roman" w:hAnsi="Times New Roman"/>
                <w:color w:val="auto"/>
                <w:kern w:val="0"/>
              </w:rPr>
              <w:t>宜良明丰造纸厂</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项目投资：20万元</w:t>
            </w:r>
          </w:p>
          <w:p>
            <w:pPr>
              <w:pStyle w:val="16"/>
              <w:adjustRightInd w:val="0"/>
              <w:snapToGrid w:val="0"/>
              <w:spacing w:line="360" w:lineRule="auto"/>
              <w:ind w:firstLine="480" w:firstLineChars="200"/>
              <w:jc w:val="both"/>
              <w:rPr>
                <w:rFonts w:ascii="Times New Roman" w:hAnsi="Times New Roman"/>
                <w:color w:val="auto"/>
                <w:lang w:val="zh-CN"/>
              </w:rPr>
            </w:pPr>
            <w:r>
              <w:rPr>
                <w:rFonts w:ascii="Times New Roman" w:hAnsi="Times New Roman"/>
                <w:color w:val="auto"/>
                <w:lang w:val="zh-CN"/>
              </w:rPr>
              <w:t>建设地点：本项目位于</w:t>
            </w:r>
            <w:r>
              <w:rPr>
                <w:rFonts w:ascii="Times New Roman" w:hAnsi="Times New Roman"/>
                <w:color w:val="auto"/>
              </w:rPr>
              <w:t>宜良县匡远街道办事处左营村宜马公路旁</w:t>
            </w:r>
            <w:r>
              <w:rPr>
                <w:rFonts w:ascii="Times New Roman" w:hAnsi="Times New Roman"/>
                <w:color w:val="auto"/>
                <w:lang w:val="zh-CN"/>
              </w:rPr>
              <w:t>，地理坐标为：东经 103.</w:t>
            </w:r>
            <w:r>
              <w:rPr>
                <w:rFonts w:ascii="Times New Roman" w:hAnsi="Times New Roman"/>
                <w:color w:val="auto"/>
              </w:rPr>
              <w:t>15971673°</w:t>
            </w:r>
            <w:r>
              <w:rPr>
                <w:rFonts w:ascii="Times New Roman" w:hAnsi="Times New Roman"/>
                <w:color w:val="auto"/>
                <w:lang w:val="zh-CN"/>
              </w:rPr>
              <w:t>、北纬 2</w:t>
            </w:r>
            <w:r>
              <w:rPr>
                <w:rFonts w:ascii="Times New Roman" w:hAnsi="Times New Roman"/>
                <w:color w:val="auto"/>
              </w:rPr>
              <w:t>4.96409276°</w:t>
            </w:r>
            <w:r>
              <w:rPr>
                <w:rFonts w:ascii="Times New Roman" w:hAnsi="Times New Roman"/>
                <w:color w:val="auto"/>
                <w:lang w:val="zh-CN"/>
              </w:rPr>
              <w:t>。本项目北面为空闲厂房、南面为农田，西面为</w:t>
            </w:r>
            <w:r>
              <w:rPr>
                <w:rFonts w:ascii="Times New Roman" w:hAnsi="Times New Roman"/>
                <w:color w:val="auto"/>
              </w:rPr>
              <w:t>207省道，东面</w:t>
            </w:r>
            <w:r>
              <w:rPr>
                <w:rFonts w:hint="eastAsia" w:ascii="Times New Roman" w:hAnsi="Times New Roman"/>
                <w:color w:val="auto"/>
              </w:rPr>
              <w:t>与现有项目相隔</w:t>
            </w:r>
            <w:r>
              <w:rPr>
                <w:rFonts w:ascii="Times New Roman" w:hAnsi="Times New Roman"/>
                <w:color w:val="auto"/>
              </w:rPr>
              <w:t>为南盘江支流南盘江老河道</w:t>
            </w:r>
            <w:r>
              <w:rPr>
                <w:rFonts w:ascii="Times New Roman" w:hAnsi="Times New Roman"/>
                <w:color w:val="auto"/>
                <w:lang w:val="zh-CN"/>
              </w:rPr>
              <w:t>。</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lang w:val="zh-CN"/>
              </w:rPr>
              <w:t>项目地理位置图见附图1，项目周边关系示意图见附图</w:t>
            </w:r>
            <w:r>
              <w:rPr>
                <w:rFonts w:ascii="Times New Roman" w:hAnsi="Times New Roman"/>
                <w:color w:val="auto"/>
              </w:rPr>
              <w:t>2。</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lang w:val="zh-CN"/>
              </w:rPr>
              <w:t>占地面积：锅炉房占地</w:t>
            </w:r>
            <w:r>
              <w:rPr>
                <w:rFonts w:ascii="Times New Roman" w:hAnsi="Times New Roman"/>
                <w:color w:val="auto"/>
              </w:rPr>
              <w:t>约3045</w:t>
            </w:r>
            <w:r>
              <w:rPr>
                <w:rFonts w:ascii="Times New Roman" w:hAnsi="Times New Roman"/>
                <w:color w:val="auto"/>
                <w:lang w:val="zh-CN"/>
              </w:rPr>
              <w:t>m</w:t>
            </w:r>
            <w:r>
              <w:rPr>
                <w:rFonts w:ascii="Times New Roman" w:hAnsi="Times New Roman"/>
                <w:color w:val="auto"/>
                <w:vertAlign w:val="superscript"/>
                <w:lang w:val="zh-CN"/>
              </w:rPr>
              <w:t>2</w:t>
            </w:r>
            <w:r>
              <w:rPr>
                <w:rFonts w:ascii="Times New Roman" w:hAnsi="Times New Roman"/>
                <w:color w:val="auto"/>
                <w:lang w:val="zh-CN"/>
              </w:rPr>
              <w:t>。本项目在原有场地内建设，不新增占地。本项目在原有</w:t>
            </w:r>
            <w:r>
              <w:rPr>
                <w:rFonts w:ascii="Times New Roman" w:hAnsi="Times New Roman"/>
                <w:color w:val="auto"/>
              </w:rPr>
              <w:t>锅炉房内</w:t>
            </w:r>
            <w:r>
              <w:rPr>
                <w:rFonts w:ascii="Times New Roman" w:hAnsi="Times New Roman"/>
                <w:color w:val="auto"/>
                <w:lang w:val="zh-CN"/>
              </w:rPr>
              <w:t>进行改造，不新增建筑面积。</w:t>
            </w:r>
          </w:p>
          <w:p>
            <w:pPr>
              <w:adjustRightInd w:val="0"/>
              <w:snapToGrid w:val="0"/>
              <w:spacing w:line="360" w:lineRule="auto"/>
              <w:ind w:firstLine="480" w:firstLineChars="200"/>
              <w:rPr>
                <w:rFonts w:ascii="Times New Roman" w:hAnsi="Times New Roman"/>
                <w:color w:val="auto"/>
                <w:lang w:val="zh-CN"/>
              </w:rPr>
            </w:pPr>
            <w:r>
              <w:rPr>
                <w:rFonts w:ascii="Times New Roman" w:hAnsi="Times New Roman"/>
                <w:color w:val="auto"/>
                <w:lang w:val="zh-CN"/>
              </w:rPr>
              <w:t>建设规模：</w:t>
            </w:r>
            <w:r>
              <w:rPr>
                <w:rFonts w:ascii="Times New Roman" w:hAnsi="Times New Roman"/>
                <w:color w:val="auto"/>
              </w:rPr>
              <w:t>15吨生物质锅炉两台（一用一备）</w:t>
            </w:r>
          </w:p>
          <w:p>
            <w:pPr>
              <w:adjustRightInd w:val="0"/>
              <w:snapToGrid w:val="0"/>
              <w:spacing w:line="360" w:lineRule="auto"/>
              <w:ind w:firstLine="480" w:firstLineChars="200"/>
              <w:rPr>
                <w:rFonts w:ascii="Times New Roman" w:hAnsi="Times New Roman"/>
                <w:color w:val="auto"/>
                <w:kern w:val="0"/>
                <w:szCs w:val="22"/>
                <w:lang w:val="zh-CN"/>
              </w:rPr>
            </w:pPr>
            <w:r>
              <w:rPr>
                <w:rFonts w:ascii="Times New Roman" w:hAnsi="Times New Roman"/>
                <w:color w:val="auto"/>
                <w:lang w:val="zh-CN"/>
              </w:rPr>
              <w:t>建设周期：</w:t>
            </w:r>
            <w:bookmarkStart w:id="2" w:name="OLE_LINK1"/>
            <w:r>
              <w:rPr>
                <w:rFonts w:ascii="Times New Roman" w:hAnsi="Times New Roman"/>
                <w:color w:val="auto"/>
                <w:lang w:val="zh-CN"/>
              </w:rPr>
              <w:t>20</w:t>
            </w:r>
            <w:r>
              <w:rPr>
                <w:rFonts w:ascii="Times New Roman" w:hAnsi="Times New Roman"/>
                <w:color w:val="auto"/>
                <w:kern w:val="0"/>
                <w:szCs w:val="22"/>
              </w:rPr>
              <w:t>21</w:t>
            </w:r>
            <w:r>
              <w:rPr>
                <w:rFonts w:ascii="Times New Roman" w:hAnsi="Times New Roman"/>
                <w:color w:val="auto"/>
                <w:kern w:val="0"/>
                <w:szCs w:val="22"/>
                <w:lang w:val="zh-CN"/>
              </w:rPr>
              <w:t>年</w:t>
            </w:r>
            <w:r>
              <w:rPr>
                <w:rFonts w:ascii="Times New Roman" w:hAnsi="Times New Roman"/>
                <w:color w:val="auto"/>
                <w:kern w:val="0"/>
                <w:szCs w:val="22"/>
              </w:rPr>
              <w:t>4</w:t>
            </w:r>
            <w:r>
              <w:rPr>
                <w:rFonts w:ascii="Times New Roman" w:hAnsi="Times New Roman"/>
                <w:color w:val="auto"/>
                <w:kern w:val="0"/>
                <w:szCs w:val="22"/>
                <w:lang w:val="zh-CN"/>
              </w:rPr>
              <w:t>月至20</w:t>
            </w:r>
            <w:r>
              <w:rPr>
                <w:rFonts w:ascii="Times New Roman" w:hAnsi="Times New Roman"/>
                <w:color w:val="auto"/>
                <w:kern w:val="0"/>
                <w:szCs w:val="22"/>
              </w:rPr>
              <w:t>21</w:t>
            </w:r>
            <w:r>
              <w:rPr>
                <w:rFonts w:ascii="Times New Roman" w:hAnsi="Times New Roman"/>
                <w:color w:val="auto"/>
                <w:kern w:val="0"/>
                <w:szCs w:val="22"/>
                <w:lang w:val="zh-CN"/>
              </w:rPr>
              <w:t>年</w:t>
            </w:r>
            <w:r>
              <w:rPr>
                <w:rFonts w:ascii="Times New Roman" w:hAnsi="Times New Roman"/>
                <w:color w:val="auto"/>
                <w:kern w:val="0"/>
                <w:szCs w:val="22"/>
              </w:rPr>
              <w:t>7</w:t>
            </w:r>
            <w:r>
              <w:rPr>
                <w:rFonts w:ascii="Times New Roman" w:hAnsi="Times New Roman"/>
                <w:color w:val="auto"/>
                <w:kern w:val="0"/>
                <w:szCs w:val="22"/>
                <w:lang w:val="zh-CN"/>
              </w:rPr>
              <w:t>月，总工期</w:t>
            </w:r>
            <w:r>
              <w:rPr>
                <w:rFonts w:ascii="Times New Roman" w:hAnsi="Times New Roman"/>
                <w:color w:val="auto"/>
                <w:kern w:val="0"/>
                <w:szCs w:val="22"/>
              </w:rPr>
              <w:t>3</w:t>
            </w:r>
            <w:r>
              <w:rPr>
                <w:rFonts w:ascii="Times New Roman" w:hAnsi="Times New Roman"/>
                <w:color w:val="auto"/>
                <w:kern w:val="0"/>
                <w:szCs w:val="22"/>
                <w:lang w:val="zh-CN"/>
              </w:rPr>
              <w:t>个月</w:t>
            </w:r>
            <w:bookmarkEnd w:id="2"/>
            <w:r>
              <w:rPr>
                <w:rFonts w:ascii="Times New Roman" w:hAnsi="Times New Roman"/>
                <w:color w:val="auto"/>
                <w:kern w:val="0"/>
                <w:szCs w:val="22"/>
                <w:lang w:val="zh-CN"/>
              </w:rPr>
              <w:t>。</w:t>
            </w:r>
          </w:p>
          <w:p>
            <w:pPr>
              <w:adjustRightInd w:val="0"/>
              <w:snapToGrid w:val="0"/>
              <w:spacing w:line="360" w:lineRule="auto"/>
              <w:rPr>
                <w:rFonts w:ascii="Times New Roman" w:hAnsi="Times New Roman"/>
                <w:b/>
                <w:color w:val="auto"/>
                <w:kern w:val="0"/>
                <w:lang w:val="zh-CN"/>
              </w:rPr>
            </w:pPr>
            <w:bookmarkStart w:id="3" w:name="OLE_LINK5"/>
            <w:r>
              <w:rPr>
                <w:rFonts w:ascii="Times New Roman" w:hAnsi="Times New Roman"/>
                <w:b/>
                <w:color w:val="auto"/>
                <w:kern w:val="0"/>
              </w:rPr>
              <w:t>3、</w:t>
            </w:r>
            <w:r>
              <w:rPr>
                <w:rFonts w:ascii="Times New Roman" w:hAnsi="Times New Roman"/>
                <w:b/>
                <w:color w:val="auto"/>
                <w:kern w:val="0"/>
                <w:lang w:val="zh-CN"/>
              </w:rPr>
              <w:t>项目建设内容</w:t>
            </w:r>
          </w:p>
          <w:bookmarkEnd w:id="3"/>
          <w:p>
            <w:pPr>
              <w:adjustRightInd w:val="0"/>
              <w:snapToGrid w:val="0"/>
              <w:spacing w:line="360" w:lineRule="auto"/>
              <w:ind w:firstLine="480" w:firstLineChars="200"/>
              <w:rPr>
                <w:rFonts w:ascii="Times New Roman" w:hAnsi="Times New Roman"/>
                <w:color w:val="auto"/>
              </w:rPr>
            </w:pPr>
            <w:r>
              <w:rPr>
                <w:rFonts w:ascii="Times New Roman" w:hAnsi="Times New Roman"/>
                <w:color w:val="auto"/>
                <w:lang w:val="zh-CN"/>
              </w:rPr>
              <w:t>项目</w:t>
            </w:r>
            <w:r>
              <w:rPr>
                <w:rFonts w:ascii="Times New Roman" w:hAnsi="Times New Roman"/>
                <w:color w:val="auto"/>
              </w:rPr>
              <w:t>拆除原有</w:t>
            </w:r>
            <w:r>
              <w:rPr>
                <w:rFonts w:hint="eastAsia" w:ascii="Times New Roman" w:hAnsi="Times New Roman"/>
                <w:color w:val="auto"/>
              </w:rPr>
              <w:t>的</w:t>
            </w:r>
            <w:r>
              <w:rPr>
                <w:rFonts w:ascii="Times New Roman" w:hAnsi="Times New Roman"/>
                <w:color w:val="auto"/>
              </w:rPr>
              <w:t>燃煤锅炉，</w:t>
            </w:r>
            <w:r>
              <w:rPr>
                <w:rFonts w:ascii="Times New Roman" w:hAnsi="Times New Roman"/>
                <w:color w:val="auto"/>
                <w:lang w:val="zh-CN"/>
              </w:rPr>
              <w:t>建设一组</w:t>
            </w:r>
            <w:r>
              <w:rPr>
                <w:rFonts w:ascii="Times New Roman" w:hAnsi="Times New Roman"/>
                <w:color w:val="auto"/>
              </w:rPr>
              <w:t>生物质锅炉代替原有锅炉。</w:t>
            </w:r>
            <w:r>
              <w:rPr>
                <w:rFonts w:hint="eastAsia" w:ascii="Times New Roman" w:hAnsi="Times New Roman"/>
                <w:color w:val="auto"/>
              </w:rPr>
              <w:t>由于</w:t>
            </w:r>
            <w:r>
              <w:rPr>
                <w:rFonts w:ascii="Times New Roman" w:hAnsi="Times New Roman"/>
                <w:color w:val="auto"/>
                <w:kern w:val="0"/>
              </w:rPr>
              <w:t>宜良明丰造纸厂</w:t>
            </w:r>
            <w:r>
              <w:rPr>
                <w:rFonts w:ascii="Times New Roman" w:hAnsi="Times New Roman"/>
                <w:color w:val="auto"/>
                <w:kern w:val="0"/>
                <w:szCs w:val="22"/>
              </w:rPr>
              <w:t>10000t/a B级箱板纸改扩建项目</w:t>
            </w:r>
            <w:r>
              <w:rPr>
                <w:rFonts w:hint="eastAsia" w:ascii="Times New Roman" w:hAnsi="Times New Roman"/>
                <w:color w:val="auto"/>
                <w:kern w:val="0"/>
                <w:szCs w:val="22"/>
              </w:rPr>
              <w:t>设备存在老化现象，蒸汽耗用量较大，原有的</w:t>
            </w:r>
            <w:r>
              <w:rPr>
                <w:rFonts w:hint="eastAsia" w:ascii="Times New Roman" w:hAnsi="Times New Roman"/>
                <w:color w:val="auto"/>
              </w:rPr>
              <w:t>1</w:t>
            </w:r>
            <w:r>
              <w:rPr>
                <w:rFonts w:ascii="Times New Roman" w:hAnsi="Times New Roman"/>
                <w:color w:val="auto"/>
              </w:rPr>
              <w:t>0t/h燃煤锅炉</w:t>
            </w:r>
            <w:r>
              <w:rPr>
                <w:rFonts w:hint="eastAsia" w:ascii="Times New Roman" w:hAnsi="Times New Roman"/>
                <w:color w:val="auto"/>
              </w:rPr>
              <w:t>一直处于超负荷运转中，且考虑到</w:t>
            </w:r>
            <w:r>
              <w:rPr>
                <w:rFonts w:ascii="Times New Roman" w:hAnsi="Times New Roman"/>
                <w:color w:val="auto"/>
                <w:kern w:val="0"/>
              </w:rPr>
              <w:t>宜良明丰造纸厂</w:t>
            </w:r>
            <w:r>
              <w:rPr>
                <w:rFonts w:hint="eastAsia" w:ascii="Times New Roman" w:hAnsi="Times New Roman"/>
                <w:color w:val="auto"/>
                <w:kern w:val="0"/>
              </w:rPr>
              <w:t>将来扩建的可能性，</w:t>
            </w:r>
            <w:r>
              <w:rPr>
                <w:rFonts w:hint="eastAsia" w:ascii="Times New Roman" w:hAnsi="Times New Roman"/>
                <w:color w:val="auto"/>
              </w:rPr>
              <w:t>本项目拟将新建的生物质锅炉规模提高到1</w:t>
            </w:r>
            <w:r>
              <w:rPr>
                <w:rFonts w:ascii="Times New Roman" w:hAnsi="Times New Roman"/>
                <w:color w:val="auto"/>
              </w:rPr>
              <w:t>5t/h</w:t>
            </w:r>
            <w:r>
              <w:rPr>
                <w:rFonts w:hint="eastAsia" w:ascii="Times New Roman" w:hAnsi="Times New Roman"/>
                <w:color w:val="auto"/>
              </w:rPr>
              <w:t>。</w:t>
            </w:r>
            <w:r>
              <w:rPr>
                <w:rFonts w:ascii="Times New Roman" w:hAnsi="Times New Roman"/>
                <w:color w:val="auto"/>
              </w:rPr>
              <w:t>项目组成见下表。具体位置见附图3。</w:t>
            </w:r>
          </w:p>
          <w:p>
            <w:pPr>
              <w:pStyle w:val="12"/>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表1-1   项目建设情况</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1494"/>
              <w:gridCol w:w="4334"/>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7" w:type="pct"/>
                  <w:tcMar>
                    <w:left w:w="57" w:type="dxa"/>
                    <w:right w:w="57" w:type="dxa"/>
                  </w:tcMar>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rPr>
                    <w:t>工程名称</w:t>
                  </w:r>
                </w:p>
              </w:tc>
              <w:tc>
                <w:tcPr>
                  <w:tcW w:w="893" w:type="pct"/>
                  <w:tcMar>
                    <w:left w:w="57" w:type="dxa"/>
                    <w:right w:w="57" w:type="dxa"/>
                  </w:tcMar>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项目名称</w:t>
                  </w:r>
                </w:p>
              </w:tc>
              <w:tc>
                <w:tcPr>
                  <w:tcW w:w="2590" w:type="pct"/>
                  <w:tcMar>
                    <w:left w:w="57" w:type="dxa"/>
                    <w:right w:w="57" w:type="dxa"/>
                  </w:tcMar>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项目内容</w:t>
                  </w:r>
                </w:p>
              </w:tc>
              <w:tc>
                <w:tcPr>
                  <w:tcW w:w="1150" w:type="pct"/>
                  <w:tcMar>
                    <w:left w:w="57" w:type="dxa"/>
                    <w:right w:w="57" w:type="dxa"/>
                  </w:tcMar>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367" w:type="pct"/>
                  <w:vMerge w:val="restart"/>
                  <w:tcMar>
                    <w:left w:w="57" w:type="dxa"/>
                    <w:right w:w="57" w:type="dxa"/>
                  </w:tcMar>
                  <w:vAlign w:val="center"/>
                </w:tcPr>
                <w:p>
                  <w:pPr>
                    <w:adjustRightInd w:val="0"/>
                    <w:snapToGrid w:val="0"/>
                    <w:spacing w:line="360" w:lineRule="auto"/>
                    <w:jc w:val="center"/>
                    <w:rPr>
                      <w:rFonts w:ascii="Times New Roman" w:hAnsi="Times New Roman"/>
                      <w:color w:val="auto"/>
                      <w:sz w:val="21"/>
                      <w:szCs w:val="21"/>
                      <w:lang w:val="zh-CN"/>
                    </w:rPr>
                  </w:pPr>
                  <w:r>
                    <w:rPr>
                      <w:rFonts w:ascii="Times New Roman" w:hAnsi="Times New Roman"/>
                      <w:color w:val="auto"/>
                      <w:sz w:val="21"/>
                      <w:szCs w:val="21"/>
                      <w:lang w:val="zh-CN"/>
                    </w:rPr>
                    <w:t>主体工程</w:t>
                  </w:r>
                </w:p>
              </w:tc>
              <w:tc>
                <w:tcPr>
                  <w:tcW w:w="893" w:type="pct"/>
                  <w:tcMar>
                    <w:left w:w="57" w:type="dxa"/>
                    <w:right w:w="57"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15吨生物质锅炉两台（一用一备）</w:t>
                  </w:r>
                </w:p>
              </w:tc>
              <w:tc>
                <w:tcPr>
                  <w:tcW w:w="2590" w:type="pct"/>
                  <w:tcMar>
                    <w:left w:w="57" w:type="dxa"/>
                    <w:right w:w="57" w:type="dxa"/>
                  </w:tcMar>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rPr>
                    <w:t>拆除原有的一台10吨燃煤锅炉，在原位置安装两台新的15吨生物质锅炉（一用一备）</w:t>
                  </w:r>
                </w:p>
              </w:tc>
              <w:tc>
                <w:tcPr>
                  <w:tcW w:w="1150" w:type="pct"/>
                  <w:tcMar>
                    <w:left w:w="57" w:type="dxa"/>
                    <w:right w:w="57" w:type="dxa"/>
                  </w:tcMar>
                  <w:vAlign w:val="center"/>
                </w:tcPr>
                <w:p>
                  <w:pPr>
                    <w:adjustRightInd w:val="0"/>
                    <w:snapToGrid w:val="0"/>
                    <w:rPr>
                      <w:rFonts w:ascii="Times New Roman" w:hAnsi="Times New Roman"/>
                      <w:color w:val="auto"/>
                      <w:sz w:val="21"/>
                      <w:szCs w:val="21"/>
                      <w:lang w:val="zh-CN"/>
                    </w:rPr>
                  </w:pPr>
                  <w:r>
                    <w:rPr>
                      <w:rFonts w:ascii="Times New Roman" w:hAnsi="Times New Roman"/>
                      <w:color w:val="auto"/>
                      <w:sz w:val="21"/>
                      <w:szCs w:val="21"/>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7" w:type="pct"/>
                  <w:vMerge w:val="continue"/>
                  <w:tcMar>
                    <w:left w:w="57" w:type="dxa"/>
                    <w:right w:w="57" w:type="dxa"/>
                  </w:tcMar>
                  <w:vAlign w:val="center"/>
                </w:tcPr>
                <w:p>
                  <w:pPr>
                    <w:adjustRightInd w:val="0"/>
                    <w:snapToGrid w:val="0"/>
                    <w:spacing w:line="360" w:lineRule="auto"/>
                    <w:jc w:val="center"/>
                    <w:rPr>
                      <w:rFonts w:ascii="Times New Roman" w:hAnsi="Times New Roman"/>
                      <w:color w:val="auto"/>
                      <w:sz w:val="21"/>
                      <w:szCs w:val="21"/>
                      <w:lang w:val="zh-CN"/>
                    </w:rPr>
                  </w:pPr>
                </w:p>
              </w:tc>
              <w:tc>
                <w:tcPr>
                  <w:tcW w:w="893" w:type="pct"/>
                  <w:tcMar>
                    <w:left w:w="57" w:type="dxa"/>
                    <w:right w:w="57"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锅炉房</w:t>
                  </w:r>
                </w:p>
              </w:tc>
              <w:tc>
                <w:tcPr>
                  <w:tcW w:w="2590" w:type="pct"/>
                  <w:tcMar>
                    <w:left w:w="57" w:type="dxa"/>
                    <w:right w:w="57" w:type="dxa"/>
                  </w:tcMar>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rPr>
                    <w:t>现状锅炉房为面积约400平方米，层高约10米的单层车间，能满足改造的生物质锅炉摆放</w:t>
                  </w:r>
                </w:p>
              </w:tc>
              <w:tc>
                <w:tcPr>
                  <w:tcW w:w="1150" w:type="pct"/>
                  <w:tcMar>
                    <w:left w:w="57" w:type="dxa"/>
                    <w:right w:w="57" w:type="dxa"/>
                  </w:tcMar>
                  <w:vAlign w:val="center"/>
                </w:tcPr>
                <w:p>
                  <w:pPr>
                    <w:adjustRightInd w:val="0"/>
                    <w:snapToGrid w:val="0"/>
                    <w:rPr>
                      <w:rFonts w:ascii="Times New Roman" w:hAnsi="Times New Roman"/>
                      <w:color w:val="auto"/>
                      <w:sz w:val="21"/>
                      <w:szCs w:val="21"/>
                      <w:lang w:val="zh-CN"/>
                    </w:rPr>
                  </w:pPr>
                  <w:r>
                    <w:rPr>
                      <w:rFonts w:ascii="Times New Roman" w:hAnsi="Times New Roman"/>
                      <w:color w:val="auto"/>
                      <w:sz w:val="21"/>
                      <w:szCs w:val="21"/>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7" w:type="pct"/>
                  <w:vMerge w:val="restart"/>
                  <w:tcMar>
                    <w:left w:w="57" w:type="dxa"/>
                    <w:right w:w="57" w:type="dxa"/>
                  </w:tcMar>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lang w:val="zh-CN"/>
                    </w:rPr>
                    <w:t>辅助工程</w:t>
                  </w:r>
                </w:p>
              </w:tc>
              <w:tc>
                <w:tcPr>
                  <w:tcW w:w="893" w:type="pct"/>
                  <w:tcMar>
                    <w:left w:w="57" w:type="dxa"/>
                    <w:right w:w="57" w:type="dxa"/>
                  </w:tcMar>
                  <w:vAlign w:val="center"/>
                </w:tcPr>
                <w:p>
                  <w:pPr>
                    <w:adjustRightInd w:val="0"/>
                    <w:snapToGrid w:val="0"/>
                    <w:jc w:val="center"/>
                    <w:rPr>
                      <w:rFonts w:ascii="Times New Roman" w:hAnsi="Times New Roman"/>
                      <w:color w:val="auto"/>
                      <w:sz w:val="21"/>
                      <w:szCs w:val="21"/>
                      <w:lang w:val="zh-CN"/>
                    </w:rPr>
                  </w:pPr>
                  <w:bookmarkStart w:id="4" w:name="_Hlk66048908"/>
                  <w:r>
                    <w:rPr>
                      <w:rFonts w:ascii="Times New Roman" w:hAnsi="Times New Roman"/>
                      <w:color w:val="auto"/>
                      <w:sz w:val="21"/>
                      <w:szCs w:val="21"/>
                    </w:rPr>
                    <w:t>生物质燃料棚</w:t>
                  </w:r>
                  <w:bookmarkEnd w:id="4"/>
                </w:p>
              </w:tc>
              <w:tc>
                <w:tcPr>
                  <w:tcW w:w="2590" w:type="pct"/>
                  <w:tcMar>
                    <w:left w:w="57" w:type="dxa"/>
                    <w:right w:w="57" w:type="dxa"/>
                  </w:tcMar>
                  <w:vAlign w:val="center"/>
                </w:tcPr>
                <w:p>
                  <w:pPr>
                    <w:adjustRightInd w:val="0"/>
                    <w:snapToGrid w:val="0"/>
                    <w:rPr>
                      <w:rFonts w:ascii="Times New Roman" w:hAnsi="Times New Roman"/>
                      <w:color w:val="auto"/>
                      <w:sz w:val="21"/>
                      <w:szCs w:val="21"/>
                      <w:lang w:val="zh-CN"/>
                    </w:rPr>
                  </w:pPr>
                  <w:r>
                    <w:rPr>
                      <w:rFonts w:ascii="Times New Roman" w:hAnsi="Times New Roman"/>
                      <w:color w:val="auto"/>
                      <w:sz w:val="21"/>
                      <w:szCs w:val="21"/>
                    </w:rPr>
                    <w:t>生物质燃料棚包含原料棚和渣棚，沿用原有燃煤锅炉配套的</w:t>
                  </w:r>
                  <w:r>
                    <w:rPr>
                      <w:rFonts w:hint="eastAsia" w:ascii="Times New Roman" w:hAnsi="Times New Roman"/>
                      <w:color w:val="auto"/>
                      <w:sz w:val="21"/>
                      <w:szCs w:val="21"/>
                    </w:rPr>
                    <w:t>煤棚（包含</w:t>
                  </w:r>
                  <w:r>
                    <w:rPr>
                      <w:rFonts w:ascii="Times New Roman" w:hAnsi="Times New Roman"/>
                      <w:color w:val="auto"/>
                      <w:sz w:val="21"/>
                      <w:szCs w:val="21"/>
                    </w:rPr>
                    <w:t>原料棚和渣棚</w:t>
                  </w:r>
                  <w:r>
                    <w:rPr>
                      <w:rFonts w:hint="eastAsia" w:ascii="Times New Roman" w:hAnsi="Times New Roman"/>
                      <w:color w:val="auto"/>
                      <w:sz w:val="21"/>
                      <w:szCs w:val="21"/>
                    </w:rPr>
                    <w:t>），并进行技术改造</w:t>
                  </w:r>
                  <w:r>
                    <w:rPr>
                      <w:rFonts w:ascii="Times New Roman" w:hAnsi="Times New Roman"/>
                      <w:color w:val="auto"/>
                      <w:sz w:val="21"/>
                      <w:szCs w:val="21"/>
                    </w:rPr>
                    <w:t>，</w:t>
                  </w:r>
                  <w:r>
                    <w:rPr>
                      <w:rFonts w:hint="eastAsia" w:ascii="Times New Roman" w:hAnsi="Times New Roman"/>
                      <w:color w:val="auto"/>
                      <w:sz w:val="21"/>
                      <w:szCs w:val="21"/>
                    </w:rPr>
                    <w:t>原有棚</w:t>
                  </w:r>
                  <w:r>
                    <w:rPr>
                      <w:rFonts w:ascii="Times New Roman" w:hAnsi="Times New Roman"/>
                      <w:color w:val="auto"/>
                      <w:sz w:val="21"/>
                      <w:szCs w:val="21"/>
                    </w:rPr>
                    <w:t>面积约430平方米，层高约8米</w:t>
                  </w:r>
                  <w:r>
                    <w:rPr>
                      <w:rFonts w:hint="eastAsia" w:ascii="Times New Roman" w:hAnsi="Times New Roman"/>
                      <w:color w:val="auto"/>
                      <w:sz w:val="21"/>
                      <w:szCs w:val="21"/>
                    </w:rPr>
                    <w:t>，将原有</w:t>
                  </w:r>
                  <w:r>
                    <w:rPr>
                      <w:rFonts w:ascii="Times New Roman" w:hAnsi="Times New Roman"/>
                      <w:color w:val="auto"/>
                      <w:sz w:val="21"/>
                      <w:szCs w:val="21"/>
                    </w:rPr>
                    <w:t>半封闭厂房</w:t>
                  </w:r>
                  <w:r>
                    <w:rPr>
                      <w:rFonts w:hint="eastAsia" w:ascii="Times New Roman" w:hAnsi="Times New Roman"/>
                      <w:color w:val="auto"/>
                      <w:sz w:val="21"/>
                      <w:szCs w:val="21"/>
                    </w:rPr>
                    <w:t>除进出口外改为封闭厂房</w:t>
                  </w:r>
                </w:p>
              </w:tc>
              <w:tc>
                <w:tcPr>
                  <w:tcW w:w="1150" w:type="pct"/>
                  <w:tcMar>
                    <w:left w:w="57" w:type="dxa"/>
                    <w:right w:w="57" w:type="dxa"/>
                  </w:tcMar>
                  <w:vAlign w:val="center"/>
                </w:tcPr>
                <w:p>
                  <w:pPr>
                    <w:adjustRightInd w:val="0"/>
                    <w:snapToGrid w:val="0"/>
                    <w:rPr>
                      <w:rFonts w:ascii="Times New Roman" w:hAnsi="Times New Roman"/>
                      <w:color w:val="auto"/>
                      <w:sz w:val="21"/>
                      <w:szCs w:val="21"/>
                      <w:lang w:val="zh-CN"/>
                    </w:rPr>
                  </w:pPr>
                  <w:r>
                    <w:rPr>
                      <w:rFonts w:hint="eastAsia" w:ascii="Times New Roman" w:hAnsi="Times New Roman"/>
                      <w:color w:val="auto"/>
                      <w:sz w:val="21"/>
                      <w:szCs w:val="21"/>
                    </w:rPr>
                    <w:t>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7" w:type="pct"/>
                  <w:vMerge w:val="continue"/>
                  <w:tcMar>
                    <w:left w:w="57" w:type="dxa"/>
                    <w:right w:w="57" w:type="dxa"/>
                  </w:tcMar>
                  <w:vAlign w:val="center"/>
                </w:tcPr>
                <w:p>
                  <w:pPr>
                    <w:adjustRightInd w:val="0"/>
                    <w:snapToGrid w:val="0"/>
                    <w:jc w:val="center"/>
                    <w:rPr>
                      <w:rFonts w:ascii="Times New Roman" w:hAnsi="Times New Roman"/>
                      <w:color w:val="auto"/>
                      <w:sz w:val="21"/>
                      <w:szCs w:val="21"/>
                    </w:rPr>
                  </w:pPr>
                </w:p>
              </w:tc>
              <w:tc>
                <w:tcPr>
                  <w:tcW w:w="893" w:type="pct"/>
                  <w:tcMar>
                    <w:left w:w="57" w:type="dxa"/>
                    <w:right w:w="57"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软水系统</w:t>
                  </w:r>
                </w:p>
              </w:tc>
              <w:tc>
                <w:tcPr>
                  <w:tcW w:w="2590" w:type="pct"/>
                  <w:tcMar>
                    <w:left w:w="57" w:type="dxa"/>
                    <w:right w:w="57" w:type="dxa"/>
                  </w:tcMar>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rPr>
                    <w:t>项目建设有一套软水设备，用于为锅炉提供软水，软水工艺为砂滤+离子交换，水处理能力为20t/h</w:t>
                  </w:r>
                </w:p>
              </w:tc>
              <w:tc>
                <w:tcPr>
                  <w:tcW w:w="1150" w:type="pct"/>
                  <w:tcMar>
                    <w:left w:w="57" w:type="dxa"/>
                    <w:right w:w="57" w:type="dxa"/>
                  </w:tcMar>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7" w:type="pct"/>
                  <w:vMerge w:val="continue"/>
                  <w:tcMar>
                    <w:left w:w="57" w:type="dxa"/>
                    <w:right w:w="57" w:type="dxa"/>
                  </w:tcMar>
                  <w:vAlign w:val="center"/>
                </w:tcPr>
                <w:p>
                  <w:pPr>
                    <w:adjustRightInd w:val="0"/>
                    <w:snapToGrid w:val="0"/>
                    <w:jc w:val="center"/>
                    <w:rPr>
                      <w:rFonts w:ascii="Times New Roman" w:hAnsi="Times New Roman"/>
                      <w:color w:val="auto"/>
                      <w:sz w:val="21"/>
                      <w:szCs w:val="21"/>
                    </w:rPr>
                  </w:pPr>
                </w:p>
              </w:tc>
              <w:tc>
                <w:tcPr>
                  <w:tcW w:w="893" w:type="pct"/>
                  <w:tcMar>
                    <w:left w:w="57" w:type="dxa"/>
                    <w:right w:w="57"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员工生活设施</w:t>
                  </w:r>
                </w:p>
              </w:tc>
              <w:tc>
                <w:tcPr>
                  <w:tcW w:w="2590" w:type="pct"/>
                  <w:tcMar>
                    <w:left w:w="57" w:type="dxa"/>
                    <w:right w:w="57" w:type="dxa"/>
                  </w:tcMar>
                  <w:vAlign w:val="center"/>
                </w:tcPr>
                <w:p>
                  <w:pPr>
                    <w:adjustRightInd w:val="0"/>
                    <w:snapToGrid w:val="0"/>
                    <w:rPr>
                      <w:rFonts w:ascii="Times New Roman" w:hAnsi="Times New Roman"/>
                      <w:color w:val="auto"/>
                      <w:sz w:val="21"/>
                      <w:szCs w:val="21"/>
                    </w:rPr>
                  </w:pPr>
                  <w:r>
                    <w:rPr>
                      <w:rFonts w:hint="eastAsia" w:ascii="Times New Roman" w:hAnsi="Times New Roman"/>
                      <w:color w:val="auto"/>
                      <w:sz w:val="21"/>
                      <w:szCs w:val="21"/>
                    </w:rPr>
                    <w:t>本项目不设宿舍或食堂，员工生活依托现有项目生活设施</w:t>
                  </w:r>
                </w:p>
              </w:tc>
              <w:tc>
                <w:tcPr>
                  <w:tcW w:w="1150" w:type="pct"/>
                  <w:tcMar>
                    <w:left w:w="57" w:type="dxa"/>
                    <w:right w:w="57" w:type="dxa"/>
                  </w:tcMar>
                  <w:vAlign w:val="center"/>
                </w:tcPr>
                <w:p>
                  <w:pPr>
                    <w:adjustRightInd w:val="0"/>
                    <w:snapToGrid w:val="0"/>
                    <w:rPr>
                      <w:rFonts w:ascii="Times New Roman" w:hAnsi="Times New Roman"/>
                      <w:color w:val="auto"/>
                      <w:sz w:val="21"/>
                      <w:szCs w:val="21"/>
                    </w:rPr>
                  </w:pPr>
                  <w:r>
                    <w:rPr>
                      <w:rFonts w:hint="eastAsia" w:ascii="Times New Roman" w:hAnsi="Times New Roman"/>
                      <w:color w:val="auto"/>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7" w:type="pct"/>
                  <w:vMerge w:val="restart"/>
                  <w:tcMar>
                    <w:left w:w="57" w:type="dxa"/>
                    <w:right w:w="57"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公用工程</w:t>
                  </w:r>
                </w:p>
              </w:tc>
              <w:tc>
                <w:tcPr>
                  <w:tcW w:w="893" w:type="pct"/>
                  <w:tcMar>
                    <w:left w:w="57" w:type="dxa"/>
                    <w:right w:w="57"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lang w:val="zh-CN"/>
                    </w:rPr>
                    <w:t>供电</w:t>
                  </w:r>
                </w:p>
              </w:tc>
              <w:tc>
                <w:tcPr>
                  <w:tcW w:w="2590" w:type="pct"/>
                  <w:tcMar>
                    <w:left w:w="57" w:type="dxa"/>
                    <w:right w:w="57" w:type="dxa"/>
                  </w:tcMar>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lang w:val="zh-CN"/>
                    </w:rPr>
                    <w:t>项目的电源为市政电网</w:t>
                  </w:r>
                </w:p>
              </w:tc>
              <w:tc>
                <w:tcPr>
                  <w:tcW w:w="1150" w:type="pct"/>
                  <w:tcMar>
                    <w:left w:w="57" w:type="dxa"/>
                    <w:right w:w="57" w:type="dxa"/>
                  </w:tcMar>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7" w:type="pct"/>
                  <w:vMerge w:val="continue"/>
                  <w:tcMar>
                    <w:left w:w="57" w:type="dxa"/>
                    <w:right w:w="57" w:type="dxa"/>
                  </w:tcMar>
                  <w:vAlign w:val="center"/>
                </w:tcPr>
                <w:p>
                  <w:pPr>
                    <w:adjustRightInd w:val="0"/>
                    <w:snapToGrid w:val="0"/>
                    <w:jc w:val="center"/>
                    <w:rPr>
                      <w:rFonts w:ascii="Times New Roman" w:hAnsi="Times New Roman"/>
                      <w:color w:val="auto"/>
                      <w:sz w:val="21"/>
                      <w:szCs w:val="21"/>
                    </w:rPr>
                  </w:pPr>
                </w:p>
              </w:tc>
              <w:tc>
                <w:tcPr>
                  <w:tcW w:w="893" w:type="pct"/>
                  <w:tcMar>
                    <w:left w:w="57" w:type="dxa"/>
                    <w:right w:w="57"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供水</w:t>
                  </w:r>
                </w:p>
              </w:tc>
              <w:tc>
                <w:tcPr>
                  <w:tcW w:w="2590" w:type="pct"/>
                  <w:tcMar>
                    <w:left w:w="57" w:type="dxa"/>
                    <w:right w:w="57" w:type="dxa"/>
                  </w:tcMar>
                  <w:vAlign w:val="center"/>
                </w:tcPr>
                <w:p>
                  <w:pPr>
                    <w:adjustRightInd w:val="0"/>
                    <w:snapToGrid w:val="0"/>
                    <w:rPr>
                      <w:rFonts w:ascii="Times New Roman" w:hAnsi="Times New Roman"/>
                      <w:color w:val="auto"/>
                      <w:sz w:val="21"/>
                      <w:szCs w:val="21"/>
                    </w:rPr>
                  </w:pPr>
                  <w:r>
                    <w:rPr>
                      <w:rFonts w:hint="eastAsia" w:ascii="Times New Roman" w:hAnsi="Times New Roman"/>
                      <w:color w:val="auto"/>
                      <w:sz w:val="21"/>
                      <w:szCs w:val="21"/>
                    </w:rPr>
                    <w:t>东侧南盘江老河道取水</w:t>
                  </w:r>
                </w:p>
              </w:tc>
              <w:tc>
                <w:tcPr>
                  <w:tcW w:w="1150" w:type="pct"/>
                  <w:tcMar>
                    <w:left w:w="57" w:type="dxa"/>
                    <w:right w:w="57" w:type="dxa"/>
                  </w:tcMar>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7" w:type="pct"/>
                  <w:vMerge w:val="restart"/>
                  <w:tcMar>
                    <w:left w:w="57" w:type="dxa"/>
                    <w:right w:w="57" w:type="dxa"/>
                  </w:tcMar>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lang w:val="zh-CN"/>
                    </w:rPr>
                    <w:t>环保工程</w:t>
                  </w:r>
                </w:p>
              </w:tc>
              <w:tc>
                <w:tcPr>
                  <w:tcW w:w="893" w:type="pct"/>
                  <w:tcMar>
                    <w:left w:w="57" w:type="dxa"/>
                    <w:right w:w="57" w:type="dxa"/>
                  </w:tcMar>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lang w:val="zh-CN"/>
                    </w:rPr>
                    <w:t>废气治理</w:t>
                  </w:r>
                </w:p>
              </w:tc>
              <w:tc>
                <w:tcPr>
                  <w:tcW w:w="2590" w:type="pct"/>
                  <w:tcMar>
                    <w:left w:w="57" w:type="dxa"/>
                    <w:right w:w="57" w:type="dxa"/>
                  </w:tcMar>
                  <w:vAlign w:val="center"/>
                </w:tcPr>
                <w:p>
                  <w:pPr>
                    <w:adjustRightInd w:val="0"/>
                    <w:snapToGrid w:val="0"/>
                    <w:rPr>
                      <w:rFonts w:ascii="Times New Roman" w:hAnsi="Times New Roman"/>
                      <w:color w:val="auto"/>
                      <w:sz w:val="21"/>
                      <w:szCs w:val="21"/>
                      <w:lang w:val="zh-CN"/>
                    </w:rPr>
                  </w:pPr>
                  <w:r>
                    <w:rPr>
                      <w:rFonts w:hint="eastAsia" w:ascii="宋体" w:hAnsi="宋体" w:cs="宋体"/>
                      <w:color w:val="auto"/>
                      <w:sz w:val="21"/>
                      <w:szCs w:val="21"/>
                      <w:lang w:val="zh-CN"/>
                    </w:rPr>
                    <w:t>①</w:t>
                  </w:r>
                  <w:r>
                    <w:rPr>
                      <w:rFonts w:ascii="Times New Roman" w:hAnsi="Times New Roman"/>
                      <w:color w:val="auto"/>
                      <w:sz w:val="21"/>
                      <w:szCs w:val="21"/>
                    </w:rPr>
                    <w:t>锅炉烟气</w:t>
                  </w:r>
                  <w:r>
                    <w:rPr>
                      <w:rFonts w:ascii="Times New Roman" w:hAnsi="Times New Roman"/>
                      <w:color w:val="auto"/>
                      <w:sz w:val="21"/>
                      <w:szCs w:val="21"/>
                      <w:lang w:val="zh-CN"/>
                    </w:rPr>
                    <w:t>：</w:t>
                  </w:r>
                  <w:r>
                    <w:rPr>
                      <w:rFonts w:ascii="Times New Roman" w:hAnsi="Times New Roman"/>
                      <w:color w:val="auto"/>
                      <w:sz w:val="21"/>
                      <w:szCs w:val="21"/>
                    </w:rPr>
                    <w:t>2台</w:t>
                  </w:r>
                  <w:r>
                    <w:rPr>
                      <w:rFonts w:ascii="Times New Roman" w:hAnsi="Times New Roman"/>
                      <w:color w:val="auto"/>
                      <w:sz w:val="21"/>
                      <w:szCs w:val="21"/>
                      <w:lang w:val="zh-CN"/>
                    </w:rPr>
                    <w:t>布袋除尘器（每台锅炉配一台）</w:t>
                  </w:r>
                  <w:r>
                    <w:rPr>
                      <w:rFonts w:ascii="Times New Roman" w:hAnsi="Times New Roman"/>
                      <w:color w:val="auto"/>
                      <w:sz w:val="21"/>
                      <w:szCs w:val="21"/>
                    </w:rPr>
                    <w:t>+1根排气筒（两台锅炉共用）</w:t>
                  </w:r>
                  <w:r>
                    <w:rPr>
                      <w:rFonts w:ascii="Times New Roman" w:hAnsi="Times New Roman"/>
                      <w:color w:val="auto"/>
                      <w:sz w:val="21"/>
                      <w:szCs w:val="21"/>
                      <w:lang w:val="zh-CN"/>
                    </w:rPr>
                    <w:t>，排气筒高度为</w:t>
                  </w:r>
                  <w:r>
                    <w:rPr>
                      <w:rFonts w:ascii="Times New Roman" w:hAnsi="Times New Roman"/>
                      <w:color w:val="auto"/>
                      <w:sz w:val="21"/>
                      <w:szCs w:val="21"/>
                    </w:rPr>
                    <w:t>45m</w:t>
                  </w:r>
                  <w:r>
                    <w:rPr>
                      <w:rFonts w:ascii="Times New Roman" w:hAnsi="Times New Roman"/>
                      <w:color w:val="auto"/>
                      <w:sz w:val="21"/>
                      <w:szCs w:val="21"/>
                      <w:lang w:val="zh-CN"/>
                    </w:rPr>
                    <w:t>，</w:t>
                  </w:r>
                  <w:r>
                    <w:rPr>
                      <w:rFonts w:hint="eastAsia" w:ascii="Times New Roman" w:hAnsi="Times New Roman"/>
                      <w:color w:val="auto"/>
                      <w:sz w:val="21"/>
                      <w:szCs w:val="21"/>
                    </w:rPr>
                    <w:t>出口内径</w:t>
                  </w:r>
                  <w:r>
                    <w:rPr>
                      <w:rFonts w:ascii="Times New Roman" w:hAnsi="Times New Roman"/>
                      <w:color w:val="auto"/>
                      <w:sz w:val="21"/>
                      <w:szCs w:val="21"/>
                      <w:lang w:val="zh-CN"/>
                    </w:rPr>
                    <w:t>0.8m</w:t>
                  </w:r>
                </w:p>
                <w:p>
                  <w:pPr>
                    <w:adjustRightInd w:val="0"/>
                    <w:snapToGrid w:val="0"/>
                    <w:rPr>
                      <w:rFonts w:ascii="Times New Roman" w:hAnsi="Times New Roman"/>
                      <w:color w:val="auto"/>
                      <w:lang w:val="zh-CN"/>
                    </w:rPr>
                  </w:pPr>
                  <w:r>
                    <w:rPr>
                      <w:rFonts w:hint="eastAsia" w:ascii="宋体" w:hAnsi="宋体" w:cs="宋体"/>
                      <w:color w:val="auto"/>
                      <w:sz w:val="21"/>
                      <w:szCs w:val="21"/>
                      <w:lang w:val="zh-CN"/>
                    </w:rPr>
                    <w:t>②</w:t>
                  </w:r>
                  <w:r>
                    <w:rPr>
                      <w:rFonts w:ascii="Times New Roman" w:hAnsi="Times New Roman"/>
                      <w:color w:val="auto"/>
                      <w:sz w:val="21"/>
                      <w:szCs w:val="21"/>
                      <w:lang w:val="zh-CN"/>
                    </w:rPr>
                    <w:t>生物质</w:t>
                  </w:r>
                  <w:r>
                    <w:rPr>
                      <w:rFonts w:hint="eastAsia" w:ascii="Times New Roman" w:hAnsi="Times New Roman"/>
                      <w:color w:val="auto"/>
                      <w:sz w:val="21"/>
                      <w:szCs w:val="21"/>
                      <w:lang w:val="zh-CN"/>
                    </w:rPr>
                    <w:t>燃料棚</w:t>
                  </w:r>
                  <w:r>
                    <w:rPr>
                      <w:rFonts w:ascii="Times New Roman" w:hAnsi="Times New Roman"/>
                      <w:color w:val="auto"/>
                      <w:sz w:val="21"/>
                      <w:szCs w:val="21"/>
                      <w:lang w:val="zh-CN"/>
                    </w:rPr>
                    <w:t>粉尘：洒水降尘</w:t>
                  </w:r>
                </w:p>
              </w:tc>
              <w:tc>
                <w:tcPr>
                  <w:tcW w:w="1150" w:type="pct"/>
                  <w:tcMar>
                    <w:left w:w="57" w:type="dxa"/>
                    <w:right w:w="57" w:type="dxa"/>
                  </w:tcMar>
                  <w:vAlign w:val="center"/>
                </w:tcPr>
                <w:p>
                  <w:pPr>
                    <w:adjustRightInd w:val="0"/>
                    <w:snapToGrid w:val="0"/>
                    <w:rPr>
                      <w:rFonts w:ascii="Times New Roman" w:hAnsi="Times New Roman"/>
                      <w:color w:val="auto"/>
                      <w:sz w:val="21"/>
                      <w:szCs w:val="21"/>
                      <w:lang w:val="zh-CN"/>
                    </w:rPr>
                  </w:pPr>
                  <w:r>
                    <w:rPr>
                      <w:rFonts w:ascii="Times New Roman" w:hAnsi="Times New Roman"/>
                      <w:color w:val="auto"/>
                      <w:sz w:val="21"/>
                      <w:szCs w:val="21"/>
                      <w:lang w:val="zh-CN"/>
                    </w:rPr>
                    <w:t>排气筒沿用原有，除尘</w:t>
                  </w:r>
                  <w:r>
                    <w:rPr>
                      <w:rFonts w:hint="eastAsia" w:ascii="Times New Roman" w:hAnsi="Times New Roman"/>
                      <w:color w:val="auto"/>
                      <w:sz w:val="21"/>
                      <w:szCs w:val="21"/>
                      <w:lang w:val="zh-CN"/>
                    </w:rPr>
                    <w:t>设备</w:t>
                  </w:r>
                  <w:r>
                    <w:rPr>
                      <w:rFonts w:ascii="Times New Roman" w:hAnsi="Times New Roman"/>
                      <w:color w:val="auto"/>
                      <w:sz w:val="21"/>
                      <w:szCs w:val="21"/>
                      <w:lang w:val="zh-CN"/>
                    </w:rPr>
                    <w:t>重新建设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7" w:type="pct"/>
                  <w:vMerge w:val="continue"/>
                  <w:tcMar>
                    <w:left w:w="57" w:type="dxa"/>
                    <w:right w:w="57" w:type="dxa"/>
                  </w:tcMar>
                  <w:vAlign w:val="center"/>
                </w:tcPr>
                <w:p>
                  <w:pPr>
                    <w:adjustRightInd w:val="0"/>
                    <w:snapToGrid w:val="0"/>
                    <w:spacing w:line="360" w:lineRule="auto"/>
                    <w:jc w:val="center"/>
                    <w:rPr>
                      <w:rFonts w:ascii="Times New Roman" w:hAnsi="Times New Roman"/>
                      <w:color w:val="auto"/>
                      <w:sz w:val="21"/>
                      <w:szCs w:val="21"/>
                      <w:lang w:val="zh-CN"/>
                    </w:rPr>
                  </w:pPr>
                </w:p>
              </w:tc>
              <w:tc>
                <w:tcPr>
                  <w:tcW w:w="893" w:type="pct"/>
                  <w:tcMar>
                    <w:left w:w="57" w:type="dxa"/>
                    <w:right w:w="57" w:type="dxa"/>
                  </w:tcMar>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lang w:val="zh-CN"/>
                    </w:rPr>
                    <w:t>噪声治理</w:t>
                  </w:r>
                </w:p>
              </w:tc>
              <w:tc>
                <w:tcPr>
                  <w:tcW w:w="2590" w:type="pct"/>
                  <w:tcMar>
                    <w:left w:w="57" w:type="dxa"/>
                    <w:right w:w="57" w:type="dxa"/>
                  </w:tcMar>
                  <w:vAlign w:val="center"/>
                </w:tcPr>
                <w:p>
                  <w:pPr>
                    <w:adjustRightInd w:val="0"/>
                    <w:snapToGrid w:val="0"/>
                    <w:rPr>
                      <w:rFonts w:ascii="Times New Roman" w:hAnsi="Times New Roman"/>
                      <w:color w:val="auto"/>
                      <w:sz w:val="21"/>
                      <w:szCs w:val="21"/>
                      <w:lang w:val="zh-CN"/>
                    </w:rPr>
                  </w:pPr>
                  <w:r>
                    <w:rPr>
                      <w:rFonts w:ascii="Times New Roman" w:hAnsi="Times New Roman"/>
                      <w:color w:val="auto"/>
                      <w:sz w:val="21"/>
                      <w:szCs w:val="21"/>
                    </w:rPr>
                    <w:t>鼓风机</w:t>
                  </w:r>
                  <w:r>
                    <w:rPr>
                      <w:rFonts w:hint="eastAsia" w:ascii="Times New Roman" w:hAnsi="Times New Roman"/>
                      <w:color w:val="auto"/>
                      <w:sz w:val="21"/>
                      <w:szCs w:val="21"/>
                    </w:rPr>
                    <w:t>布置于室内，</w:t>
                  </w:r>
                  <w:r>
                    <w:rPr>
                      <w:rFonts w:ascii="Times New Roman" w:hAnsi="Times New Roman"/>
                      <w:color w:val="auto"/>
                      <w:sz w:val="21"/>
                      <w:szCs w:val="21"/>
                    </w:rPr>
                    <w:t>进出气口安装消声器</w:t>
                  </w:r>
                </w:p>
              </w:tc>
              <w:tc>
                <w:tcPr>
                  <w:tcW w:w="1150" w:type="pct"/>
                  <w:tcMar>
                    <w:left w:w="57" w:type="dxa"/>
                    <w:right w:w="57" w:type="dxa"/>
                  </w:tcMar>
                  <w:vAlign w:val="center"/>
                </w:tcPr>
                <w:p>
                  <w:pPr>
                    <w:adjustRightInd w:val="0"/>
                    <w:snapToGrid w:val="0"/>
                    <w:rPr>
                      <w:rFonts w:ascii="Times New Roman" w:hAnsi="Times New Roman"/>
                      <w:color w:val="auto"/>
                      <w:sz w:val="21"/>
                      <w:szCs w:val="21"/>
                      <w:lang w:val="zh-CN"/>
                    </w:rPr>
                  </w:pPr>
                  <w:r>
                    <w:rPr>
                      <w:rFonts w:hint="eastAsia"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7" w:type="pct"/>
                  <w:vMerge w:val="continue"/>
                  <w:tcMar>
                    <w:left w:w="57" w:type="dxa"/>
                    <w:right w:w="57" w:type="dxa"/>
                  </w:tcMar>
                  <w:vAlign w:val="center"/>
                </w:tcPr>
                <w:p>
                  <w:pPr>
                    <w:adjustRightInd w:val="0"/>
                    <w:snapToGrid w:val="0"/>
                    <w:spacing w:line="360" w:lineRule="auto"/>
                    <w:jc w:val="center"/>
                    <w:rPr>
                      <w:rFonts w:ascii="Times New Roman" w:hAnsi="Times New Roman"/>
                      <w:color w:val="auto"/>
                      <w:sz w:val="21"/>
                      <w:szCs w:val="21"/>
                      <w:lang w:val="zh-CN"/>
                    </w:rPr>
                  </w:pPr>
                </w:p>
              </w:tc>
              <w:tc>
                <w:tcPr>
                  <w:tcW w:w="893" w:type="pct"/>
                  <w:tcMar>
                    <w:left w:w="57" w:type="dxa"/>
                    <w:right w:w="57" w:type="dxa"/>
                  </w:tcMar>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lang w:val="zh-CN"/>
                    </w:rPr>
                    <w:t>固废治理</w:t>
                  </w:r>
                </w:p>
              </w:tc>
              <w:tc>
                <w:tcPr>
                  <w:tcW w:w="2590" w:type="pct"/>
                  <w:tcMar>
                    <w:left w:w="57" w:type="dxa"/>
                    <w:right w:w="57" w:type="dxa"/>
                  </w:tcMar>
                  <w:vAlign w:val="center"/>
                </w:tcPr>
                <w:p>
                  <w:pPr>
                    <w:adjustRightInd w:val="0"/>
                    <w:snapToGrid w:val="0"/>
                    <w:rPr>
                      <w:rFonts w:ascii="Times New Roman" w:hAnsi="Times New Roman"/>
                      <w:color w:val="auto"/>
                      <w:sz w:val="21"/>
                      <w:szCs w:val="21"/>
                    </w:rPr>
                  </w:pPr>
                  <w:r>
                    <w:rPr>
                      <w:rFonts w:hint="eastAsia" w:ascii="宋体" w:hAnsi="宋体" w:cs="宋体"/>
                      <w:color w:val="auto"/>
                      <w:sz w:val="21"/>
                      <w:szCs w:val="21"/>
                    </w:rPr>
                    <w:t>①</w:t>
                  </w:r>
                  <w:r>
                    <w:rPr>
                      <w:rFonts w:ascii="Times New Roman" w:hAnsi="Times New Roman"/>
                      <w:color w:val="auto"/>
                      <w:sz w:val="21"/>
                      <w:szCs w:val="21"/>
                    </w:rPr>
                    <w:t>生物质</w:t>
                  </w:r>
                  <w:r>
                    <w:rPr>
                      <w:rFonts w:hint="eastAsia" w:ascii="Times New Roman" w:hAnsi="Times New Roman"/>
                      <w:color w:val="auto"/>
                      <w:sz w:val="21"/>
                      <w:szCs w:val="21"/>
                    </w:rPr>
                    <w:t>锅炉炉渣</w:t>
                  </w:r>
                  <w:r>
                    <w:rPr>
                      <w:rFonts w:ascii="Times New Roman" w:hAnsi="Times New Roman"/>
                      <w:color w:val="auto"/>
                      <w:sz w:val="21"/>
                      <w:szCs w:val="21"/>
                    </w:rPr>
                    <w:t>：部分作为肥料回用于周边农田，部分委托环卫部门清运处置</w:t>
                  </w:r>
                </w:p>
                <w:p>
                  <w:pPr>
                    <w:adjustRightInd w:val="0"/>
                    <w:snapToGrid w:val="0"/>
                    <w:rPr>
                      <w:rFonts w:ascii="宋体" w:hAnsi="宋体" w:cs="宋体"/>
                      <w:color w:val="auto"/>
                      <w:sz w:val="21"/>
                      <w:szCs w:val="21"/>
                      <w:lang w:val="zh-CN"/>
                    </w:rPr>
                  </w:pPr>
                  <w:r>
                    <w:rPr>
                      <w:rFonts w:hint="eastAsia" w:ascii="宋体" w:hAnsi="宋体" w:cs="宋体"/>
                      <w:color w:val="auto"/>
                      <w:sz w:val="21"/>
                      <w:szCs w:val="21"/>
                      <w:lang w:val="zh-CN"/>
                    </w:rPr>
                    <w:t>②</w:t>
                  </w:r>
                  <w:r>
                    <w:rPr>
                      <w:rFonts w:hint="eastAsia" w:ascii="Times New Roman" w:hAnsi="Times New Roman"/>
                      <w:color w:val="auto"/>
                      <w:kern w:val="2"/>
                      <w:sz w:val="21"/>
                      <w:szCs w:val="21"/>
                    </w:rPr>
                    <w:t>布袋除尘器</w:t>
                  </w:r>
                  <w:r>
                    <w:rPr>
                      <w:rFonts w:hint="eastAsia" w:ascii="Times New Roman" w:hAnsi="Times New Roman"/>
                      <w:color w:val="auto"/>
                      <w:spacing w:val="-10"/>
                      <w:sz w:val="21"/>
                      <w:szCs w:val="21"/>
                    </w:rPr>
                    <w:t>收尘灰：</w:t>
                  </w:r>
                  <w:r>
                    <w:rPr>
                      <w:rFonts w:hint="eastAsia" w:ascii="Times New Roman" w:hAnsi="Times New Roman"/>
                      <w:color w:val="auto"/>
                      <w:kern w:val="2"/>
                      <w:sz w:val="21"/>
                      <w:szCs w:val="21"/>
                    </w:rPr>
                    <w:t>委托环卫部门清运处置</w:t>
                  </w:r>
                </w:p>
                <w:p>
                  <w:pPr>
                    <w:adjustRightInd w:val="0"/>
                    <w:snapToGrid w:val="0"/>
                    <w:rPr>
                      <w:rFonts w:ascii="Times New Roman" w:hAnsi="Times New Roman"/>
                      <w:color w:val="auto"/>
                      <w:sz w:val="21"/>
                      <w:szCs w:val="21"/>
                    </w:rPr>
                  </w:pPr>
                  <w:r>
                    <w:rPr>
                      <w:rFonts w:hint="eastAsia" w:ascii="宋体" w:hAnsi="宋体" w:cs="宋体"/>
                      <w:color w:val="auto"/>
                      <w:sz w:val="21"/>
                      <w:szCs w:val="21"/>
                      <w:lang w:val="zh-CN"/>
                    </w:rPr>
                    <w:t>③</w:t>
                  </w:r>
                  <w:r>
                    <w:rPr>
                      <w:rFonts w:ascii="Times New Roman" w:hAnsi="Times New Roman"/>
                      <w:color w:val="auto"/>
                      <w:sz w:val="21"/>
                      <w:szCs w:val="21"/>
                    </w:rPr>
                    <w:t>废离子交换树脂</w:t>
                  </w:r>
                  <w:r>
                    <w:rPr>
                      <w:rFonts w:ascii="Times New Roman" w:hAnsi="Times New Roman"/>
                      <w:color w:val="auto"/>
                      <w:sz w:val="21"/>
                      <w:szCs w:val="21"/>
                      <w:lang w:val="zh-CN"/>
                    </w:rPr>
                    <w:t>：</w:t>
                  </w:r>
                  <w:r>
                    <w:rPr>
                      <w:rFonts w:ascii="Times New Roman" w:hAnsi="Times New Roman"/>
                      <w:color w:val="auto"/>
                      <w:sz w:val="21"/>
                      <w:szCs w:val="21"/>
                    </w:rPr>
                    <w:t>厂家回收</w:t>
                  </w:r>
                </w:p>
              </w:tc>
              <w:tc>
                <w:tcPr>
                  <w:tcW w:w="1150" w:type="pct"/>
                  <w:tcMar>
                    <w:left w:w="57" w:type="dxa"/>
                    <w:right w:w="57" w:type="dxa"/>
                  </w:tcMar>
                  <w:vAlign w:val="center"/>
                </w:tcPr>
                <w:p>
                  <w:pPr>
                    <w:adjustRightInd w:val="0"/>
                    <w:snapToGrid w:val="0"/>
                    <w:rPr>
                      <w:rFonts w:ascii="Times New Roman" w:hAnsi="Times New Roman"/>
                      <w:color w:val="auto"/>
                      <w:sz w:val="21"/>
                      <w:szCs w:val="21"/>
                      <w:lang w:val="zh-CN"/>
                    </w:rPr>
                  </w:pPr>
                  <w:r>
                    <w:rPr>
                      <w:rFonts w:ascii="Times New Roman" w:hAnsi="Times New Roman"/>
                      <w:color w:val="auto"/>
                      <w:sz w:val="21"/>
                      <w:szCs w:val="21"/>
                      <w:lang w:val="zh-CN"/>
                    </w:rPr>
                    <w:t>新增</w:t>
                  </w:r>
                  <w:r>
                    <w:rPr>
                      <w:rFonts w:hint="eastAsia" w:ascii="Times New Roman" w:hAnsi="Times New Roman"/>
                      <w:color w:val="auto"/>
                      <w:sz w:val="21"/>
                      <w:szCs w:val="21"/>
                      <w:lang w:val="zh-CN"/>
                    </w:rPr>
                    <w:t>炉渣、收尘灰</w:t>
                  </w:r>
                  <w:r>
                    <w:rPr>
                      <w:rFonts w:ascii="Times New Roman" w:hAnsi="Times New Roman"/>
                      <w:color w:val="auto"/>
                      <w:sz w:val="21"/>
                      <w:szCs w:val="21"/>
                      <w:lang w:val="zh-CN"/>
                    </w:rPr>
                    <w:t>处置，废离子交换树脂处置方式不变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7" w:type="pct"/>
                  <w:vMerge w:val="continue"/>
                  <w:tcMar>
                    <w:left w:w="57" w:type="dxa"/>
                    <w:right w:w="57" w:type="dxa"/>
                  </w:tcMar>
                  <w:vAlign w:val="center"/>
                </w:tcPr>
                <w:p>
                  <w:pPr>
                    <w:adjustRightInd w:val="0"/>
                    <w:snapToGrid w:val="0"/>
                    <w:spacing w:line="360" w:lineRule="auto"/>
                    <w:jc w:val="center"/>
                    <w:rPr>
                      <w:rFonts w:ascii="Times New Roman" w:hAnsi="Times New Roman"/>
                      <w:color w:val="auto"/>
                      <w:sz w:val="21"/>
                      <w:szCs w:val="21"/>
                      <w:lang w:val="zh-CN"/>
                    </w:rPr>
                  </w:pPr>
                </w:p>
              </w:tc>
              <w:tc>
                <w:tcPr>
                  <w:tcW w:w="893" w:type="pct"/>
                  <w:tcMar>
                    <w:left w:w="57" w:type="dxa"/>
                    <w:right w:w="57" w:type="dxa"/>
                  </w:tcMar>
                  <w:vAlign w:val="center"/>
                </w:tcPr>
                <w:p>
                  <w:pPr>
                    <w:adjustRightInd w:val="0"/>
                    <w:snapToGrid w:val="0"/>
                    <w:jc w:val="center"/>
                    <w:rPr>
                      <w:rFonts w:ascii="Times New Roman" w:hAnsi="Times New Roman"/>
                      <w:color w:val="auto"/>
                      <w:sz w:val="21"/>
                      <w:szCs w:val="21"/>
                      <w:lang w:val="zh-CN"/>
                    </w:rPr>
                  </w:pPr>
                  <w:r>
                    <w:rPr>
                      <w:rFonts w:hint="eastAsia" w:ascii="Times New Roman" w:hAnsi="Times New Roman"/>
                      <w:color w:val="auto"/>
                      <w:sz w:val="21"/>
                      <w:szCs w:val="21"/>
                      <w:lang w:val="zh-CN"/>
                    </w:rPr>
                    <w:t>废水治理</w:t>
                  </w:r>
                </w:p>
              </w:tc>
              <w:tc>
                <w:tcPr>
                  <w:tcW w:w="2590" w:type="pct"/>
                  <w:tcMar>
                    <w:left w:w="57" w:type="dxa"/>
                    <w:right w:w="57" w:type="dxa"/>
                  </w:tcMar>
                  <w:vAlign w:val="center"/>
                </w:tcPr>
                <w:p>
                  <w:pPr>
                    <w:adjustRightInd w:val="0"/>
                    <w:snapToGrid w:val="0"/>
                    <w:rPr>
                      <w:rFonts w:ascii="宋体" w:hAnsi="宋体" w:cs="宋体"/>
                      <w:color w:val="auto"/>
                      <w:sz w:val="21"/>
                      <w:szCs w:val="21"/>
                    </w:rPr>
                  </w:pPr>
                  <w:r>
                    <w:rPr>
                      <w:rFonts w:hint="eastAsia" w:ascii="宋体" w:hAnsi="宋体" w:cs="宋体"/>
                      <w:color w:val="auto"/>
                      <w:sz w:val="21"/>
                      <w:szCs w:val="21"/>
                    </w:rPr>
                    <w:t>锅炉废水：全部</w:t>
                  </w:r>
                  <w:r>
                    <w:rPr>
                      <w:rFonts w:ascii="Times New Roman" w:hAnsi="Times New Roman"/>
                      <w:color w:val="auto"/>
                      <w:sz w:val="21"/>
                      <w:szCs w:val="21"/>
                    </w:rPr>
                    <w:t>回用于</w:t>
                  </w:r>
                  <w:r>
                    <w:rPr>
                      <w:rFonts w:hint="eastAsia" w:ascii="Times New Roman" w:hAnsi="Times New Roman"/>
                      <w:color w:val="auto"/>
                      <w:sz w:val="21"/>
                      <w:szCs w:val="21"/>
                    </w:rPr>
                    <w:t>现有项目造纸工段</w:t>
                  </w:r>
                </w:p>
              </w:tc>
              <w:tc>
                <w:tcPr>
                  <w:tcW w:w="1150" w:type="pct"/>
                  <w:tcMar>
                    <w:left w:w="57" w:type="dxa"/>
                    <w:right w:w="57" w:type="dxa"/>
                  </w:tcMar>
                  <w:vAlign w:val="center"/>
                </w:tcPr>
                <w:p>
                  <w:pPr>
                    <w:adjustRightInd w:val="0"/>
                    <w:snapToGrid w:val="0"/>
                    <w:rPr>
                      <w:rFonts w:ascii="Times New Roman" w:hAnsi="Times New Roman"/>
                      <w:color w:val="auto"/>
                      <w:sz w:val="21"/>
                      <w:szCs w:val="21"/>
                      <w:lang w:val="zh-CN"/>
                    </w:rPr>
                  </w:pPr>
                  <w:r>
                    <w:rPr>
                      <w:rFonts w:ascii="Times New Roman" w:hAnsi="Times New Roman"/>
                      <w:color w:val="auto"/>
                      <w:sz w:val="21"/>
                      <w:szCs w:val="21"/>
                    </w:rPr>
                    <w:t>沿用原有</w:t>
                  </w:r>
                </w:p>
              </w:tc>
            </w:tr>
          </w:tbl>
          <w:p>
            <w:pPr>
              <w:adjustRightInd w:val="0"/>
              <w:snapToGrid w:val="0"/>
              <w:spacing w:line="276" w:lineRule="auto"/>
              <w:ind w:firstLine="420" w:firstLineChars="200"/>
              <w:rPr>
                <w:rFonts w:ascii="Times New Roman" w:hAnsi="Times New Roman"/>
                <w:color w:val="auto"/>
                <w:sz w:val="21"/>
                <w:szCs w:val="21"/>
              </w:rPr>
            </w:pPr>
            <w:r>
              <w:rPr>
                <w:rFonts w:hint="eastAsia" w:ascii="Times New Roman" w:hAnsi="Times New Roman"/>
                <w:color w:val="auto"/>
                <w:sz w:val="21"/>
                <w:szCs w:val="21"/>
              </w:rPr>
              <w:t>注：本项目排污许可证上填写有误，排气筒高度填写为4</w:t>
            </w:r>
            <w:r>
              <w:rPr>
                <w:rFonts w:ascii="Times New Roman" w:hAnsi="Times New Roman"/>
                <w:color w:val="auto"/>
                <w:sz w:val="21"/>
                <w:szCs w:val="21"/>
              </w:rPr>
              <w:t>0m</w:t>
            </w:r>
            <w:r>
              <w:rPr>
                <w:rFonts w:hint="eastAsia" w:ascii="Times New Roman" w:hAnsi="Times New Roman"/>
                <w:color w:val="auto"/>
                <w:sz w:val="21"/>
                <w:szCs w:val="21"/>
              </w:rPr>
              <w:t>，出口内径填写为0</w:t>
            </w:r>
            <w:r>
              <w:rPr>
                <w:rFonts w:ascii="Times New Roman" w:hAnsi="Times New Roman"/>
                <w:color w:val="auto"/>
                <w:sz w:val="21"/>
                <w:szCs w:val="21"/>
              </w:rPr>
              <w:t>.4m</w:t>
            </w:r>
            <w:r>
              <w:rPr>
                <w:rFonts w:hint="eastAsia" w:ascii="Times New Roman" w:hAnsi="Times New Roman"/>
                <w:color w:val="auto"/>
                <w:sz w:val="21"/>
                <w:szCs w:val="21"/>
              </w:rPr>
              <w:t>，与实际不符，实际情况为，排气筒高度4</w:t>
            </w:r>
            <w:r>
              <w:rPr>
                <w:rFonts w:ascii="Times New Roman" w:hAnsi="Times New Roman"/>
                <w:color w:val="auto"/>
                <w:sz w:val="21"/>
                <w:szCs w:val="21"/>
              </w:rPr>
              <w:t>5m</w:t>
            </w:r>
            <w:r>
              <w:rPr>
                <w:rFonts w:hint="eastAsia" w:ascii="Times New Roman" w:hAnsi="Times New Roman"/>
                <w:color w:val="auto"/>
                <w:sz w:val="21"/>
                <w:szCs w:val="21"/>
              </w:rPr>
              <w:t>，出口内径0</w:t>
            </w:r>
            <w:r>
              <w:rPr>
                <w:rFonts w:ascii="Times New Roman" w:hAnsi="Times New Roman"/>
                <w:color w:val="auto"/>
                <w:sz w:val="21"/>
                <w:szCs w:val="21"/>
              </w:rPr>
              <w:t>.8m</w:t>
            </w:r>
            <w:r>
              <w:rPr>
                <w:rFonts w:hint="eastAsia" w:ascii="Times New Roman" w:hAnsi="Times New Roman"/>
                <w:color w:val="auto"/>
                <w:sz w:val="21"/>
                <w:szCs w:val="21"/>
              </w:rPr>
              <w:t>，环评阶段建设单位正在进行变更登记。</w:t>
            </w:r>
          </w:p>
          <w:p>
            <w:pPr>
              <w:adjustRightInd w:val="0"/>
              <w:snapToGrid w:val="0"/>
              <w:spacing w:line="360" w:lineRule="auto"/>
              <w:rPr>
                <w:rFonts w:ascii="Times New Roman" w:hAnsi="Times New Roman"/>
                <w:b/>
                <w:color w:val="auto"/>
                <w:kern w:val="0"/>
              </w:rPr>
            </w:pPr>
            <w:r>
              <w:rPr>
                <w:rFonts w:ascii="Times New Roman" w:hAnsi="Times New Roman"/>
                <w:b/>
                <w:color w:val="auto"/>
                <w:kern w:val="0"/>
              </w:rPr>
              <w:t>4、本项目原辅料</w:t>
            </w:r>
          </w:p>
          <w:p>
            <w:pPr>
              <w:adjustRightInd w:val="0"/>
              <w:snapToGrid w:val="0"/>
              <w:spacing w:line="360" w:lineRule="auto"/>
              <w:ind w:firstLine="480" w:firstLineChars="200"/>
              <w:rPr>
                <w:rFonts w:ascii="Times New Roman" w:hAnsi="Times New Roman"/>
                <w:color w:val="auto"/>
              </w:rPr>
            </w:pPr>
            <w:bookmarkStart w:id="5" w:name="OLE_LINK7"/>
            <w:r>
              <w:rPr>
                <w:rFonts w:ascii="Times New Roman" w:hAnsi="Times New Roman"/>
                <w:color w:val="auto"/>
              </w:rPr>
              <w:t>项目原辅材及能源消耗量见下表。</w:t>
            </w:r>
          </w:p>
          <w:bookmarkEnd w:id="5"/>
          <w:p>
            <w:pPr>
              <w:pStyle w:val="12"/>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 xml:space="preserve">表1-2   原辅材料消耗一览表 </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1453"/>
              <w:gridCol w:w="1963"/>
              <w:gridCol w:w="1247"/>
              <w:gridCol w:w="1550"/>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产品</w:t>
                  </w:r>
                </w:p>
              </w:tc>
              <w:tc>
                <w:tcPr>
                  <w:tcW w:w="868" w:type="pct"/>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材料名称</w:t>
                  </w:r>
                </w:p>
              </w:tc>
              <w:tc>
                <w:tcPr>
                  <w:tcW w:w="1173" w:type="pct"/>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原料用量</w:t>
                  </w:r>
                </w:p>
              </w:tc>
              <w:tc>
                <w:tcPr>
                  <w:tcW w:w="745" w:type="pct"/>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输送方式</w:t>
                  </w:r>
                </w:p>
              </w:tc>
              <w:tc>
                <w:tcPr>
                  <w:tcW w:w="926" w:type="pct"/>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最大存储量</w:t>
                  </w:r>
                </w:p>
              </w:tc>
              <w:tc>
                <w:tcPr>
                  <w:tcW w:w="745" w:type="pct"/>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vMerge w:val="restart"/>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lang w:val="zh-CN"/>
                    </w:rPr>
                    <w:t>原料</w:t>
                  </w:r>
                </w:p>
              </w:tc>
              <w:tc>
                <w:tcPr>
                  <w:tcW w:w="868"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生物质燃料</w:t>
                  </w:r>
                </w:p>
              </w:tc>
              <w:tc>
                <w:tcPr>
                  <w:tcW w:w="1173" w:type="pct"/>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rPr>
                    <w:t>18061.36t</w:t>
                  </w:r>
                  <w:r>
                    <w:rPr>
                      <w:rFonts w:ascii="Times New Roman" w:hAnsi="Times New Roman"/>
                      <w:color w:val="auto"/>
                      <w:sz w:val="21"/>
                      <w:szCs w:val="21"/>
                      <w:lang w:val="zh-CN"/>
                    </w:rPr>
                    <w:t>/a（60.20</w:t>
                  </w:r>
                  <w:r>
                    <w:rPr>
                      <w:rFonts w:ascii="Times New Roman" w:hAnsi="Times New Roman"/>
                      <w:color w:val="auto"/>
                      <w:sz w:val="21"/>
                      <w:szCs w:val="21"/>
                    </w:rPr>
                    <w:t>t/d</w:t>
                  </w:r>
                  <w:r>
                    <w:rPr>
                      <w:rFonts w:ascii="Times New Roman" w:hAnsi="Times New Roman"/>
                      <w:color w:val="auto"/>
                      <w:sz w:val="21"/>
                      <w:szCs w:val="21"/>
                      <w:lang w:val="zh-CN"/>
                    </w:rPr>
                    <w:t>）</w:t>
                  </w:r>
                </w:p>
              </w:tc>
              <w:tc>
                <w:tcPr>
                  <w:tcW w:w="74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货运车辆</w:t>
                  </w:r>
                </w:p>
              </w:tc>
              <w:tc>
                <w:tcPr>
                  <w:tcW w:w="926"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400t</w:t>
                  </w:r>
                </w:p>
              </w:tc>
              <w:tc>
                <w:tcPr>
                  <w:tcW w:w="745" w:type="pct"/>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40" w:type="pct"/>
                  <w:vMerge w:val="continue"/>
                  <w:vAlign w:val="center"/>
                </w:tcPr>
                <w:p>
                  <w:pPr>
                    <w:adjustRightInd w:val="0"/>
                    <w:snapToGrid w:val="0"/>
                    <w:jc w:val="center"/>
                    <w:rPr>
                      <w:rFonts w:ascii="Times New Roman" w:hAnsi="Times New Roman"/>
                      <w:color w:val="auto"/>
                      <w:sz w:val="21"/>
                      <w:szCs w:val="21"/>
                      <w:lang w:val="zh-CN"/>
                    </w:rPr>
                  </w:pPr>
                </w:p>
              </w:tc>
              <w:tc>
                <w:tcPr>
                  <w:tcW w:w="868"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水</w:t>
                  </w:r>
                </w:p>
              </w:tc>
              <w:tc>
                <w:tcPr>
                  <w:tcW w:w="1173" w:type="pct"/>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rPr>
                    <w:t>1.72万m³</w:t>
                  </w:r>
                  <w:r>
                    <w:rPr>
                      <w:rFonts w:ascii="Times New Roman" w:hAnsi="Times New Roman"/>
                      <w:color w:val="auto"/>
                      <w:sz w:val="21"/>
                      <w:szCs w:val="21"/>
                      <w:lang w:val="zh-CN"/>
                    </w:rPr>
                    <w:t>/a</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lang w:val="zh-CN"/>
                    </w:rPr>
                    <w:t>（</w:t>
                  </w:r>
                  <w:r>
                    <w:rPr>
                      <w:rFonts w:ascii="Times New Roman" w:hAnsi="Times New Roman"/>
                      <w:color w:val="auto"/>
                      <w:sz w:val="21"/>
                      <w:szCs w:val="21"/>
                    </w:rPr>
                    <w:t>57.43m³</w:t>
                  </w:r>
                  <w:r>
                    <w:rPr>
                      <w:rFonts w:ascii="Times New Roman" w:hAnsi="Times New Roman"/>
                      <w:color w:val="auto"/>
                      <w:sz w:val="21"/>
                      <w:szCs w:val="21"/>
                      <w:lang w:val="zh-CN"/>
                    </w:rPr>
                    <w:t>/</w:t>
                  </w:r>
                  <w:r>
                    <w:rPr>
                      <w:rFonts w:ascii="Times New Roman" w:hAnsi="Times New Roman"/>
                      <w:color w:val="auto"/>
                      <w:sz w:val="21"/>
                      <w:szCs w:val="21"/>
                    </w:rPr>
                    <w:t>d</w:t>
                  </w:r>
                  <w:r>
                    <w:rPr>
                      <w:rFonts w:ascii="Times New Roman" w:hAnsi="Times New Roman"/>
                      <w:color w:val="auto"/>
                      <w:sz w:val="21"/>
                      <w:szCs w:val="21"/>
                      <w:lang w:val="zh-CN"/>
                    </w:rPr>
                    <w:t>）</w:t>
                  </w:r>
                </w:p>
              </w:tc>
              <w:tc>
                <w:tcPr>
                  <w:tcW w:w="74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泵提</w:t>
                  </w:r>
                </w:p>
              </w:tc>
              <w:tc>
                <w:tcPr>
                  <w:tcW w:w="926"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w:t>
                  </w:r>
                </w:p>
              </w:tc>
              <w:tc>
                <w:tcPr>
                  <w:tcW w:w="74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南盘江老河道取水</w:t>
                  </w:r>
                </w:p>
              </w:tc>
            </w:tr>
          </w:tbl>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本项目使用的生物质燃料不能沾染胶水、漆、水泥等杂物，需为纯生物质燃料。</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项目使用的生物质燃料检测结果见下表。检测报告见附件。</w:t>
            </w:r>
          </w:p>
          <w:p>
            <w:pPr>
              <w:pStyle w:val="12"/>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表1-3 生物质燃料成分组成表</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8"/>
              <w:gridCol w:w="2788"/>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adjustRightInd w:val="0"/>
                    <w:snapToGri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项目</w:t>
                  </w:r>
                </w:p>
              </w:tc>
              <w:tc>
                <w:tcPr>
                  <w:tcW w:w="1666" w:type="pct"/>
                </w:tcPr>
                <w:p>
                  <w:pPr>
                    <w:adjustRightInd w:val="0"/>
                    <w:snapToGri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单位</w:t>
                  </w:r>
                </w:p>
              </w:tc>
              <w:tc>
                <w:tcPr>
                  <w:tcW w:w="1666" w:type="pct"/>
                </w:tcPr>
                <w:p>
                  <w:pPr>
                    <w:adjustRightInd w:val="0"/>
                    <w:snapToGri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全水分</w:t>
                  </w:r>
                </w:p>
              </w:tc>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干燥基灰分</w:t>
                  </w:r>
                </w:p>
              </w:tc>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干燥无灰基挥发分</w:t>
                  </w:r>
                </w:p>
              </w:tc>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83.73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空气干燥基全硫</w:t>
                  </w:r>
                </w:p>
              </w:tc>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空气干燥基高位发热量</w:t>
                  </w:r>
                </w:p>
              </w:tc>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MJ/kg</w:t>
                  </w:r>
                </w:p>
              </w:tc>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20.48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收到基恒容低位发热量</w:t>
                  </w:r>
                </w:p>
              </w:tc>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MJ/kg</w:t>
                  </w:r>
                </w:p>
              </w:tc>
              <w:tc>
                <w:tcPr>
                  <w:tcW w:w="1666" w:type="pct"/>
                </w:tcPr>
                <w:p>
                  <w:pPr>
                    <w:adjustRightInd w:val="0"/>
                    <w:snapToGrid w:val="0"/>
                    <w:spacing w:line="276" w:lineRule="auto"/>
                    <w:jc w:val="center"/>
                    <w:rPr>
                      <w:rFonts w:ascii="Times New Roman" w:hAnsi="Times New Roman"/>
                      <w:color w:val="auto"/>
                      <w:sz w:val="21"/>
                      <w:szCs w:val="21"/>
                    </w:rPr>
                  </w:pPr>
                  <w:bookmarkStart w:id="6" w:name="OLE_LINK10"/>
                  <w:r>
                    <w:rPr>
                      <w:rFonts w:ascii="Times New Roman" w:hAnsi="Times New Roman"/>
                      <w:color w:val="auto"/>
                      <w:sz w:val="21"/>
                      <w:szCs w:val="21"/>
                    </w:rPr>
                    <w:t>17.75</w:t>
                  </w:r>
                  <w:bookmarkEnd w:id="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空气干燥基氢元素</w:t>
                  </w:r>
                </w:p>
              </w:tc>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c>
                <w:tcPr>
                  <w:tcW w:w="1666" w:type="pct"/>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6.58</w:t>
                  </w:r>
                </w:p>
              </w:tc>
            </w:tr>
          </w:tbl>
          <w:p>
            <w:pPr>
              <w:adjustRightInd w:val="0"/>
              <w:snapToGrid w:val="0"/>
              <w:spacing w:line="360" w:lineRule="auto"/>
              <w:rPr>
                <w:rFonts w:ascii="Times New Roman" w:hAnsi="Times New Roman"/>
                <w:b/>
                <w:color w:val="auto"/>
                <w:kern w:val="0"/>
              </w:rPr>
            </w:pPr>
            <w:r>
              <w:rPr>
                <w:rFonts w:ascii="Times New Roman" w:hAnsi="Times New Roman"/>
                <w:b/>
                <w:color w:val="auto"/>
                <w:kern w:val="0"/>
              </w:rPr>
              <w:t>5、生产设备</w:t>
            </w:r>
          </w:p>
          <w:p>
            <w:pPr>
              <w:adjustRightInd w:val="0"/>
              <w:snapToGrid w:val="0"/>
              <w:spacing w:line="360" w:lineRule="auto"/>
              <w:ind w:firstLine="480"/>
              <w:rPr>
                <w:rFonts w:ascii="Times New Roman" w:hAnsi="Times New Roman"/>
                <w:color w:val="auto"/>
              </w:rPr>
            </w:pPr>
            <w:r>
              <w:rPr>
                <w:rFonts w:ascii="Times New Roman" w:hAnsi="Times New Roman"/>
                <w:color w:val="auto"/>
              </w:rPr>
              <w:t>项目设备见下表。</w:t>
            </w:r>
          </w:p>
          <w:p>
            <w:pPr>
              <w:pStyle w:val="12"/>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表1-4   生产设备一览表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289"/>
              <w:gridCol w:w="702"/>
              <w:gridCol w:w="712"/>
              <w:gridCol w:w="3934"/>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widowControl/>
                    <w:adjustRightInd w:val="0"/>
                    <w:snapToGrid w:val="0"/>
                    <w:jc w:val="center"/>
                    <w:textAlignment w:val="center"/>
                    <w:rPr>
                      <w:rFonts w:ascii="Times New Roman" w:hAnsi="Times New Roman"/>
                      <w:b/>
                      <w:bCs/>
                      <w:color w:val="auto"/>
                      <w:kern w:val="0"/>
                      <w:sz w:val="21"/>
                      <w:szCs w:val="21"/>
                      <w:lang w:bidi="ar"/>
                    </w:rPr>
                  </w:pPr>
                  <w:r>
                    <w:rPr>
                      <w:rFonts w:ascii="Times New Roman" w:hAnsi="Times New Roman"/>
                      <w:b/>
                      <w:bCs/>
                      <w:color w:val="auto"/>
                      <w:kern w:val="0"/>
                      <w:sz w:val="21"/>
                      <w:szCs w:val="21"/>
                      <w:lang w:bidi="ar"/>
                    </w:rPr>
                    <w:t>序号</w:t>
                  </w:r>
                </w:p>
              </w:tc>
              <w:tc>
                <w:tcPr>
                  <w:tcW w:w="1289" w:type="dxa"/>
                  <w:vAlign w:val="center"/>
                </w:tcPr>
                <w:p>
                  <w:pPr>
                    <w:widowControl/>
                    <w:adjustRightInd w:val="0"/>
                    <w:snapToGrid w:val="0"/>
                    <w:jc w:val="left"/>
                    <w:textAlignment w:val="center"/>
                    <w:rPr>
                      <w:rFonts w:ascii="Times New Roman" w:hAnsi="Times New Roman"/>
                      <w:b/>
                      <w:bCs/>
                      <w:color w:val="auto"/>
                      <w:kern w:val="0"/>
                      <w:sz w:val="21"/>
                      <w:szCs w:val="21"/>
                      <w:lang w:bidi="ar"/>
                    </w:rPr>
                  </w:pPr>
                  <w:r>
                    <w:rPr>
                      <w:rFonts w:ascii="Times New Roman" w:hAnsi="Times New Roman"/>
                      <w:b/>
                      <w:bCs/>
                      <w:color w:val="auto"/>
                      <w:kern w:val="0"/>
                      <w:sz w:val="21"/>
                      <w:szCs w:val="21"/>
                      <w:lang w:bidi="ar"/>
                    </w:rPr>
                    <w:t>设备名称</w:t>
                  </w:r>
                </w:p>
              </w:tc>
              <w:tc>
                <w:tcPr>
                  <w:tcW w:w="702" w:type="dxa"/>
                  <w:vAlign w:val="center"/>
                </w:tcPr>
                <w:p>
                  <w:pPr>
                    <w:widowControl/>
                    <w:adjustRightInd w:val="0"/>
                    <w:snapToGrid w:val="0"/>
                    <w:jc w:val="center"/>
                    <w:textAlignment w:val="center"/>
                    <w:rPr>
                      <w:rFonts w:ascii="Times New Roman" w:hAnsi="Times New Roman"/>
                      <w:b/>
                      <w:bCs/>
                      <w:color w:val="auto"/>
                      <w:kern w:val="0"/>
                      <w:sz w:val="21"/>
                      <w:szCs w:val="21"/>
                      <w:lang w:bidi="ar"/>
                    </w:rPr>
                  </w:pPr>
                  <w:r>
                    <w:rPr>
                      <w:rFonts w:ascii="Times New Roman" w:hAnsi="Times New Roman"/>
                      <w:b/>
                      <w:bCs/>
                      <w:color w:val="auto"/>
                      <w:kern w:val="0"/>
                      <w:sz w:val="21"/>
                      <w:szCs w:val="21"/>
                      <w:lang w:bidi="ar"/>
                    </w:rPr>
                    <w:t>单位</w:t>
                  </w:r>
                </w:p>
              </w:tc>
              <w:tc>
                <w:tcPr>
                  <w:tcW w:w="712" w:type="dxa"/>
                  <w:vAlign w:val="center"/>
                </w:tcPr>
                <w:p>
                  <w:pPr>
                    <w:widowControl/>
                    <w:adjustRightInd w:val="0"/>
                    <w:snapToGrid w:val="0"/>
                    <w:jc w:val="center"/>
                    <w:textAlignment w:val="center"/>
                    <w:rPr>
                      <w:rFonts w:ascii="Times New Roman" w:hAnsi="Times New Roman"/>
                      <w:b/>
                      <w:bCs/>
                      <w:color w:val="auto"/>
                      <w:kern w:val="0"/>
                      <w:sz w:val="21"/>
                      <w:szCs w:val="21"/>
                      <w:lang w:bidi="ar"/>
                    </w:rPr>
                  </w:pPr>
                  <w:r>
                    <w:rPr>
                      <w:rFonts w:ascii="Times New Roman" w:hAnsi="Times New Roman"/>
                      <w:b/>
                      <w:bCs/>
                      <w:color w:val="auto"/>
                      <w:kern w:val="0"/>
                      <w:sz w:val="21"/>
                      <w:szCs w:val="21"/>
                      <w:lang w:bidi="ar"/>
                    </w:rPr>
                    <w:t>数量</w:t>
                  </w:r>
                </w:p>
              </w:tc>
              <w:tc>
                <w:tcPr>
                  <w:tcW w:w="3934" w:type="dxa"/>
                  <w:vAlign w:val="center"/>
                </w:tcPr>
                <w:p>
                  <w:pPr>
                    <w:widowControl/>
                    <w:adjustRightInd w:val="0"/>
                    <w:snapToGrid w:val="0"/>
                    <w:jc w:val="center"/>
                    <w:textAlignment w:val="center"/>
                    <w:rPr>
                      <w:rFonts w:ascii="Times New Roman" w:hAnsi="Times New Roman"/>
                      <w:b/>
                      <w:bCs/>
                      <w:color w:val="auto"/>
                      <w:kern w:val="0"/>
                      <w:sz w:val="21"/>
                      <w:szCs w:val="21"/>
                      <w:lang w:bidi="ar"/>
                    </w:rPr>
                  </w:pPr>
                  <w:r>
                    <w:rPr>
                      <w:rFonts w:ascii="Times New Roman" w:hAnsi="Times New Roman"/>
                      <w:b/>
                      <w:bCs/>
                      <w:color w:val="auto"/>
                      <w:kern w:val="0"/>
                      <w:sz w:val="21"/>
                      <w:szCs w:val="21"/>
                      <w:lang w:bidi="ar"/>
                    </w:rPr>
                    <w:t>型号尺寸</w:t>
                  </w:r>
                </w:p>
              </w:tc>
              <w:tc>
                <w:tcPr>
                  <w:tcW w:w="1233" w:type="dxa"/>
                  <w:vAlign w:val="center"/>
                </w:tcPr>
                <w:p>
                  <w:pPr>
                    <w:widowControl/>
                    <w:adjustRightInd w:val="0"/>
                    <w:snapToGrid w:val="0"/>
                    <w:jc w:val="center"/>
                    <w:textAlignment w:val="center"/>
                    <w:rPr>
                      <w:rFonts w:ascii="Times New Roman" w:hAnsi="Times New Roman"/>
                      <w:b/>
                      <w:bCs/>
                      <w:color w:val="auto"/>
                      <w:kern w:val="0"/>
                      <w:sz w:val="21"/>
                      <w:szCs w:val="21"/>
                      <w:lang w:bidi="ar"/>
                    </w:rPr>
                  </w:pPr>
                  <w:r>
                    <w:rPr>
                      <w:rFonts w:ascii="Times New Roman" w:hAnsi="Times New Roman"/>
                      <w:b/>
                      <w:bCs/>
                      <w:color w:val="auto"/>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dxa"/>
                  <w:vAlign w:val="center"/>
                </w:tcPr>
                <w:p>
                  <w:pPr>
                    <w:widowControl/>
                    <w:adjustRightInd w:val="0"/>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1</w:t>
                  </w:r>
                </w:p>
              </w:tc>
              <w:tc>
                <w:tcPr>
                  <w:tcW w:w="1289" w:type="dxa"/>
                  <w:vAlign w:val="center"/>
                </w:tcPr>
                <w:p>
                  <w:pPr>
                    <w:widowControl/>
                    <w:adjustRightInd w:val="0"/>
                    <w:snapToGrid w:val="0"/>
                    <w:textAlignment w:val="center"/>
                    <w:rPr>
                      <w:rFonts w:ascii="Times New Roman" w:hAnsi="Times New Roman"/>
                      <w:color w:val="auto"/>
                      <w:sz w:val="21"/>
                      <w:szCs w:val="21"/>
                    </w:rPr>
                  </w:pPr>
                  <w:r>
                    <w:rPr>
                      <w:rFonts w:ascii="Times New Roman" w:hAnsi="Times New Roman"/>
                      <w:color w:val="auto"/>
                      <w:kern w:val="0"/>
                      <w:sz w:val="21"/>
                      <w:szCs w:val="21"/>
                      <w:lang w:bidi="ar"/>
                    </w:rPr>
                    <w:t>生物质锅炉</w:t>
                  </w:r>
                </w:p>
              </w:tc>
              <w:tc>
                <w:tcPr>
                  <w:tcW w:w="702" w:type="dxa"/>
                  <w:vAlign w:val="center"/>
                </w:tcPr>
                <w:p>
                  <w:pPr>
                    <w:widowControl/>
                    <w:adjustRightInd w:val="0"/>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台</w:t>
                  </w:r>
                </w:p>
              </w:tc>
              <w:tc>
                <w:tcPr>
                  <w:tcW w:w="712" w:type="dxa"/>
                  <w:vAlign w:val="center"/>
                </w:tcPr>
                <w:p>
                  <w:pPr>
                    <w:widowControl/>
                    <w:adjustRightInd w:val="0"/>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2</w:t>
                  </w:r>
                </w:p>
              </w:tc>
              <w:tc>
                <w:tcPr>
                  <w:tcW w:w="3934"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蒸汽卧式锅炉，产能为15吨</w:t>
                  </w:r>
                  <w:r>
                    <w:rPr>
                      <w:rFonts w:ascii="Times New Roman" w:hAnsi="Times New Roman"/>
                      <w:color w:val="auto"/>
                    </w:rPr>
                    <w:t>/</w:t>
                  </w:r>
                  <w:r>
                    <w:rPr>
                      <w:rFonts w:ascii="Times New Roman" w:hAnsi="Times New Roman"/>
                      <w:color w:val="auto"/>
                      <w:sz w:val="21"/>
                      <w:szCs w:val="21"/>
                    </w:rPr>
                    <w:t>小时</w:t>
                  </w:r>
                </w:p>
              </w:tc>
              <w:tc>
                <w:tcPr>
                  <w:tcW w:w="1233"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2</w:t>
                  </w:r>
                </w:p>
              </w:tc>
              <w:tc>
                <w:tcPr>
                  <w:tcW w:w="1289" w:type="dxa"/>
                  <w:vAlign w:val="center"/>
                </w:tcPr>
                <w:p>
                  <w:pPr>
                    <w:widowControl/>
                    <w:adjustRightInd w:val="0"/>
                    <w:snapToGrid w:val="0"/>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软水装置</w:t>
                  </w:r>
                </w:p>
              </w:tc>
              <w:tc>
                <w:tcPr>
                  <w:tcW w:w="70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套</w:t>
                  </w:r>
                </w:p>
              </w:tc>
              <w:tc>
                <w:tcPr>
                  <w:tcW w:w="71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1</w:t>
                  </w:r>
                </w:p>
              </w:tc>
              <w:tc>
                <w:tcPr>
                  <w:tcW w:w="3934"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工艺为砂滤+离子交换器，水处理能力为20t/h</w:t>
                  </w:r>
                </w:p>
              </w:tc>
              <w:tc>
                <w:tcPr>
                  <w:tcW w:w="1233" w:type="dxa"/>
                  <w:vMerge w:val="restart"/>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3</w:t>
                  </w:r>
                </w:p>
              </w:tc>
              <w:tc>
                <w:tcPr>
                  <w:tcW w:w="1289" w:type="dxa"/>
                  <w:vAlign w:val="center"/>
                </w:tcPr>
                <w:p>
                  <w:pPr>
                    <w:widowControl/>
                    <w:adjustRightInd w:val="0"/>
                    <w:snapToGrid w:val="0"/>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排气筒</w:t>
                  </w:r>
                </w:p>
              </w:tc>
              <w:tc>
                <w:tcPr>
                  <w:tcW w:w="70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根</w:t>
                  </w:r>
                </w:p>
              </w:tc>
              <w:tc>
                <w:tcPr>
                  <w:tcW w:w="71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1</w:t>
                  </w:r>
                </w:p>
              </w:tc>
              <w:tc>
                <w:tcPr>
                  <w:tcW w:w="3934"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45m高排气筒，出口内径为0.8m</w:t>
                  </w:r>
                </w:p>
              </w:tc>
              <w:tc>
                <w:tcPr>
                  <w:tcW w:w="1233" w:type="dxa"/>
                  <w:vMerge w:val="continue"/>
                  <w:vAlign w:val="center"/>
                </w:tcPr>
                <w:p>
                  <w:pPr>
                    <w:widowControl/>
                    <w:adjustRightInd w:val="0"/>
                    <w:snapToGrid w:val="0"/>
                    <w:jc w:val="center"/>
                    <w:textAlignment w:val="center"/>
                    <w:rPr>
                      <w:rFonts w:ascii="Times New Roman" w:hAnsi="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4</w:t>
                  </w:r>
                </w:p>
              </w:tc>
              <w:tc>
                <w:tcPr>
                  <w:tcW w:w="1289" w:type="dxa"/>
                  <w:vAlign w:val="center"/>
                </w:tcPr>
                <w:p>
                  <w:pPr>
                    <w:widowControl/>
                    <w:adjustRightInd w:val="0"/>
                    <w:snapToGrid w:val="0"/>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鼓风机</w:t>
                  </w:r>
                </w:p>
              </w:tc>
              <w:tc>
                <w:tcPr>
                  <w:tcW w:w="70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台</w:t>
                  </w:r>
                </w:p>
              </w:tc>
              <w:tc>
                <w:tcPr>
                  <w:tcW w:w="71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1</w:t>
                  </w:r>
                </w:p>
              </w:tc>
              <w:tc>
                <w:tcPr>
                  <w:tcW w:w="3934"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风量：20000</w:t>
                  </w:r>
                  <w:r>
                    <w:rPr>
                      <w:rFonts w:hint="eastAsia" w:ascii="Times New Roman" w:hAnsi="Times New Roman"/>
                      <w:color w:val="auto"/>
                      <w:kern w:val="0"/>
                      <w:sz w:val="21"/>
                      <w:szCs w:val="21"/>
                      <w:lang w:bidi="ar"/>
                    </w:rPr>
                    <w:t>m</w:t>
                  </w:r>
                  <w:r>
                    <w:rPr>
                      <w:rFonts w:ascii="Times New Roman" w:hAnsi="Times New Roman"/>
                      <w:color w:val="auto"/>
                      <w:kern w:val="0"/>
                      <w:sz w:val="21"/>
                      <w:szCs w:val="21"/>
                      <w:vertAlign w:val="superscript"/>
                      <w:lang w:bidi="ar"/>
                    </w:rPr>
                    <w:t>3</w:t>
                  </w:r>
                  <w:r>
                    <w:rPr>
                      <w:rFonts w:ascii="Times New Roman" w:hAnsi="Times New Roman"/>
                      <w:color w:val="auto"/>
                      <w:kern w:val="0"/>
                      <w:sz w:val="21"/>
                      <w:szCs w:val="21"/>
                      <w:lang w:bidi="ar"/>
                    </w:rPr>
                    <w:t>/h</w:t>
                  </w:r>
                </w:p>
              </w:tc>
              <w:tc>
                <w:tcPr>
                  <w:tcW w:w="1233" w:type="dxa"/>
                  <w:vMerge w:val="restart"/>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5</w:t>
                  </w:r>
                </w:p>
              </w:tc>
              <w:tc>
                <w:tcPr>
                  <w:tcW w:w="1289" w:type="dxa"/>
                  <w:vAlign w:val="center"/>
                </w:tcPr>
                <w:p>
                  <w:pPr>
                    <w:widowControl/>
                    <w:adjustRightInd w:val="0"/>
                    <w:snapToGrid w:val="0"/>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布袋除尘器</w:t>
                  </w:r>
                </w:p>
              </w:tc>
              <w:tc>
                <w:tcPr>
                  <w:tcW w:w="70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台</w:t>
                  </w:r>
                </w:p>
              </w:tc>
              <w:tc>
                <w:tcPr>
                  <w:tcW w:w="71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2</w:t>
                  </w:r>
                </w:p>
              </w:tc>
              <w:tc>
                <w:tcPr>
                  <w:tcW w:w="3934"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除尘效率为99%</w:t>
                  </w:r>
                </w:p>
              </w:tc>
              <w:tc>
                <w:tcPr>
                  <w:tcW w:w="1233" w:type="dxa"/>
                  <w:vMerge w:val="continue"/>
                  <w:vAlign w:val="center"/>
                </w:tcPr>
                <w:p>
                  <w:pPr>
                    <w:widowControl/>
                    <w:adjustRightInd w:val="0"/>
                    <w:snapToGrid w:val="0"/>
                    <w:jc w:val="center"/>
                    <w:textAlignment w:val="center"/>
                    <w:rPr>
                      <w:rFonts w:ascii="Times New Roman" w:hAnsi="Times New Roman"/>
                      <w:color w:val="auto"/>
                      <w:kern w:val="0"/>
                      <w:sz w:val="21"/>
                      <w:szCs w:val="21"/>
                      <w:lang w:bidi="ar"/>
                    </w:rPr>
                  </w:pPr>
                </w:p>
              </w:tc>
            </w:tr>
          </w:tbl>
          <w:p>
            <w:pPr>
              <w:adjustRightInd w:val="0"/>
              <w:snapToGrid w:val="0"/>
              <w:spacing w:line="360" w:lineRule="auto"/>
              <w:rPr>
                <w:rFonts w:ascii="Times New Roman" w:hAnsi="Times New Roman"/>
                <w:b/>
                <w:color w:val="auto"/>
                <w:kern w:val="0"/>
              </w:rPr>
            </w:pPr>
            <w:r>
              <w:rPr>
                <w:rFonts w:ascii="Times New Roman" w:hAnsi="Times New Roman"/>
                <w:b/>
                <w:color w:val="auto"/>
                <w:kern w:val="0"/>
              </w:rPr>
              <w:t>6、总平面布置</w:t>
            </w:r>
          </w:p>
          <w:p>
            <w:pPr>
              <w:adjustRightInd w:val="0"/>
              <w:snapToGrid w:val="0"/>
              <w:spacing w:line="360" w:lineRule="auto"/>
              <w:ind w:firstLine="480" w:firstLineChars="200"/>
              <w:rPr>
                <w:rFonts w:ascii="Times New Roman" w:hAnsi="Times New Roman"/>
                <w:color w:val="auto"/>
                <w:kern w:val="0"/>
                <w:szCs w:val="22"/>
              </w:rPr>
            </w:pPr>
            <w:r>
              <w:rPr>
                <w:rFonts w:ascii="Times New Roman" w:hAnsi="Times New Roman"/>
                <w:color w:val="auto"/>
                <w:kern w:val="0"/>
                <w:szCs w:val="22"/>
              </w:rPr>
              <w:t>本项目锅炉区位于厂区西南角，紧邻国道一侧。锅炉区西面紧邻国道为两个锅炉房，排气筒</w:t>
            </w:r>
            <w:r>
              <w:rPr>
                <w:rFonts w:hint="eastAsia" w:ascii="Times New Roman" w:hAnsi="Times New Roman"/>
                <w:color w:val="auto"/>
                <w:kern w:val="0"/>
                <w:szCs w:val="22"/>
              </w:rPr>
              <w:t>位于两个锅炉房中间靠东的位置</w:t>
            </w:r>
            <w:r>
              <w:rPr>
                <w:rFonts w:ascii="Times New Roman" w:hAnsi="Times New Roman"/>
                <w:color w:val="auto"/>
                <w:kern w:val="0"/>
                <w:szCs w:val="22"/>
              </w:rPr>
              <w:t>，其中北侧锅炉房为废弃锅炉房，本次技改不对其进行改变，南侧锅炉房为本次</w:t>
            </w:r>
            <w:r>
              <w:rPr>
                <w:rFonts w:hint="eastAsia" w:ascii="Times New Roman" w:hAnsi="Times New Roman"/>
                <w:color w:val="auto"/>
                <w:kern w:val="0"/>
                <w:szCs w:val="22"/>
              </w:rPr>
              <w:t>技改</w:t>
            </w:r>
            <w:r>
              <w:rPr>
                <w:rFonts w:ascii="Times New Roman" w:hAnsi="Times New Roman"/>
                <w:color w:val="auto"/>
                <w:kern w:val="0"/>
                <w:szCs w:val="22"/>
              </w:rPr>
              <w:t>锅炉房。锅炉区南面为生物质棚。</w:t>
            </w:r>
            <w:r>
              <w:rPr>
                <w:rFonts w:hint="eastAsia" w:ascii="Times New Roman" w:hAnsi="Times New Roman"/>
                <w:color w:val="auto"/>
                <w:kern w:val="0"/>
                <w:szCs w:val="22"/>
              </w:rPr>
              <w:t>新增的布袋除尘器位于技改锅炉房外东侧，生物质棚旁。</w:t>
            </w:r>
          </w:p>
          <w:p>
            <w:pPr>
              <w:adjustRightInd w:val="0"/>
              <w:snapToGrid w:val="0"/>
              <w:spacing w:line="360" w:lineRule="auto"/>
              <w:ind w:firstLine="480" w:firstLineChars="200"/>
              <w:rPr>
                <w:rFonts w:ascii="Times New Roman" w:hAnsi="Times New Roman"/>
                <w:b/>
                <w:color w:val="auto"/>
                <w:kern w:val="0"/>
              </w:rPr>
            </w:pPr>
            <w:r>
              <w:rPr>
                <w:rFonts w:ascii="Times New Roman" w:hAnsi="Times New Roman"/>
                <w:color w:val="auto"/>
                <w:kern w:val="0"/>
                <w:szCs w:val="22"/>
              </w:rPr>
              <w:t>项目平面布置图见附图3。</w:t>
            </w:r>
          </w:p>
          <w:p>
            <w:pPr>
              <w:adjustRightInd w:val="0"/>
              <w:snapToGrid w:val="0"/>
              <w:spacing w:line="360" w:lineRule="auto"/>
              <w:rPr>
                <w:rFonts w:ascii="Times New Roman" w:hAnsi="Times New Roman"/>
                <w:color w:val="auto"/>
              </w:rPr>
            </w:pPr>
            <w:r>
              <w:rPr>
                <w:rFonts w:ascii="Times New Roman" w:hAnsi="Times New Roman"/>
                <w:b/>
                <w:color w:val="auto"/>
                <w:kern w:val="0"/>
              </w:rPr>
              <w:t>7、劳动定员及工作制度</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项目年工作时间为300天，车间生产班制均为三班工作制，每班工作8小时。两台锅炉一用一备。</w:t>
            </w:r>
          </w:p>
          <w:p>
            <w:pPr>
              <w:adjustRightInd w:val="0"/>
              <w:snapToGrid w:val="0"/>
              <w:spacing w:line="360" w:lineRule="auto"/>
              <w:ind w:firstLine="480" w:firstLineChars="200"/>
              <w:rPr>
                <w:rFonts w:ascii="Times New Roman" w:hAnsi="Times New Roman"/>
                <w:color w:val="auto"/>
                <w:kern w:val="0"/>
              </w:rPr>
            </w:pPr>
            <w:r>
              <w:rPr>
                <w:rFonts w:ascii="Times New Roman" w:hAnsi="Times New Roman"/>
                <w:color w:val="auto"/>
                <w:kern w:val="0"/>
              </w:rPr>
              <w:t>锅炉</w:t>
            </w:r>
            <w:r>
              <w:rPr>
                <w:rFonts w:hint="eastAsia" w:ascii="Times New Roman" w:hAnsi="Times New Roman"/>
                <w:color w:val="auto"/>
                <w:kern w:val="0"/>
              </w:rPr>
              <w:t>房</w:t>
            </w:r>
            <w:r>
              <w:rPr>
                <w:rFonts w:ascii="Times New Roman" w:hAnsi="Times New Roman"/>
                <w:color w:val="auto"/>
                <w:kern w:val="0"/>
              </w:rPr>
              <w:t>劳动定员2人，均为生产人员。本次技改后劳动定员不变。</w:t>
            </w:r>
          </w:p>
          <w:p>
            <w:pPr>
              <w:adjustRightInd w:val="0"/>
              <w:snapToGrid w:val="0"/>
              <w:spacing w:line="360" w:lineRule="auto"/>
              <w:rPr>
                <w:rFonts w:ascii="Times New Roman" w:hAnsi="Times New Roman"/>
                <w:b/>
                <w:color w:val="auto"/>
                <w:kern w:val="0"/>
              </w:rPr>
            </w:pPr>
            <w:r>
              <w:rPr>
                <w:rFonts w:ascii="Times New Roman" w:hAnsi="Times New Roman"/>
                <w:b/>
                <w:color w:val="auto"/>
                <w:kern w:val="0"/>
              </w:rPr>
              <w:t>8、配套设施</w:t>
            </w:r>
          </w:p>
          <w:p>
            <w:pPr>
              <w:adjustRightInd w:val="0"/>
              <w:snapToGrid w:val="0"/>
              <w:spacing w:line="360" w:lineRule="auto"/>
              <w:ind w:firstLine="480" w:firstLineChars="200"/>
              <w:rPr>
                <w:rFonts w:ascii="Times New Roman" w:hAnsi="Times New Roman"/>
                <w:color w:val="auto"/>
                <w:kern w:val="0"/>
              </w:rPr>
            </w:pPr>
            <w:r>
              <w:rPr>
                <w:rFonts w:ascii="Times New Roman" w:hAnsi="Times New Roman"/>
                <w:color w:val="auto"/>
                <w:kern w:val="0"/>
              </w:rPr>
              <w:t>（1）水</w:t>
            </w:r>
          </w:p>
          <w:p>
            <w:pPr>
              <w:adjustRightInd w:val="0"/>
              <w:snapToGrid w:val="0"/>
              <w:spacing w:line="360" w:lineRule="auto"/>
              <w:ind w:firstLine="480" w:firstLineChars="200"/>
              <w:rPr>
                <w:rFonts w:ascii="Times New Roman" w:hAnsi="Times New Roman"/>
                <w:color w:val="auto"/>
                <w:lang w:val="zh-CN"/>
              </w:rPr>
            </w:pPr>
            <w:r>
              <w:rPr>
                <w:rFonts w:ascii="Times New Roman" w:hAnsi="Times New Roman"/>
                <w:color w:val="auto"/>
                <w:kern w:val="0"/>
                <w:szCs w:val="22"/>
              </w:rPr>
              <w:t>本项目使用水源为厂区旁老南盘江河道，</w:t>
            </w:r>
            <w:r>
              <w:rPr>
                <w:rFonts w:ascii="Times New Roman" w:hAnsi="Times New Roman"/>
                <w:color w:val="auto"/>
                <w:kern w:val="0"/>
              </w:rPr>
              <w:t>宜良明丰造纸厂</w:t>
            </w:r>
            <w:r>
              <w:rPr>
                <w:rFonts w:hint="eastAsia" w:ascii="Times New Roman" w:hAnsi="Times New Roman"/>
                <w:color w:val="auto"/>
                <w:kern w:val="0"/>
              </w:rPr>
              <w:t>现有项目</w:t>
            </w:r>
            <w:r>
              <w:rPr>
                <w:rFonts w:ascii="Times New Roman" w:hAnsi="Times New Roman"/>
                <w:color w:val="auto"/>
                <w:kern w:val="0"/>
                <w:szCs w:val="22"/>
              </w:rPr>
              <w:t>年取水量约为61.305</w:t>
            </w:r>
            <w:bookmarkStart w:id="7" w:name="OLE_LINK6"/>
            <w:r>
              <w:rPr>
                <w:rFonts w:ascii="Times New Roman" w:hAnsi="Times New Roman"/>
                <w:color w:val="auto"/>
                <w:kern w:val="0"/>
                <w:szCs w:val="22"/>
              </w:rPr>
              <w:t>万m³</w:t>
            </w:r>
            <w:bookmarkEnd w:id="7"/>
            <w:r>
              <w:rPr>
                <w:rFonts w:ascii="Times New Roman" w:hAnsi="Times New Roman"/>
                <w:color w:val="auto"/>
                <w:kern w:val="0"/>
                <w:szCs w:val="22"/>
              </w:rPr>
              <w:t>，其中本项目用水为1.72万m³。项目取水证过期，目前正在办理延续手续，已编制完成水资源论证报告。</w:t>
            </w:r>
          </w:p>
          <w:p>
            <w:pPr>
              <w:adjustRightInd w:val="0"/>
              <w:snapToGrid w:val="0"/>
              <w:spacing w:line="360" w:lineRule="auto"/>
              <w:ind w:firstLine="480" w:firstLineChars="200"/>
              <w:rPr>
                <w:rFonts w:ascii="Times New Roman" w:hAnsi="Times New Roman"/>
                <w:color w:val="auto"/>
                <w:kern w:val="0"/>
                <w:szCs w:val="22"/>
              </w:rPr>
            </w:pPr>
            <w:r>
              <w:rPr>
                <w:rFonts w:ascii="Times New Roman" w:hAnsi="Times New Roman"/>
                <w:color w:val="auto"/>
                <w:kern w:val="0"/>
                <w:szCs w:val="22"/>
              </w:rPr>
              <w:t>（2）电能</w:t>
            </w:r>
          </w:p>
          <w:p>
            <w:pPr>
              <w:adjustRightInd w:val="0"/>
              <w:snapToGrid w:val="0"/>
              <w:spacing w:line="360" w:lineRule="auto"/>
              <w:ind w:firstLine="480" w:firstLineChars="200"/>
              <w:rPr>
                <w:rFonts w:ascii="Times New Roman" w:hAnsi="Times New Roman"/>
                <w:color w:val="auto"/>
                <w:kern w:val="0"/>
                <w:szCs w:val="22"/>
              </w:rPr>
            </w:pPr>
            <w:r>
              <w:rPr>
                <w:rFonts w:ascii="Times New Roman" w:hAnsi="Times New Roman"/>
                <w:color w:val="auto"/>
                <w:kern w:val="0"/>
                <w:szCs w:val="22"/>
              </w:rPr>
              <w:t>本项目使用的电能由原有的市政供电线路供电，不设备用发电机。</w:t>
            </w:r>
          </w:p>
          <w:p>
            <w:pPr>
              <w:adjustRightInd w:val="0"/>
              <w:snapToGrid w:val="0"/>
              <w:spacing w:line="360" w:lineRule="auto"/>
              <w:rPr>
                <w:rFonts w:ascii="Times New Roman" w:hAnsi="Times New Roman"/>
                <w:b/>
                <w:color w:val="auto"/>
                <w:kern w:val="0"/>
              </w:rPr>
            </w:pPr>
            <w:r>
              <w:rPr>
                <w:rFonts w:ascii="Times New Roman" w:hAnsi="Times New Roman"/>
                <w:b/>
                <w:color w:val="auto"/>
                <w:kern w:val="0"/>
              </w:rPr>
              <w:t>9、项目环保投资</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kern w:val="0"/>
              </w:rPr>
              <w:t>本项目总投资为20万元，其中环保投资为6.5万元。环保投资占总投资的32.5%。具体</w:t>
            </w:r>
            <w:r>
              <w:rPr>
                <w:rFonts w:hint="eastAsia" w:ascii="Times New Roman" w:hAnsi="Times New Roman"/>
                <w:color w:val="auto"/>
                <w:kern w:val="0"/>
              </w:rPr>
              <w:t>见表1</w:t>
            </w:r>
            <w:r>
              <w:rPr>
                <w:rFonts w:ascii="Times New Roman" w:hAnsi="Times New Roman"/>
                <w:color w:val="auto"/>
                <w:kern w:val="0"/>
              </w:rPr>
              <w:t>-5。</w:t>
            </w:r>
          </w:p>
          <w:p>
            <w:pPr>
              <w:pStyle w:val="12"/>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表1-5  环保投资一览表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9"/>
              <w:gridCol w:w="639"/>
              <w:gridCol w:w="3119"/>
              <w:gridCol w:w="2716"/>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382" w:type="pc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序号</w:t>
                  </w:r>
                </w:p>
              </w:tc>
              <w:tc>
                <w:tcPr>
                  <w:tcW w:w="382" w:type="pc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类型</w:t>
                  </w:r>
                </w:p>
              </w:tc>
              <w:tc>
                <w:tcPr>
                  <w:tcW w:w="1864" w:type="pc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项目</w:t>
                  </w:r>
                </w:p>
              </w:tc>
              <w:tc>
                <w:tcPr>
                  <w:tcW w:w="1623" w:type="pc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环保设施投资(万元)</w:t>
                  </w:r>
                </w:p>
              </w:tc>
              <w:tc>
                <w:tcPr>
                  <w:tcW w:w="751" w:type="pc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382"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1</w:t>
                  </w:r>
                </w:p>
              </w:tc>
              <w:tc>
                <w:tcPr>
                  <w:tcW w:w="382"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噪声</w:t>
                  </w:r>
                </w:p>
              </w:tc>
              <w:tc>
                <w:tcPr>
                  <w:tcW w:w="1864" w:type="pct"/>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鼓风机</w:t>
                  </w:r>
                  <w:r>
                    <w:rPr>
                      <w:rFonts w:ascii="Times New Roman" w:hAnsi="Times New Roman"/>
                      <w:color w:val="auto"/>
                      <w:sz w:val="21"/>
                      <w:szCs w:val="21"/>
                    </w:rPr>
                    <w:t>消声器</w:t>
                  </w:r>
                </w:p>
              </w:tc>
              <w:tc>
                <w:tcPr>
                  <w:tcW w:w="1623"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0.5</w:t>
                  </w:r>
                </w:p>
              </w:tc>
              <w:tc>
                <w:tcPr>
                  <w:tcW w:w="751" w:type="pct"/>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382"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2</w:t>
                  </w:r>
                </w:p>
              </w:tc>
              <w:tc>
                <w:tcPr>
                  <w:tcW w:w="382"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固废</w:t>
                  </w:r>
                </w:p>
              </w:tc>
              <w:tc>
                <w:tcPr>
                  <w:tcW w:w="1864" w:type="pct"/>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炉渣、收尘灰处置</w:t>
                  </w:r>
                </w:p>
              </w:tc>
              <w:tc>
                <w:tcPr>
                  <w:tcW w:w="1623"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0.5</w:t>
                  </w:r>
                </w:p>
              </w:tc>
              <w:tc>
                <w:tcPr>
                  <w:tcW w:w="751" w:type="pct"/>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382"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3</w:t>
                  </w:r>
                </w:p>
              </w:tc>
              <w:tc>
                <w:tcPr>
                  <w:tcW w:w="382" w:type="pct"/>
                  <w:vMerge w:val="restar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废气</w:t>
                  </w:r>
                </w:p>
              </w:tc>
              <w:tc>
                <w:tcPr>
                  <w:tcW w:w="1864"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锅炉烟气排气筒</w:t>
                  </w:r>
                </w:p>
              </w:tc>
              <w:tc>
                <w:tcPr>
                  <w:tcW w:w="1623"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0</w:t>
                  </w:r>
                </w:p>
              </w:tc>
              <w:tc>
                <w:tcPr>
                  <w:tcW w:w="751"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382"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4</w:t>
                  </w:r>
                </w:p>
              </w:tc>
              <w:tc>
                <w:tcPr>
                  <w:tcW w:w="382" w:type="pct"/>
                  <w:vMerge w:val="continue"/>
                  <w:vAlign w:val="center"/>
                </w:tcPr>
                <w:p>
                  <w:pPr>
                    <w:adjustRightInd w:val="0"/>
                    <w:snapToGrid w:val="0"/>
                    <w:jc w:val="center"/>
                    <w:rPr>
                      <w:rFonts w:ascii="Times New Roman" w:hAnsi="Times New Roman"/>
                      <w:color w:val="auto"/>
                      <w:sz w:val="21"/>
                      <w:szCs w:val="21"/>
                    </w:rPr>
                  </w:pPr>
                </w:p>
              </w:tc>
              <w:tc>
                <w:tcPr>
                  <w:tcW w:w="1864"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布袋除尘器</w:t>
                  </w:r>
                </w:p>
              </w:tc>
              <w:tc>
                <w:tcPr>
                  <w:tcW w:w="1623"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5</w:t>
                  </w:r>
                </w:p>
              </w:tc>
              <w:tc>
                <w:tcPr>
                  <w:tcW w:w="751" w:type="pct"/>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382" w:type="pct"/>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5</w:t>
                  </w:r>
                </w:p>
              </w:tc>
              <w:tc>
                <w:tcPr>
                  <w:tcW w:w="382" w:type="pct"/>
                  <w:vMerge w:val="continue"/>
                  <w:vAlign w:val="center"/>
                </w:tcPr>
                <w:p>
                  <w:pPr>
                    <w:adjustRightInd w:val="0"/>
                    <w:snapToGrid w:val="0"/>
                    <w:jc w:val="center"/>
                    <w:rPr>
                      <w:rFonts w:ascii="Times New Roman" w:hAnsi="Times New Roman"/>
                      <w:color w:val="auto"/>
                      <w:sz w:val="21"/>
                      <w:szCs w:val="21"/>
                    </w:rPr>
                  </w:pPr>
                </w:p>
              </w:tc>
              <w:tc>
                <w:tcPr>
                  <w:tcW w:w="1864" w:type="pct"/>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生物质燃料棚封闭改造</w:t>
                  </w:r>
                </w:p>
              </w:tc>
              <w:tc>
                <w:tcPr>
                  <w:tcW w:w="1623"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0.5</w:t>
                  </w:r>
                </w:p>
              </w:tc>
              <w:tc>
                <w:tcPr>
                  <w:tcW w:w="751" w:type="pct"/>
                  <w:vAlign w:val="center"/>
                </w:tcPr>
                <w:p>
                  <w:pPr>
                    <w:adjustRightInd w:val="0"/>
                    <w:snapToGrid w:val="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382" w:type="pct"/>
                  <w:vAlign w:val="center"/>
                </w:tcPr>
                <w:p>
                  <w:pPr>
                    <w:adjustRightInd w:val="0"/>
                    <w:snapToGrid w:val="0"/>
                    <w:jc w:val="center"/>
                    <w:rPr>
                      <w:rFonts w:ascii="Times New Roman" w:hAnsi="Times New Roman"/>
                      <w:color w:val="auto"/>
                      <w:sz w:val="21"/>
                      <w:szCs w:val="21"/>
                    </w:rPr>
                  </w:pPr>
                </w:p>
              </w:tc>
              <w:tc>
                <w:tcPr>
                  <w:tcW w:w="2245" w:type="pct"/>
                  <w:gridSpan w:val="2"/>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合计</w:t>
                  </w:r>
                </w:p>
              </w:tc>
              <w:tc>
                <w:tcPr>
                  <w:tcW w:w="1623"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6.5</w:t>
                  </w:r>
                </w:p>
              </w:tc>
              <w:tc>
                <w:tcPr>
                  <w:tcW w:w="751" w:type="pct"/>
                  <w:vAlign w:val="center"/>
                </w:tcPr>
                <w:p>
                  <w:pPr>
                    <w:adjustRightInd w:val="0"/>
                    <w:snapToGrid w:val="0"/>
                    <w:jc w:val="center"/>
                    <w:rPr>
                      <w:rFonts w:ascii="Times New Roman" w:hAnsi="Times New Roman"/>
                      <w:color w:val="auto"/>
                      <w:sz w:val="21"/>
                      <w:szCs w:val="21"/>
                    </w:rPr>
                  </w:pPr>
                </w:p>
              </w:tc>
            </w:tr>
          </w:tbl>
          <w:p>
            <w:pPr>
              <w:pStyle w:val="6"/>
              <w:adjustRightInd w:val="0"/>
              <w:snapToGrid w:val="0"/>
              <w:spacing w:before="163" w:beforeLines="50" w:after="0" w:afterLines="0"/>
              <w:rPr>
                <w:rFonts w:eastAsia="宋体"/>
                <w:b/>
                <w:bCs/>
                <w:color w:val="auto"/>
              </w:rPr>
            </w:pPr>
            <w:r>
              <w:rPr>
                <w:rFonts w:eastAsia="宋体"/>
                <w:b/>
                <w:bCs/>
                <w:color w:val="auto"/>
              </w:rPr>
              <w:t>10、评价等级及范围</w:t>
            </w:r>
          </w:p>
          <w:p>
            <w:pPr>
              <w:adjustRightInd w:val="0"/>
              <w:snapToGrid w:val="0"/>
              <w:spacing w:line="360" w:lineRule="auto"/>
              <w:ind w:firstLine="480" w:firstLineChars="200"/>
              <w:rPr>
                <w:rFonts w:ascii="Times New Roman" w:hAnsi="Times New Roman"/>
                <w:color w:val="auto"/>
                <w:kern w:val="0"/>
              </w:rPr>
            </w:pPr>
            <w:r>
              <w:rPr>
                <w:rFonts w:ascii="Times New Roman" w:hAnsi="Times New Roman"/>
                <w:color w:val="auto"/>
                <w:kern w:val="0"/>
              </w:rPr>
              <w:t>（1）评价等级</w:t>
            </w:r>
          </w:p>
          <w:p>
            <w:pPr>
              <w:pStyle w:val="12"/>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表1-6   环境影响评价等级及划分依据</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630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45" w:type="pct"/>
                  <w:tcBorders>
                    <w:tl2br w:val="nil"/>
                    <w:tr2bl w:val="nil"/>
                  </w:tcBorders>
                  <w:vAlign w:val="center"/>
                </w:tcPr>
                <w:p>
                  <w:pPr>
                    <w:pStyle w:val="93"/>
                    <w:snapToGrid w:val="0"/>
                    <w:spacing w:line="276" w:lineRule="auto"/>
                    <w:rPr>
                      <w:rFonts w:ascii="Times New Roman" w:hAnsi="Times New Roman" w:eastAsia="宋体"/>
                      <w:b/>
                      <w:bCs/>
                      <w:color w:val="auto"/>
                      <w:szCs w:val="21"/>
                    </w:rPr>
                  </w:pPr>
                  <w:r>
                    <w:rPr>
                      <w:rFonts w:ascii="Times New Roman" w:hAnsi="Times New Roman" w:eastAsia="宋体"/>
                      <w:b/>
                      <w:bCs/>
                      <w:color w:val="auto"/>
                      <w:szCs w:val="21"/>
                    </w:rPr>
                    <w:t>环境要素</w:t>
                  </w:r>
                </w:p>
              </w:tc>
              <w:tc>
                <w:tcPr>
                  <w:tcW w:w="3767" w:type="pct"/>
                  <w:tcBorders>
                    <w:tl2br w:val="nil"/>
                    <w:tr2bl w:val="nil"/>
                  </w:tcBorders>
                  <w:vAlign w:val="center"/>
                </w:tcPr>
                <w:p>
                  <w:pPr>
                    <w:pStyle w:val="93"/>
                    <w:snapToGrid w:val="0"/>
                    <w:spacing w:line="276" w:lineRule="auto"/>
                    <w:rPr>
                      <w:rFonts w:ascii="Times New Roman" w:hAnsi="Times New Roman" w:eastAsia="宋体"/>
                      <w:b/>
                      <w:bCs/>
                      <w:color w:val="auto"/>
                      <w:szCs w:val="21"/>
                    </w:rPr>
                  </w:pPr>
                  <w:r>
                    <w:rPr>
                      <w:rFonts w:ascii="Times New Roman" w:hAnsi="Times New Roman" w:eastAsia="宋体"/>
                      <w:b/>
                      <w:bCs/>
                      <w:color w:val="auto"/>
                      <w:szCs w:val="21"/>
                    </w:rPr>
                    <w:t>划分依据</w:t>
                  </w:r>
                </w:p>
              </w:tc>
              <w:tc>
                <w:tcPr>
                  <w:tcW w:w="488" w:type="pct"/>
                  <w:tcBorders>
                    <w:tl2br w:val="nil"/>
                    <w:tr2bl w:val="nil"/>
                  </w:tcBorders>
                  <w:vAlign w:val="center"/>
                </w:tcPr>
                <w:p>
                  <w:pPr>
                    <w:pStyle w:val="93"/>
                    <w:snapToGrid w:val="0"/>
                    <w:spacing w:line="276" w:lineRule="auto"/>
                    <w:rPr>
                      <w:rFonts w:ascii="Times New Roman" w:hAnsi="Times New Roman" w:eastAsia="宋体"/>
                      <w:b/>
                      <w:bCs/>
                      <w:color w:val="auto"/>
                      <w:szCs w:val="21"/>
                    </w:rPr>
                  </w:pPr>
                  <w:r>
                    <w:rPr>
                      <w:rFonts w:ascii="Times New Roman" w:hAnsi="Times New Roman" w:eastAsia="宋体"/>
                      <w:b/>
                      <w:bCs/>
                      <w:color w:val="auto"/>
                      <w:szCs w:val="21"/>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745" w:type="pct"/>
                  <w:tcBorders>
                    <w:tl2br w:val="nil"/>
                    <w:tr2bl w:val="nil"/>
                  </w:tcBorders>
                  <w:vAlign w:val="center"/>
                </w:tcPr>
                <w:p>
                  <w:pPr>
                    <w:pStyle w:val="93"/>
                    <w:snapToGrid w:val="0"/>
                    <w:spacing w:line="276" w:lineRule="auto"/>
                    <w:rPr>
                      <w:rFonts w:ascii="Times New Roman" w:hAnsi="Times New Roman" w:eastAsia="宋体"/>
                      <w:color w:val="auto"/>
                      <w:szCs w:val="21"/>
                    </w:rPr>
                  </w:pPr>
                  <w:r>
                    <w:rPr>
                      <w:rFonts w:ascii="Times New Roman" w:hAnsi="Times New Roman" w:eastAsia="宋体"/>
                      <w:color w:val="auto"/>
                      <w:szCs w:val="21"/>
                    </w:rPr>
                    <w:t>大气环境</w:t>
                  </w:r>
                </w:p>
              </w:tc>
              <w:tc>
                <w:tcPr>
                  <w:tcW w:w="3767" w:type="pct"/>
                  <w:tcBorders>
                    <w:tl2br w:val="nil"/>
                    <w:tr2bl w:val="nil"/>
                  </w:tcBorders>
                  <w:vAlign w:val="center"/>
                </w:tcPr>
                <w:p>
                  <w:pPr>
                    <w:pStyle w:val="93"/>
                    <w:snapToGrid w:val="0"/>
                    <w:spacing w:line="276" w:lineRule="auto"/>
                    <w:jc w:val="both"/>
                    <w:rPr>
                      <w:rFonts w:ascii="Times New Roman" w:hAnsi="Times New Roman" w:eastAsia="宋体"/>
                      <w:color w:val="auto"/>
                      <w:szCs w:val="21"/>
                    </w:rPr>
                  </w:pPr>
                  <w:r>
                    <w:rPr>
                      <w:rFonts w:ascii="Times New Roman" w:hAnsi="Times New Roman" w:eastAsia="宋体"/>
                      <w:color w:val="auto"/>
                      <w:szCs w:val="21"/>
                    </w:rPr>
                    <w:t>本工程为锅炉技改项目，项目主要大气污染物为锅炉烟气。根据《环境影响评价技术导则大气环境》（HJ2.2-2018）推荐的估算模式AERSCREEN对项目产生的废气进行预测，根据预测结果，</w:t>
                  </w:r>
                  <w:r>
                    <w:rPr>
                      <w:rFonts w:hint="default" w:ascii="Times New Roman" w:hAnsi="Times New Roman" w:eastAsia="宋体"/>
                      <w:color w:val="auto"/>
                      <w:szCs w:val="21"/>
                    </w:rPr>
                    <w:t>本项目</w:t>
                  </w:r>
                  <w:r>
                    <w:rPr>
                      <w:rFonts w:hint="default" w:ascii="Times New Roman" w:hAnsi="Times New Roman" w:eastAsia="宋体"/>
                      <w:color w:val="auto"/>
                      <w:szCs w:val="21"/>
                      <w:lang w:val="en-US" w:eastAsia="zh-CN"/>
                    </w:rPr>
                    <w:t>生物质燃料棚无组织颗粒物中PM</w:t>
                  </w:r>
                  <w:r>
                    <w:rPr>
                      <w:rFonts w:hint="default" w:ascii="Times New Roman" w:hAnsi="Times New Roman" w:eastAsia="宋体"/>
                      <w:color w:val="auto"/>
                      <w:szCs w:val="21"/>
                      <w:vertAlign w:val="subscript"/>
                      <w:lang w:val="en-US" w:eastAsia="zh-CN"/>
                    </w:rPr>
                    <w:t>10</w:t>
                  </w:r>
                  <w:r>
                    <w:rPr>
                      <w:rFonts w:hint="default" w:ascii="Times New Roman" w:hAnsi="Times New Roman" w:eastAsia="宋体"/>
                      <w:color w:val="auto"/>
                      <w:szCs w:val="21"/>
                      <w:lang w:val="en-US" w:eastAsia="zh-CN"/>
                    </w:rPr>
                    <w:t>及PM</w:t>
                  </w:r>
                  <w:r>
                    <w:rPr>
                      <w:rFonts w:hint="default" w:ascii="Times New Roman" w:hAnsi="Times New Roman" w:eastAsia="宋体"/>
                      <w:color w:val="auto"/>
                      <w:szCs w:val="21"/>
                      <w:vertAlign w:val="subscript"/>
                      <w:lang w:val="en-US" w:eastAsia="zh-CN"/>
                    </w:rPr>
                    <w:t>2.5</w:t>
                  </w:r>
                  <w:r>
                    <w:rPr>
                      <w:rFonts w:hint="default" w:ascii="Times New Roman" w:hAnsi="Times New Roman" w:eastAsia="宋体"/>
                      <w:color w:val="auto"/>
                      <w:szCs w:val="21"/>
                      <w:lang w:val="en-US" w:eastAsia="zh-CN"/>
                    </w:rPr>
                    <w:t>占标率最大，其</w:t>
                  </w:r>
                  <w:r>
                    <w:rPr>
                      <w:rFonts w:hint="default" w:ascii="Times New Roman" w:hAnsi="Times New Roman" w:eastAsia="宋体"/>
                      <w:color w:val="auto"/>
                      <w:szCs w:val="21"/>
                    </w:rPr>
                    <w:t>Pmax</w:t>
                  </w:r>
                  <w:r>
                    <w:rPr>
                      <w:rFonts w:hint="default" w:ascii="Times New Roman" w:hAnsi="Times New Roman" w:eastAsia="宋体"/>
                      <w:color w:val="auto"/>
                      <w:szCs w:val="21"/>
                      <w:lang w:eastAsia="zh-CN"/>
                    </w:rPr>
                    <w:t>均</w:t>
                  </w:r>
                  <w:r>
                    <w:rPr>
                      <w:rFonts w:hint="default" w:ascii="Times New Roman" w:hAnsi="Times New Roman" w:eastAsia="宋体"/>
                      <w:color w:val="auto"/>
                      <w:szCs w:val="21"/>
                    </w:rPr>
                    <w:t>为</w:t>
                  </w:r>
                  <w:r>
                    <w:rPr>
                      <w:rFonts w:hint="default" w:ascii="Times New Roman" w:hAnsi="Times New Roman" w:eastAsia="宋体"/>
                      <w:color w:val="auto"/>
                      <w:szCs w:val="21"/>
                      <w:lang w:val="en-US" w:eastAsia="zh-CN"/>
                    </w:rPr>
                    <w:t>123.09</w:t>
                  </w:r>
                  <w:r>
                    <w:rPr>
                      <w:rFonts w:hint="default" w:ascii="Times New Roman" w:hAnsi="Times New Roman" w:eastAsia="宋体"/>
                      <w:color w:val="auto"/>
                      <w:szCs w:val="21"/>
                    </w:rPr>
                    <w:t>%，根据《环境影响评价技术导则 大气环境》(HJ2.2-2018)分级判据，确定本项目大气环境影响评价工作等级为一级。</w:t>
                  </w:r>
                </w:p>
              </w:tc>
              <w:tc>
                <w:tcPr>
                  <w:tcW w:w="488" w:type="pct"/>
                  <w:tcBorders>
                    <w:tl2br w:val="nil"/>
                    <w:tr2bl w:val="nil"/>
                  </w:tcBorders>
                  <w:vAlign w:val="center"/>
                </w:tcPr>
                <w:p>
                  <w:pPr>
                    <w:pStyle w:val="93"/>
                    <w:snapToGrid w:val="0"/>
                    <w:spacing w:line="276" w:lineRule="auto"/>
                    <w:rPr>
                      <w:rFonts w:ascii="Times New Roman" w:hAnsi="Times New Roman" w:eastAsia="宋体"/>
                      <w:color w:val="auto"/>
                      <w:szCs w:val="21"/>
                    </w:rPr>
                  </w:pPr>
                  <w:r>
                    <w:rPr>
                      <w:rFonts w:ascii="Times New Roman" w:hAnsi="Times New Roman" w:eastAsia="宋体"/>
                      <w:color w:val="auto"/>
                      <w:szCs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45" w:type="pct"/>
                  <w:tcBorders>
                    <w:tl2br w:val="nil"/>
                    <w:tr2bl w:val="nil"/>
                  </w:tcBorders>
                  <w:vAlign w:val="center"/>
                </w:tcPr>
                <w:p>
                  <w:pPr>
                    <w:pStyle w:val="93"/>
                    <w:snapToGrid w:val="0"/>
                    <w:spacing w:line="276" w:lineRule="auto"/>
                    <w:rPr>
                      <w:rFonts w:ascii="Times New Roman" w:hAnsi="Times New Roman" w:eastAsia="宋体"/>
                      <w:color w:val="auto"/>
                      <w:szCs w:val="21"/>
                    </w:rPr>
                  </w:pPr>
                  <w:r>
                    <w:rPr>
                      <w:rFonts w:ascii="Times New Roman" w:hAnsi="Times New Roman" w:eastAsia="宋体"/>
                      <w:color w:val="auto"/>
                      <w:szCs w:val="21"/>
                    </w:rPr>
                    <w:t>地表水</w:t>
                  </w:r>
                </w:p>
                <w:p>
                  <w:pPr>
                    <w:pStyle w:val="93"/>
                    <w:snapToGrid w:val="0"/>
                    <w:spacing w:line="276" w:lineRule="auto"/>
                    <w:rPr>
                      <w:rFonts w:ascii="Times New Roman" w:hAnsi="Times New Roman" w:eastAsia="宋体"/>
                      <w:color w:val="auto"/>
                      <w:szCs w:val="21"/>
                    </w:rPr>
                  </w:pPr>
                  <w:r>
                    <w:rPr>
                      <w:rFonts w:ascii="Times New Roman" w:hAnsi="Times New Roman" w:eastAsia="宋体"/>
                      <w:color w:val="auto"/>
                      <w:szCs w:val="21"/>
                    </w:rPr>
                    <w:t>环境</w:t>
                  </w:r>
                </w:p>
              </w:tc>
              <w:tc>
                <w:tcPr>
                  <w:tcW w:w="3767" w:type="pct"/>
                  <w:tcBorders>
                    <w:tl2br w:val="nil"/>
                    <w:tr2bl w:val="nil"/>
                  </w:tcBorders>
                  <w:vAlign w:val="center"/>
                </w:tcPr>
                <w:p>
                  <w:pPr>
                    <w:pStyle w:val="93"/>
                    <w:snapToGrid w:val="0"/>
                    <w:spacing w:line="276" w:lineRule="auto"/>
                    <w:jc w:val="both"/>
                    <w:rPr>
                      <w:rFonts w:ascii="Times New Roman" w:hAnsi="Times New Roman" w:eastAsia="宋体"/>
                      <w:color w:val="auto"/>
                      <w:szCs w:val="21"/>
                    </w:rPr>
                  </w:pPr>
                  <w:r>
                    <w:rPr>
                      <w:rFonts w:hint="eastAsia" w:ascii="Times New Roman" w:hAnsi="Times New Roman" w:eastAsia="宋体"/>
                      <w:bCs/>
                      <w:color w:val="auto"/>
                      <w:kern w:val="2"/>
                      <w:szCs w:val="21"/>
                    </w:rPr>
                    <w:t>技改项目为污染影响类项目，</w:t>
                  </w:r>
                  <w:r>
                    <w:rPr>
                      <w:rFonts w:ascii="Times New Roman" w:hAnsi="Times New Roman" w:eastAsia="宋体"/>
                      <w:bCs/>
                      <w:color w:val="auto"/>
                      <w:kern w:val="2"/>
                      <w:szCs w:val="21"/>
                    </w:rPr>
                    <w:t>项目运行期产生的废水</w:t>
                  </w:r>
                  <w:r>
                    <w:rPr>
                      <w:rFonts w:hint="eastAsia" w:ascii="Times New Roman" w:hAnsi="Times New Roman" w:eastAsia="宋体"/>
                      <w:bCs/>
                      <w:color w:val="auto"/>
                      <w:kern w:val="2"/>
                      <w:szCs w:val="21"/>
                      <w:lang w:eastAsia="zh-CN"/>
                    </w:rPr>
                    <w:t>主要为锅炉排污水，直接作为</w:t>
                  </w:r>
                  <w:r>
                    <w:rPr>
                      <w:rFonts w:ascii="Times New Roman" w:hAnsi="Times New Roman" w:eastAsia="宋体"/>
                      <w:bCs/>
                      <w:color w:val="auto"/>
                      <w:kern w:val="2"/>
                      <w:szCs w:val="21"/>
                    </w:rPr>
                    <w:t>宜良明丰造纸厂</w:t>
                  </w:r>
                  <w:r>
                    <w:rPr>
                      <w:rFonts w:hint="eastAsia" w:ascii="Times New Roman" w:hAnsi="Times New Roman" w:eastAsia="宋体"/>
                      <w:bCs/>
                      <w:color w:val="auto"/>
                      <w:kern w:val="2"/>
                      <w:szCs w:val="21"/>
                    </w:rPr>
                    <w:t>现有</w:t>
                  </w:r>
                  <w:r>
                    <w:rPr>
                      <w:rFonts w:ascii="Times New Roman" w:hAnsi="Times New Roman" w:eastAsia="宋体"/>
                      <w:bCs/>
                      <w:color w:val="auto"/>
                      <w:kern w:val="2"/>
                      <w:szCs w:val="21"/>
                    </w:rPr>
                    <w:t>造纸工段</w:t>
                  </w:r>
                  <w:r>
                    <w:rPr>
                      <w:rFonts w:hint="eastAsia" w:ascii="Times New Roman" w:hAnsi="Times New Roman" w:eastAsia="宋体"/>
                      <w:bCs/>
                      <w:color w:val="auto"/>
                      <w:kern w:val="2"/>
                      <w:szCs w:val="21"/>
                      <w:lang w:eastAsia="zh-CN"/>
                    </w:rPr>
                    <w:t>工艺用水回用</w:t>
                  </w:r>
                  <w:r>
                    <w:rPr>
                      <w:rFonts w:ascii="Times New Roman" w:hAnsi="Times New Roman" w:eastAsia="宋体"/>
                      <w:bCs/>
                      <w:color w:val="auto"/>
                      <w:kern w:val="2"/>
                      <w:szCs w:val="21"/>
                    </w:rPr>
                    <w:t>，不外排。根据《</w:t>
                  </w:r>
                  <w:r>
                    <w:rPr>
                      <w:rFonts w:ascii="Times New Roman" w:hAnsi="Times New Roman" w:eastAsia="宋体"/>
                      <w:color w:val="auto"/>
                      <w:szCs w:val="21"/>
                    </w:rPr>
                    <w:t>环境影响评价技术导则 地表水环境</w:t>
                  </w:r>
                  <w:r>
                    <w:rPr>
                      <w:rFonts w:ascii="Times New Roman" w:hAnsi="Times New Roman" w:eastAsia="宋体"/>
                      <w:bCs/>
                      <w:color w:val="auto"/>
                      <w:kern w:val="2"/>
                      <w:szCs w:val="21"/>
                    </w:rPr>
                    <w:t>》（HJ2.3-2018）本次评价等级为三级B。</w:t>
                  </w:r>
                </w:p>
              </w:tc>
              <w:tc>
                <w:tcPr>
                  <w:tcW w:w="488" w:type="pct"/>
                  <w:tcBorders>
                    <w:tl2br w:val="nil"/>
                    <w:tr2bl w:val="nil"/>
                  </w:tcBorders>
                  <w:vAlign w:val="center"/>
                </w:tcPr>
                <w:p>
                  <w:pPr>
                    <w:pStyle w:val="93"/>
                    <w:snapToGrid w:val="0"/>
                    <w:spacing w:line="276" w:lineRule="auto"/>
                    <w:rPr>
                      <w:rFonts w:ascii="Times New Roman" w:hAnsi="Times New Roman" w:eastAsia="宋体"/>
                      <w:color w:val="auto"/>
                      <w:szCs w:val="21"/>
                    </w:rPr>
                  </w:pPr>
                  <w:r>
                    <w:rPr>
                      <w:rFonts w:ascii="Times New Roman" w:hAnsi="Times New Roman" w:eastAsia="宋体"/>
                      <w:bCs/>
                      <w:color w:val="auto"/>
                      <w:kern w:val="2"/>
                      <w:szCs w:val="21"/>
                    </w:rPr>
                    <w:t>三级B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45" w:type="pct"/>
                  <w:tcBorders>
                    <w:tl2br w:val="nil"/>
                    <w:tr2bl w:val="nil"/>
                  </w:tcBorders>
                  <w:vAlign w:val="center"/>
                </w:tcPr>
                <w:p>
                  <w:pPr>
                    <w:pStyle w:val="93"/>
                    <w:snapToGrid w:val="0"/>
                    <w:spacing w:line="276" w:lineRule="auto"/>
                    <w:rPr>
                      <w:rFonts w:ascii="Times New Roman" w:hAnsi="Times New Roman" w:eastAsia="宋体"/>
                      <w:color w:val="auto"/>
                      <w:szCs w:val="21"/>
                    </w:rPr>
                  </w:pPr>
                  <w:r>
                    <w:rPr>
                      <w:rFonts w:ascii="Times New Roman" w:hAnsi="Times New Roman" w:eastAsia="宋体"/>
                      <w:color w:val="auto"/>
                      <w:szCs w:val="21"/>
                    </w:rPr>
                    <w:t>地下水</w:t>
                  </w:r>
                </w:p>
                <w:p>
                  <w:pPr>
                    <w:pStyle w:val="93"/>
                    <w:snapToGrid w:val="0"/>
                    <w:spacing w:line="276" w:lineRule="auto"/>
                    <w:rPr>
                      <w:rFonts w:ascii="Times New Roman" w:hAnsi="Times New Roman" w:eastAsia="宋体"/>
                      <w:color w:val="auto"/>
                      <w:szCs w:val="21"/>
                    </w:rPr>
                  </w:pPr>
                  <w:r>
                    <w:rPr>
                      <w:rFonts w:ascii="Times New Roman" w:hAnsi="Times New Roman" w:eastAsia="宋体"/>
                      <w:color w:val="auto"/>
                      <w:szCs w:val="21"/>
                    </w:rPr>
                    <w:t>环境</w:t>
                  </w:r>
                </w:p>
              </w:tc>
              <w:tc>
                <w:tcPr>
                  <w:tcW w:w="3767" w:type="pct"/>
                  <w:tcBorders>
                    <w:tl2br w:val="nil"/>
                    <w:tr2bl w:val="nil"/>
                  </w:tcBorders>
                  <w:vAlign w:val="center"/>
                </w:tcPr>
                <w:p>
                  <w:pPr>
                    <w:pStyle w:val="93"/>
                    <w:snapToGrid w:val="0"/>
                    <w:spacing w:line="276" w:lineRule="auto"/>
                    <w:jc w:val="both"/>
                    <w:rPr>
                      <w:rFonts w:ascii="Times New Roman" w:hAnsi="Times New Roman" w:eastAsia="宋体"/>
                      <w:color w:val="auto"/>
                      <w:szCs w:val="21"/>
                    </w:rPr>
                  </w:pPr>
                  <w:r>
                    <w:rPr>
                      <w:rFonts w:ascii="Times New Roman" w:hAnsi="Times New Roman" w:eastAsia="宋体"/>
                      <w:color w:val="auto"/>
                      <w:szCs w:val="21"/>
                    </w:rPr>
                    <w:t>本项目为锅炉</w:t>
                  </w:r>
                  <w:r>
                    <w:rPr>
                      <w:rFonts w:hint="eastAsia" w:ascii="Times New Roman" w:hAnsi="Times New Roman" w:eastAsia="宋体"/>
                      <w:color w:val="auto"/>
                      <w:szCs w:val="21"/>
                    </w:rPr>
                    <w:t>技改</w:t>
                  </w:r>
                  <w:r>
                    <w:rPr>
                      <w:rFonts w:ascii="Times New Roman" w:hAnsi="Times New Roman" w:eastAsia="宋体"/>
                      <w:color w:val="auto"/>
                      <w:szCs w:val="21"/>
                    </w:rPr>
                    <w:t>项目，根据《环境影响评价技术导则 地下水环境》（HJ610-2016），本工程属于</w:t>
                  </w:r>
                  <w:r>
                    <w:rPr>
                      <w:rFonts w:hint="eastAsia" w:ascii="宋体" w:hAnsi="宋体" w:eastAsia="宋体" w:cs="宋体"/>
                      <w:color w:val="auto"/>
                      <w:szCs w:val="21"/>
                    </w:rPr>
                    <w:t>Ⅳ</w:t>
                  </w:r>
                  <w:r>
                    <w:rPr>
                      <w:rFonts w:ascii="Times New Roman" w:hAnsi="Times New Roman" w:eastAsia="宋体"/>
                      <w:color w:val="auto"/>
                      <w:szCs w:val="21"/>
                    </w:rPr>
                    <w:t>类项目，不需展开地下水评价</w:t>
                  </w:r>
                  <w:r>
                    <w:rPr>
                      <w:rFonts w:ascii="Times New Roman" w:hAnsi="Times New Roman" w:eastAsia="宋体"/>
                      <w:bCs/>
                      <w:color w:val="auto"/>
                      <w:szCs w:val="21"/>
                    </w:rPr>
                    <w:t>。</w:t>
                  </w:r>
                </w:p>
              </w:tc>
              <w:tc>
                <w:tcPr>
                  <w:tcW w:w="488" w:type="pct"/>
                  <w:tcBorders>
                    <w:tl2br w:val="nil"/>
                    <w:tr2bl w:val="nil"/>
                  </w:tcBorders>
                  <w:vAlign w:val="center"/>
                </w:tcPr>
                <w:p>
                  <w:pPr>
                    <w:pStyle w:val="93"/>
                    <w:snapToGrid w:val="0"/>
                    <w:spacing w:line="276" w:lineRule="auto"/>
                    <w:rPr>
                      <w:rFonts w:ascii="Times New Roman" w:hAnsi="Times New Roman" w:eastAsia="宋体"/>
                      <w:color w:val="auto"/>
                      <w:szCs w:val="21"/>
                    </w:rPr>
                  </w:pPr>
                  <w:r>
                    <w:rPr>
                      <w:rFonts w:ascii="Times New Roman" w:hAnsi="Times New Roman" w:eastAsia="宋体"/>
                      <w:color w:val="auto"/>
                      <w:szCs w:val="21"/>
                    </w:rPr>
                    <w:t>不设评价等级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745" w:type="pct"/>
                  <w:tcBorders>
                    <w:tl2br w:val="nil"/>
                    <w:tr2bl w:val="nil"/>
                  </w:tcBorders>
                  <w:vAlign w:val="center"/>
                </w:tcPr>
                <w:p>
                  <w:pPr>
                    <w:pStyle w:val="93"/>
                    <w:snapToGrid w:val="0"/>
                    <w:spacing w:line="276" w:lineRule="auto"/>
                    <w:rPr>
                      <w:rFonts w:ascii="Times New Roman" w:hAnsi="Times New Roman" w:eastAsia="宋体"/>
                      <w:color w:val="auto"/>
                      <w:szCs w:val="21"/>
                    </w:rPr>
                  </w:pPr>
                  <w:r>
                    <w:rPr>
                      <w:rFonts w:ascii="Times New Roman" w:hAnsi="Times New Roman" w:eastAsia="宋体"/>
                      <w:color w:val="auto"/>
                      <w:szCs w:val="21"/>
                    </w:rPr>
                    <w:t>声环境</w:t>
                  </w:r>
                </w:p>
              </w:tc>
              <w:tc>
                <w:tcPr>
                  <w:tcW w:w="3767" w:type="pct"/>
                  <w:tcBorders>
                    <w:tl2br w:val="nil"/>
                    <w:tr2bl w:val="nil"/>
                  </w:tcBorders>
                  <w:vAlign w:val="center"/>
                </w:tcPr>
                <w:p>
                  <w:pPr>
                    <w:pStyle w:val="93"/>
                    <w:snapToGrid w:val="0"/>
                    <w:spacing w:line="276" w:lineRule="auto"/>
                    <w:jc w:val="both"/>
                    <w:rPr>
                      <w:rFonts w:ascii="Times New Roman" w:hAnsi="Times New Roman" w:eastAsia="宋体"/>
                      <w:color w:val="auto"/>
                      <w:szCs w:val="21"/>
                    </w:rPr>
                  </w:pPr>
                  <w:r>
                    <w:rPr>
                      <w:rFonts w:ascii="Times New Roman" w:hAnsi="Times New Roman" w:eastAsia="宋体"/>
                      <w:bCs/>
                      <w:color w:val="auto"/>
                      <w:szCs w:val="21"/>
                    </w:rPr>
                    <w:t>项目位农村和工业混合区，根据《声环境功能区划分技术规范》（GB/T15190-2014），属于2类声功能区。根据现场踏勘了解情况，项目周边200m范围内敏感目标仅有几户散户，且经预测分析可知，项目建设前后评价范围内噪声级增量</w:t>
                  </w:r>
                  <w:r>
                    <w:rPr>
                      <w:rFonts w:hint="eastAsia" w:ascii="Times New Roman" w:hAnsi="Times New Roman" w:eastAsia="宋体"/>
                      <w:bCs/>
                      <w:color w:val="auto"/>
                      <w:szCs w:val="21"/>
                    </w:rPr>
                    <w:t>在3</w:t>
                  </w:r>
                  <w:r>
                    <w:rPr>
                      <w:rFonts w:ascii="Times New Roman" w:hAnsi="Times New Roman" w:eastAsia="宋体"/>
                      <w:bCs/>
                      <w:color w:val="auto"/>
                      <w:szCs w:val="21"/>
                    </w:rPr>
                    <w:t>dB</w:t>
                  </w:r>
                  <w:r>
                    <w:rPr>
                      <w:rFonts w:hint="eastAsia" w:ascii="Times New Roman" w:hAnsi="Times New Roman" w:eastAsia="宋体"/>
                      <w:bCs/>
                      <w:color w:val="auto"/>
                      <w:szCs w:val="21"/>
                    </w:rPr>
                    <w:t>(</w:t>
                  </w:r>
                  <w:r>
                    <w:rPr>
                      <w:rFonts w:ascii="Times New Roman" w:hAnsi="Times New Roman" w:eastAsia="宋体"/>
                      <w:bCs/>
                      <w:color w:val="auto"/>
                      <w:szCs w:val="21"/>
                    </w:rPr>
                    <w:t>A</w:t>
                  </w:r>
                  <w:r>
                    <w:rPr>
                      <w:rFonts w:hint="eastAsia" w:ascii="Times New Roman" w:hAnsi="Times New Roman" w:eastAsia="宋体"/>
                      <w:bCs/>
                      <w:color w:val="auto"/>
                      <w:szCs w:val="21"/>
                    </w:rPr>
                    <w:t>)以内</w:t>
                  </w:r>
                  <w:r>
                    <w:rPr>
                      <w:rFonts w:ascii="Times New Roman" w:hAnsi="Times New Roman" w:eastAsia="宋体"/>
                      <w:bCs/>
                      <w:color w:val="auto"/>
                      <w:szCs w:val="21"/>
                    </w:rPr>
                    <w:t>，根据《环境影响评价技术导则 声环境》（HJ2.4-2</w:t>
                  </w:r>
                  <w:r>
                    <w:rPr>
                      <w:rFonts w:ascii="Times New Roman" w:hAnsi="Times New Roman" w:eastAsia="宋体"/>
                      <w:bCs/>
                      <w:color w:val="auto"/>
                      <w:szCs w:val="21"/>
                    </w:rPr>
                    <w:t>009），</w:t>
                  </w:r>
                  <w:r>
                    <w:rPr>
                      <w:rFonts w:ascii="Times New Roman" w:hAnsi="Times New Roman" w:eastAsia="宋体"/>
                      <w:color w:val="auto"/>
                      <w:szCs w:val="21"/>
                    </w:rPr>
                    <w:t>确定本项目声环境评价等级为二级。</w:t>
                  </w:r>
                </w:p>
              </w:tc>
              <w:tc>
                <w:tcPr>
                  <w:tcW w:w="488" w:type="pct"/>
                  <w:tcBorders>
                    <w:tl2br w:val="nil"/>
                    <w:tr2bl w:val="nil"/>
                  </w:tcBorders>
                  <w:vAlign w:val="center"/>
                </w:tcPr>
                <w:p>
                  <w:pPr>
                    <w:pStyle w:val="93"/>
                    <w:snapToGrid w:val="0"/>
                    <w:spacing w:line="276" w:lineRule="auto"/>
                    <w:rPr>
                      <w:rFonts w:ascii="Times New Roman" w:hAnsi="Times New Roman" w:eastAsia="宋体"/>
                      <w:color w:val="auto"/>
                      <w:szCs w:val="21"/>
                    </w:rPr>
                  </w:pPr>
                  <w:r>
                    <w:rPr>
                      <w:rFonts w:ascii="Times New Roman" w:hAnsi="Times New Roman" w:eastAsia="宋体"/>
                      <w:color w:val="auto"/>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45" w:type="pct"/>
                  <w:tcBorders>
                    <w:tl2br w:val="nil"/>
                    <w:tr2bl w:val="nil"/>
                  </w:tcBorders>
                  <w:vAlign w:val="center"/>
                </w:tcPr>
                <w:p>
                  <w:pPr>
                    <w:pStyle w:val="93"/>
                    <w:snapToGrid w:val="0"/>
                    <w:spacing w:line="276" w:lineRule="auto"/>
                    <w:rPr>
                      <w:rFonts w:ascii="Times New Roman" w:hAnsi="Times New Roman" w:eastAsia="宋体"/>
                      <w:color w:val="auto"/>
                      <w:szCs w:val="21"/>
                    </w:rPr>
                  </w:pPr>
                  <w:r>
                    <w:rPr>
                      <w:rFonts w:ascii="Times New Roman" w:hAnsi="Times New Roman" w:eastAsia="宋体"/>
                      <w:color w:val="auto"/>
                      <w:szCs w:val="21"/>
                    </w:rPr>
                    <w:t>生态环境</w:t>
                  </w:r>
                </w:p>
              </w:tc>
              <w:tc>
                <w:tcPr>
                  <w:tcW w:w="3767" w:type="pct"/>
                  <w:tcBorders>
                    <w:tl2br w:val="nil"/>
                    <w:tr2bl w:val="nil"/>
                  </w:tcBorders>
                  <w:vAlign w:val="center"/>
                </w:tcPr>
                <w:p>
                  <w:pPr>
                    <w:pStyle w:val="93"/>
                    <w:snapToGrid w:val="0"/>
                    <w:spacing w:line="276" w:lineRule="auto"/>
                    <w:jc w:val="both"/>
                    <w:rPr>
                      <w:rFonts w:ascii="Times New Roman" w:hAnsi="Times New Roman" w:eastAsia="宋体"/>
                      <w:color w:val="auto"/>
                      <w:szCs w:val="21"/>
                    </w:rPr>
                  </w:pPr>
                  <w:r>
                    <w:rPr>
                      <w:rFonts w:ascii="Times New Roman" w:hAnsi="Times New Roman" w:eastAsia="宋体"/>
                      <w:color w:val="auto"/>
                      <w:szCs w:val="21"/>
                    </w:rPr>
                    <w:t>本项目</w:t>
                  </w:r>
                  <w:r>
                    <w:rPr>
                      <w:rFonts w:hint="eastAsia" w:ascii="Times New Roman" w:hAnsi="Times New Roman" w:eastAsia="宋体"/>
                      <w:color w:val="auto"/>
                      <w:szCs w:val="21"/>
                    </w:rPr>
                    <w:t>为技改项目，在现有</w:t>
                  </w:r>
                  <w:r>
                    <w:rPr>
                      <w:rFonts w:ascii="Times New Roman" w:hAnsi="Times New Roman" w:eastAsia="宋体"/>
                      <w:color w:val="auto"/>
                      <w:szCs w:val="21"/>
                    </w:rPr>
                    <w:t>场地内</w:t>
                  </w:r>
                  <w:r>
                    <w:rPr>
                      <w:rFonts w:hint="eastAsia" w:ascii="Times New Roman" w:hAnsi="Times New Roman" w:eastAsia="宋体"/>
                      <w:color w:val="auto"/>
                      <w:szCs w:val="21"/>
                    </w:rPr>
                    <w:t>建设运行</w:t>
                  </w:r>
                  <w:r>
                    <w:rPr>
                      <w:rFonts w:ascii="Times New Roman" w:hAnsi="Times New Roman" w:eastAsia="宋体"/>
                      <w:color w:val="auto"/>
                      <w:szCs w:val="21"/>
                    </w:rPr>
                    <w:t>，</w:t>
                  </w:r>
                  <w:r>
                    <w:rPr>
                      <w:rFonts w:hint="eastAsia" w:ascii="Times New Roman" w:hAnsi="Times New Roman" w:eastAsia="宋体"/>
                      <w:color w:val="auto"/>
                      <w:szCs w:val="21"/>
                    </w:rPr>
                    <w:t>不新增占地，</w:t>
                  </w:r>
                  <w:r>
                    <w:rPr>
                      <w:rFonts w:ascii="Times New Roman" w:hAnsi="Times New Roman" w:eastAsia="宋体"/>
                      <w:color w:val="auto"/>
                      <w:szCs w:val="21"/>
                    </w:rPr>
                    <w:t>根据《环境影响评价技术导则 生态影响》（HJ19-2011）本项目不设评价等级，仅进行生态影响分析。</w:t>
                  </w:r>
                </w:p>
              </w:tc>
              <w:tc>
                <w:tcPr>
                  <w:tcW w:w="488" w:type="pct"/>
                  <w:tcBorders>
                    <w:tl2br w:val="nil"/>
                    <w:tr2bl w:val="nil"/>
                  </w:tcBorders>
                  <w:vAlign w:val="center"/>
                </w:tcPr>
                <w:p>
                  <w:pPr>
                    <w:pStyle w:val="93"/>
                    <w:snapToGrid w:val="0"/>
                    <w:spacing w:line="276" w:lineRule="auto"/>
                    <w:rPr>
                      <w:rFonts w:ascii="Times New Roman" w:hAnsi="Times New Roman" w:eastAsia="宋体"/>
                      <w:color w:val="auto"/>
                      <w:szCs w:val="21"/>
                    </w:rPr>
                  </w:pPr>
                  <w:r>
                    <w:rPr>
                      <w:rFonts w:ascii="Times New Roman" w:hAnsi="Times New Roman" w:eastAsia="宋体"/>
                      <w:color w:val="auto"/>
                      <w:szCs w:val="21"/>
                    </w:rPr>
                    <w:t>不设评价等级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45" w:type="pct"/>
                  <w:tcBorders>
                    <w:tl2br w:val="nil"/>
                    <w:tr2bl w:val="nil"/>
                  </w:tcBorders>
                  <w:vAlign w:val="center"/>
                </w:tcPr>
                <w:p>
                  <w:pPr>
                    <w:pStyle w:val="93"/>
                    <w:snapToGrid w:val="0"/>
                    <w:spacing w:line="276" w:lineRule="auto"/>
                    <w:rPr>
                      <w:rFonts w:ascii="Times New Roman" w:hAnsi="Times New Roman" w:eastAsia="宋体"/>
                      <w:color w:val="auto"/>
                      <w:szCs w:val="21"/>
                    </w:rPr>
                  </w:pPr>
                  <w:r>
                    <w:rPr>
                      <w:rFonts w:ascii="Times New Roman" w:hAnsi="Times New Roman" w:eastAsia="宋体"/>
                      <w:color w:val="auto"/>
                      <w:szCs w:val="21"/>
                    </w:rPr>
                    <w:t>土壤环境</w:t>
                  </w:r>
                </w:p>
              </w:tc>
              <w:tc>
                <w:tcPr>
                  <w:tcW w:w="3767" w:type="pct"/>
                  <w:tcBorders>
                    <w:tl2br w:val="nil"/>
                    <w:tr2bl w:val="nil"/>
                  </w:tcBorders>
                  <w:vAlign w:val="center"/>
                </w:tcPr>
                <w:p>
                  <w:pPr>
                    <w:pStyle w:val="93"/>
                    <w:snapToGrid w:val="0"/>
                    <w:spacing w:line="276" w:lineRule="auto"/>
                    <w:jc w:val="both"/>
                    <w:rPr>
                      <w:rFonts w:ascii="Times New Roman" w:hAnsi="Times New Roman" w:eastAsia="宋体"/>
                      <w:color w:val="auto"/>
                      <w:szCs w:val="21"/>
                    </w:rPr>
                  </w:pPr>
                  <w:r>
                    <w:rPr>
                      <w:rFonts w:ascii="Times New Roman" w:hAnsi="Times New Roman" w:eastAsia="宋体"/>
                      <w:color w:val="auto"/>
                      <w:szCs w:val="21"/>
                    </w:rPr>
                    <w:t>本项目为原有锅炉的技改，根据《环境影响评价技术导则 土壤环境（试行）》（HJ964-2018），本项目属于</w:t>
                  </w:r>
                  <w:r>
                    <w:rPr>
                      <w:rFonts w:hint="eastAsia" w:ascii="宋体" w:hAnsi="宋体" w:eastAsia="宋体" w:cs="宋体"/>
                      <w:color w:val="auto"/>
                      <w:szCs w:val="21"/>
                    </w:rPr>
                    <w:t>Ⅳ</w:t>
                  </w:r>
                  <w:r>
                    <w:rPr>
                      <w:rFonts w:ascii="Times New Roman" w:hAnsi="Times New Roman" w:eastAsia="宋体"/>
                      <w:color w:val="auto"/>
                      <w:szCs w:val="21"/>
                    </w:rPr>
                    <w:t>类项目，不需开展土壤评价。</w:t>
                  </w:r>
                </w:p>
              </w:tc>
              <w:tc>
                <w:tcPr>
                  <w:tcW w:w="488" w:type="pct"/>
                  <w:tcBorders>
                    <w:tl2br w:val="nil"/>
                    <w:tr2bl w:val="nil"/>
                  </w:tcBorders>
                  <w:vAlign w:val="center"/>
                </w:tcPr>
                <w:p>
                  <w:pPr>
                    <w:pStyle w:val="93"/>
                    <w:snapToGrid w:val="0"/>
                    <w:spacing w:line="276" w:lineRule="auto"/>
                    <w:rPr>
                      <w:rFonts w:ascii="Times New Roman" w:hAnsi="Times New Roman" w:eastAsia="宋体"/>
                      <w:color w:val="auto"/>
                      <w:szCs w:val="21"/>
                    </w:rPr>
                  </w:pPr>
                  <w:r>
                    <w:rPr>
                      <w:rFonts w:ascii="Times New Roman" w:hAnsi="Times New Roman" w:eastAsia="宋体"/>
                      <w:color w:val="auto"/>
                      <w:szCs w:val="21"/>
                    </w:rPr>
                    <w:t>不设评价等级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745" w:type="pct"/>
                  <w:tcBorders>
                    <w:tl2br w:val="nil"/>
                    <w:tr2bl w:val="nil"/>
                  </w:tcBorders>
                  <w:vAlign w:val="center"/>
                </w:tcPr>
                <w:p>
                  <w:pPr>
                    <w:pStyle w:val="93"/>
                    <w:snapToGrid w:val="0"/>
                    <w:spacing w:line="276" w:lineRule="auto"/>
                    <w:rPr>
                      <w:rFonts w:ascii="Times New Roman" w:hAnsi="Times New Roman" w:eastAsia="宋体"/>
                      <w:color w:val="auto"/>
                      <w:szCs w:val="21"/>
                    </w:rPr>
                  </w:pPr>
                  <w:r>
                    <w:rPr>
                      <w:rFonts w:ascii="Times New Roman" w:hAnsi="Times New Roman" w:eastAsia="宋体"/>
                      <w:color w:val="auto"/>
                      <w:szCs w:val="21"/>
                    </w:rPr>
                    <w:t>环境风险</w:t>
                  </w:r>
                </w:p>
              </w:tc>
              <w:tc>
                <w:tcPr>
                  <w:tcW w:w="3767" w:type="pct"/>
                  <w:tcBorders>
                    <w:tl2br w:val="nil"/>
                    <w:tr2bl w:val="nil"/>
                  </w:tcBorders>
                  <w:vAlign w:val="center"/>
                </w:tcPr>
                <w:p>
                  <w:pPr>
                    <w:pStyle w:val="93"/>
                    <w:snapToGrid w:val="0"/>
                    <w:spacing w:line="276" w:lineRule="auto"/>
                    <w:jc w:val="both"/>
                    <w:rPr>
                      <w:rFonts w:ascii="Times New Roman" w:hAnsi="Times New Roman" w:eastAsia="宋体"/>
                      <w:color w:val="auto"/>
                      <w:szCs w:val="21"/>
                    </w:rPr>
                  </w:pPr>
                  <w:r>
                    <w:rPr>
                      <w:rFonts w:ascii="Times New Roman" w:hAnsi="Times New Roman" w:eastAsia="宋体"/>
                      <w:color w:val="auto"/>
                      <w:szCs w:val="21"/>
                    </w:rPr>
                    <w:t>本工程为锅炉技改建设项目，根据《建设项目环境风险评价技术导则》（HJ169-2018），本项目涉及</w:t>
                  </w:r>
                  <w:r>
                    <w:rPr>
                      <w:rFonts w:hint="eastAsia" w:ascii="Times New Roman" w:hAnsi="Times New Roman" w:eastAsia="宋体"/>
                      <w:color w:val="auto"/>
                      <w:szCs w:val="21"/>
                    </w:rPr>
                    <w:t>的</w:t>
                  </w:r>
                  <w:r>
                    <w:rPr>
                      <w:rFonts w:ascii="Times New Roman" w:hAnsi="Times New Roman" w:eastAsia="宋体"/>
                      <w:color w:val="auto"/>
                      <w:szCs w:val="21"/>
                    </w:rPr>
                    <w:t>风险物质</w:t>
                  </w:r>
                  <w:r>
                    <w:rPr>
                      <w:rFonts w:hint="eastAsia" w:ascii="Times New Roman" w:hAnsi="Times New Roman" w:eastAsia="宋体"/>
                      <w:color w:val="auto"/>
                      <w:szCs w:val="21"/>
                    </w:rPr>
                    <w:t>仅为锅炉烟气中的SO</w:t>
                  </w:r>
                  <w:r>
                    <w:rPr>
                      <w:rFonts w:ascii="Times New Roman" w:hAnsi="Times New Roman" w:eastAsia="宋体"/>
                      <w:color w:val="auto"/>
                      <w:szCs w:val="21"/>
                      <w:vertAlign w:val="subscript"/>
                    </w:rPr>
                    <w:t>2</w:t>
                  </w:r>
                  <w:r>
                    <w:rPr>
                      <w:rFonts w:hint="eastAsia" w:ascii="Times New Roman" w:hAnsi="Times New Roman" w:eastAsia="宋体"/>
                      <w:color w:val="auto"/>
                      <w:szCs w:val="21"/>
                    </w:rPr>
                    <w:t>和NO</w:t>
                  </w:r>
                  <w:r>
                    <w:rPr>
                      <w:rFonts w:hint="eastAsia" w:ascii="Times New Roman" w:hAnsi="Times New Roman" w:eastAsia="宋体"/>
                      <w:color w:val="auto"/>
                      <w:szCs w:val="21"/>
                      <w:vertAlign w:val="subscript"/>
                    </w:rPr>
                    <w:t>X</w:t>
                  </w:r>
                  <w:r>
                    <w:rPr>
                      <w:rFonts w:ascii="Times New Roman" w:hAnsi="Times New Roman" w:eastAsia="宋体"/>
                      <w:color w:val="auto"/>
                      <w:szCs w:val="21"/>
                    </w:rPr>
                    <w:t>，</w:t>
                  </w:r>
                  <w:r>
                    <w:rPr>
                      <w:rFonts w:hint="eastAsia" w:ascii="Times New Roman" w:hAnsi="Times New Roman" w:eastAsia="宋体"/>
                      <w:color w:val="auto"/>
                      <w:szCs w:val="21"/>
                    </w:rPr>
                    <w:t>可不计入Q值计算，</w:t>
                  </w:r>
                  <w:r>
                    <w:rPr>
                      <w:rFonts w:ascii="Times New Roman" w:hAnsi="Times New Roman" w:eastAsia="宋体"/>
                      <w:color w:val="auto"/>
                      <w:szCs w:val="21"/>
                    </w:rPr>
                    <w:t>不</w:t>
                  </w:r>
                  <w:r>
                    <w:rPr>
                      <w:rFonts w:hint="eastAsia" w:ascii="Times New Roman" w:hAnsi="Times New Roman" w:eastAsia="宋体"/>
                      <w:color w:val="auto"/>
                      <w:szCs w:val="21"/>
                    </w:rPr>
                    <w:t>开展环境风险评价</w:t>
                  </w:r>
                  <w:r>
                    <w:rPr>
                      <w:rFonts w:ascii="Times New Roman" w:hAnsi="Times New Roman" w:eastAsia="宋体"/>
                      <w:color w:val="auto"/>
                      <w:szCs w:val="21"/>
                    </w:rPr>
                    <w:t>。</w:t>
                  </w:r>
                </w:p>
              </w:tc>
              <w:tc>
                <w:tcPr>
                  <w:tcW w:w="488" w:type="pct"/>
                  <w:tcBorders>
                    <w:tl2br w:val="nil"/>
                    <w:tr2bl w:val="nil"/>
                  </w:tcBorders>
                  <w:vAlign w:val="center"/>
                </w:tcPr>
                <w:p>
                  <w:pPr>
                    <w:pStyle w:val="93"/>
                    <w:snapToGrid w:val="0"/>
                    <w:spacing w:line="276" w:lineRule="auto"/>
                    <w:rPr>
                      <w:rFonts w:ascii="Times New Roman" w:hAnsi="Times New Roman" w:eastAsia="宋体"/>
                      <w:color w:val="auto"/>
                      <w:szCs w:val="21"/>
                    </w:rPr>
                  </w:pPr>
                  <w:r>
                    <w:rPr>
                      <w:rFonts w:ascii="Times New Roman" w:hAnsi="Times New Roman" w:eastAsia="宋体"/>
                      <w:color w:val="auto"/>
                      <w:szCs w:val="21"/>
                    </w:rPr>
                    <w:t>不设评价等级</w:t>
                  </w:r>
                </w:p>
              </w:tc>
            </w:tr>
          </w:tbl>
          <w:p>
            <w:pPr>
              <w:adjustRightInd w:val="0"/>
              <w:snapToGrid w:val="0"/>
              <w:spacing w:before="163" w:beforeLines="50" w:line="360" w:lineRule="auto"/>
              <w:ind w:firstLine="480" w:firstLineChars="200"/>
              <w:rPr>
                <w:rFonts w:ascii="Times New Roman" w:hAnsi="Times New Roman"/>
                <w:color w:val="auto"/>
                <w:kern w:val="0"/>
              </w:rPr>
            </w:pPr>
            <w:r>
              <w:rPr>
                <w:rFonts w:ascii="Times New Roman" w:hAnsi="Times New Roman"/>
                <w:color w:val="auto"/>
                <w:kern w:val="0"/>
              </w:rPr>
              <w:t>（2）评价范围</w:t>
            </w:r>
          </w:p>
          <w:p>
            <w:pPr>
              <w:pStyle w:val="12"/>
              <w:adjustRightInd w:val="0"/>
              <w:snapToGrid w:val="0"/>
              <w:spacing w:line="360" w:lineRule="auto"/>
              <w:ind w:firstLine="480" w:firstLineChars="200"/>
              <w:jc w:val="both"/>
              <w:rPr>
                <w:rFonts w:ascii="Times New Roman" w:hAnsi="Times New Roman"/>
                <w:color w:val="auto"/>
                <w:kern w:val="2"/>
              </w:rPr>
            </w:pPr>
            <w:r>
              <w:rPr>
                <w:rFonts w:ascii="Times New Roman" w:hAnsi="Times New Roman"/>
                <w:color w:val="auto"/>
                <w:kern w:val="2"/>
              </w:rPr>
              <w:t>根据工程所在地环境功能区划和保护目标要求，按照各环境要素的评价等级和技术导则相关规定，结合项目区域环境特征，本次环境影响评价的范围确定见表1-7。</w:t>
            </w:r>
          </w:p>
          <w:p>
            <w:pPr>
              <w:pStyle w:val="12"/>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表1-7   环境影响评价范围确定</w:t>
            </w:r>
          </w:p>
          <w:tbl>
            <w:tblPr>
              <w:tblStyle w:val="38"/>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89"/>
              <w:gridCol w:w="4229"/>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4" w:type="dxa"/>
                  <w:tcBorders>
                    <w:tl2br w:val="nil"/>
                    <w:tr2bl w:val="nil"/>
                  </w:tcBorders>
                  <w:vAlign w:val="center"/>
                </w:tcPr>
                <w:p>
                  <w:pPr>
                    <w:pStyle w:val="93"/>
                    <w:snapToGrid w:val="0"/>
                    <w:rPr>
                      <w:rFonts w:ascii="Times New Roman" w:hAnsi="Times New Roman" w:eastAsia="宋体"/>
                      <w:b/>
                      <w:bCs/>
                      <w:color w:val="auto"/>
                      <w:szCs w:val="21"/>
                    </w:rPr>
                  </w:pPr>
                  <w:r>
                    <w:rPr>
                      <w:rFonts w:ascii="Times New Roman" w:hAnsi="Times New Roman" w:eastAsia="宋体"/>
                      <w:b/>
                      <w:bCs/>
                      <w:color w:val="auto"/>
                      <w:szCs w:val="21"/>
                    </w:rPr>
                    <w:t>序号</w:t>
                  </w:r>
                </w:p>
              </w:tc>
              <w:tc>
                <w:tcPr>
                  <w:tcW w:w="1389" w:type="dxa"/>
                  <w:tcBorders>
                    <w:tl2br w:val="nil"/>
                    <w:tr2bl w:val="nil"/>
                  </w:tcBorders>
                  <w:vAlign w:val="center"/>
                </w:tcPr>
                <w:p>
                  <w:pPr>
                    <w:pStyle w:val="93"/>
                    <w:snapToGrid w:val="0"/>
                    <w:rPr>
                      <w:rFonts w:ascii="Times New Roman" w:hAnsi="Times New Roman" w:eastAsia="宋体"/>
                      <w:b/>
                      <w:bCs/>
                      <w:color w:val="auto"/>
                      <w:szCs w:val="21"/>
                    </w:rPr>
                  </w:pPr>
                  <w:r>
                    <w:rPr>
                      <w:rFonts w:ascii="Times New Roman" w:hAnsi="Times New Roman" w:eastAsia="宋体"/>
                      <w:b/>
                      <w:bCs/>
                      <w:color w:val="auto"/>
                      <w:szCs w:val="21"/>
                    </w:rPr>
                    <w:t>环境要素</w:t>
                  </w:r>
                </w:p>
              </w:tc>
              <w:tc>
                <w:tcPr>
                  <w:tcW w:w="4229" w:type="dxa"/>
                  <w:tcBorders>
                    <w:tl2br w:val="nil"/>
                    <w:tr2bl w:val="nil"/>
                  </w:tcBorders>
                  <w:vAlign w:val="center"/>
                </w:tcPr>
                <w:p>
                  <w:pPr>
                    <w:pStyle w:val="93"/>
                    <w:snapToGrid w:val="0"/>
                    <w:rPr>
                      <w:rFonts w:ascii="Times New Roman" w:hAnsi="Times New Roman" w:eastAsia="宋体"/>
                      <w:b/>
                      <w:bCs/>
                      <w:color w:val="auto"/>
                      <w:szCs w:val="21"/>
                    </w:rPr>
                  </w:pPr>
                  <w:r>
                    <w:rPr>
                      <w:rFonts w:ascii="Times New Roman" w:hAnsi="Times New Roman" w:eastAsia="宋体"/>
                      <w:b/>
                      <w:bCs/>
                      <w:color w:val="auto"/>
                      <w:szCs w:val="21"/>
                    </w:rPr>
                    <w:t>评价范围</w:t>
                  </w:r>
                </w:p>
              </w:tc>
              <w:tc>
                <w:tcPr>
                  <w:tcW w:w="1786" w:type="dxa"/>
                  <w:tcBorders>
                    <w:tl2br w:val="nil"/>
                    <w:tr2bl w:val="nil"/>
                  </w:tcBorders>
                  <w:vAlign w:val="center"/>
                </w:tcPr>
                <w:p>
                  <w:pPr>
                    <w:pStyle w:val="93"/>
                    <w:snapToGrid w:val="0"/>
                    <w:rPr>
                      <w:rFonts w:ascii="Times New Roman" w:hAnsi="Times New Roman" w:eastAsia="宋体"/>
                      <w:b/>
                      <w:bCs/>
                      <w:color w:val="auto"/>
                      <w:szCs w:val="21"/>
                    </w:rPr>
                  </w:pPr>
                  <w:r>
                    <w:rPr>
                      <w:rFonts w:ascii="Times New Roman" w:hAnsi="Times New Roman" w:eastAsia="宋体"/>
                      <w:b/>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4" w:type="dxa"/>
                  <w:tcBorders>
                    <w:tl2br w:val="nil"/>
                    <w:tr2bl w:val="nil"/>
                  </w:tcBorders>
                  <w:vAlign w:val="center"/>
                </w:tcPr>
                <w:p>
                  <w:pPr>
                    <w:pStyle w:val="93"/>
                    <w:snapToGrid w:val="0"/>
                    <w:rPr>
                      <w:rFonts w:ascii="Times New Roman" w:hAnsi="Times New Roman" w:eastAsia="宋体"/>
                      <w:color w:val="auto"/>
                      <w:szCs w:val="21"/>
                    </w:rPr>
                  </w:pPr>
                  <w:r>
                    <w:rPr>
                      <w:rFonts w:ascii="Times New Roman" w:hAnsi="Times New Roman" w:eastAsia="宋体"/>
                      <w:color w:val="auto"/>
                      <w:szCs w:val="21"/>
                    </w:rPr>
                    <w:t>1</w:t>
                  </w:r>
                </w:p>
              </w:tc>
              <w:tc>
                <w:tcPr>
                  <w:tcW w:w="1389" w:type="dxa"/>
                  <w:tcBorders>
                    <w:tl2br w:val="nil"/>
                    <w:tr2bl w:val="nil"/>
                  </w:tcBorders>
                  <w:vAlign w:val="center"/>
                </w:tcPr>
                <w:p>
                  <w:pPr>
                    <w:pStyle w:val="93"/>
                    <w:snapToGrid w:val="0"/>
                    <w:rPr>
                      <w:rFonts w:ascii="Times New Roman" w:hAnsi="Times New Roman" w:eastAsia="宋体"/>
                      <w:color w:val="auto"/>
                      <w:szCs w:val="21"/>
                    </w:rPr>
                  </w:pPr>
                  <w:r>
                    <w:rPr>
                      <w:rFonts w:ascii="Times New Roman" w:hAnsi="Times New Roman" w:eastAsia="宋体"/>
                      <w:color w:val="auto"/>
                      <w:szCs w:val="21"/>
                    </w:rPr>
                    <w:t>大气环境</w:t>
                  </w:r>
                </w:p>
              </w:tc>
              <w:tc>
                <w:tcPr>
                  <w:tcW w:w="4229" w:type="dxa"/>
                  <w:tcBorders>
                    <w:tl2br w:val="nil"/>
                    <w:tr2bl w:val="nil"/>
                  </w:tcBorders>
                  <w:vAlign w:val="center"/>
                </w:tcPr>
                <w:p>
                  <w:pPr>
                    <w:pStyle w:val="93"/>
                    <w:snapToGrid w:val="0"/>
                    <w:rPr>
                      <w:rFonts w:ascii="Times New Roman" w:hAnsi="Times New Roman" w:eastAsia="宋体"/>
                      <w:color w:val="auto"/>
                      <w:szCs w:val="21"/>
                    </w:rPr>
                  </w:pPr>
                  <w:r>
                    <w:rPr>
                      <w:rFonts w:ascii="Times New Roman" w:hAnsi="Times New Roman" w:eastAsia="宋体"/>
                      <w:color w:val="auto"/>
                      <w:szCs w:val="21"/>
                    </w:rPr>
                    <w:t>以</w:t>
                  </w:r>
                  <w:r>
                    <w:rPr>
                      <w:rFonts w:hint="eastAsia" w:ascii="Times New Roman" w:hAnsi="Times New Roman" w:eastAsia="宋体"/>
                      <w:color w:val="auto"/>
                      <w:szCs w:val="21"/>
                    </w:rPr>
                    <w:t>项目区中心</w:t>
                  </w:r>
                  <w:r>
                    <w:rPr>
                      <w:rFonts w:ascii="Times New Roman" w:hAnsi="Times New Roman" w:eastAsia="宋体"/>
                      <w:color w:val="auto"/>
                      <w:szCs w:val="21"/>
                    </w:rPr>
                    <w:t>为中心，边长5km的矩形区域</w:t>
                  </w:r>
                </w:p>
              </w:tc>
              <w:tc>
                <w:tcPr>
                  <w:tcW w:w="1786" w:type="dxa"/>
                  <w:tcBorders>
                    <w:tl2br w:val="nil"/>
                    <w:tr2bl w:val="nil"/>
                  </w:tcBorders>
                  <w:vAlign w:val="center"/>
                </w:tcPr>
                <w:p>
                  <w:pPr>
                    <w:pStyle w:val="93"/>
                    <w:snapToGrid w:val="0"/>
                    <w:rPr>
                      <w:rFonts w:ascii="Times New Roman" w:hAnsi="Times New Roman" w:eastAsia="宋体"/>
                      <w:color w:val="auto"/>
                      <w:szCs w:val="21"/>
                    </w:rPr>
                  </w:pPr>
                  <w:r>
                    <w:rPr>
                      <w:rFonts w:ascii="Times New Roman" w:hAnsi="Times New Roman" w:eastAsia="宋体"/>
                      <w:color w:val="auto"/>
                      <w:szCs w:val="21"/>
                    </w:rPr>
                    <w:t>评价等级一级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tcBorders>
                    <w:tl2br w:val="nil"/>
                    <w:tr2bl w:val="nil"/>
                  </w:tcBorders>
                  <w:vAlign w:val="center"/>
                </w:tcPr>
                <w:p>
                  <w:pPr>
                    <w:pStyle w:val="93"/>
                    <w:snapToGrid w:val="0"/>
                    <w:rPr>
                      <w:rFonts w:ascii="Times New Roman" w:hAnsi="Times New Roman" w:eastAsia="宋体"/>
                      <w:color w:val="auto"/>
                      <w:szCs w:val="21"/>
                    </w:rPr>
                  </w:pPr>
                  <w:r>
                    <w:rPr>
                      <w:rFonts w:ascii="Times New Roman" w:hAnsi="Times New Roman" w:eastAsia="宋体"/>
                      <w:color w:val="auto"/>
                      <w:szCs w:val="21"/>
                    </w:rPr>
                    <w:t>2</w:t>
                  </w:r>
                </w:p>
              </w:tc>
              <w:tc>
                <w:tcPr>
                  <w:tcW w:w="1389" w:type="dxa"/>
                  <w:tcBorders>
                    <w:tl2br w:val="nil"/>
                    <w:tr2bl w:val="nil"/>
                  </w:tcBorders>
                  <w:vAlign w:val="center"/>
                </w:tcPr>
                <w:p>
                  <w:pPr>
                    <w:pStyle w:val="93"/>
                    <w:snapToGrid w:val="0"/>
                    <w:rPr>
                      <w:rFonts w:ascii="Times New Roman" w:hAnsi="Times New Roman" w:eastAsia="宋体"/>
                      <w:color w:val="auto"/>
                      <w:szCs w:val="21"/>
                    </w:rPr>
                  </w:pPr>
                  <w:r>
                    <w:rPr>
                      <w:rFonts w:ascii="Times New Roman" w:hAnsi="Times New Roman" w:eastAsia="宋体"/>
                      <w:color w:val="auto"/>
                      <w:szCs w:val="21"/>
                    </w:rPr>
                    <w:t>地表水环境</w:t>
                  </w:r>
                </w:p>
              </w:tc>
              <w:tc>
                <w:tcPr>
                  <w:tcW w:w="4229" w:type="dxa"/>
                  <w:tcBorders>
                    <w:tl2br w:val="nil"/>
                    <w:tr2bl w:val="nil"/>
                  </w:tcBorders>
                  <w:vAlign w:val="center"/>
                </w:tcPr>
                <w:p>
                  <w:pPr>
                    <w:pStyle w:val="93"/>
                    <w:snapToGrid w:val="0"/>
                    <w:rPr>
                      <w:rFonts w:ascii="Times New Roman" w:hAnsi="Times New Roman" w:eastAsia="宋体"/>
                      <w:color w:val="auto"/>
                      <w:szCs w:val="21"/>
                    </w:rPr>
                  </w:pPr>
                  <w:r>
                    <w:rPr>
                      <w:rFonts w:hint="eastAsia" w:ascii="Times New Roman" w:hAnsi="Times New Roman" w:eastAsia="宋体"/>
                      <w:color w:val="auto"/>
                      <w:szCs w:val="21"/>
                    </w:rPr>
                    <w:t>不设评价范围</w:t>
                  </w:r>
                </w:p>
              </w:tc>
              <w:tc>
                <w:tcPr>
                  <w:tcW w:w="1786" w:type="dxa"/>
                  <w:tcBorders>
                    <w:tl2br w:val="nil"/>
                    <w:tr2bl w:val="nil"/>
                  </w:tcBorders>
                  <w:vAlign w:val="center"/>
                </w:tcPr>
                <w:p>
                  <w:pPr>
                    <w:pStyle w:val="93"/>
                    <w:snapToGrid w:val="0"/>
                    <w:rPr>
                      <w:rFonts w:ascii="Times New Roman" w:hAnsi="Times New Roman" w:eastAsia="宋体"/>
                      <w:color w:val="auto"/>
                      <w:szCs w:val="21"/>
                    </w:rPr>
                  </w:pPr>
                  <w:r>
                    <w:rPr>
                      <w:rFonts w:ascii="Times New Roman" w:hAnsi="Times New Roman" w:eastAsia="宋体"/>
                      <w:color w:val="auto"/>
                      <w:szCs w:val="21"/>
                    </w:rPr>
                    <w:t>评价等级三级B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14" w:type="dxa"/>
                  <w:tcBorders>
                    <w:tl2br w:val="nil"/>
                    <w:tr2bl w:val="nil"/>
                  </w:tcBorders>
                  <w:vAlign w:val="center"/>
                </w:tcPr>
                <w:p>
                  <w:pPr>
                    <w:pStyle w:val="93"/>
                    <w:snapToGrid w:val="0"/>
                    <w:rPr>
                      <w:rFonts w:ascii="Times New Roman" w:hAnsi="Times New Roman" w:eastAsia="宋体"/>
                      <w:color w:val="auto"/>
                      <w:szCs w:val="21"/>
                    </w:rPr>
                  </w:pPr>
                  <w:r>
                    <w:rPr>
                      <w:rFonts w:ascii="Times New Roman" w:hAnsi="Times New Roman" w:eastAsia="宋体"/>
                      <w:color w:val="auto"/>
                      <w:szCs w:val="21"/>
                    </w:rPr>
                    <w:t>3</w:t>
                  </w:r>
                </w:p>
              </w:tc>
              <w:tc>
                <w:tcPr>
                  <w:tcW w:w="1389" w:type="dxa"/>
                  <w:tcBorders>
                    <w:tl2br w:val="nil"/>
                    <w:tr2bl w:val="nil"/>
                  </w:tcBorders>
                  <w:vAlign w:val="center"/>
                </w:tcPr>
                <w:p>
                  <w:pPr>
                    <w:pStyle w:val="93"/>
                    <w:snapToGrid w:val="0"/>
                    <w:rPr>
                      <w:rFonts w:ascii="Times New Roman" w:hAnsi="Times New Roman" w:eastAsia="宋体"/>
                      <w:color w:val="auto"/>
                      <w:szCs w:val="21"/>
                    </w:rPr>
                  </w:pPr>
                  <w:r>
                    <w:rPr>
                      <w:rFonts w:ascii="Times New Roman" w:hAnsi="Times New Roman" w:eastAsia="宋体"/>
                      <w:color w:val="auto"/>
                      <w:szCs w:val="21"/>
                    </w:rPr>
                    <w:t>声环境</w:t>
                  </w:r>
                </w:p>
              </w:tc>
              <w:tc>
                <w:tcPr>
                  <w:tcW w:w="4229" w:type="dxa"/>
                  <w:tcBorders>
                    <w:tl2br w:val="nil"/>
                    <w:tr2bl w:val="nil"/>
                  </w:tcBorders>
                  <w:vAlign w:val="center"/>
                </w:tcPr>
                <w:p>
                  <w:pPr>
                    <w:pStyle w:val="93"/>
                    <w:snapToGrid w:val="0"/>
                    <w:rPr>
                      <w:rFonts w:ascii="Times New Roman" w:hAnsi="Times New Roman" w:eastAsia="宋体"/>
                      <w:color w:val="auto"/>
                      <w:szCs w:val="21"/>
                    </w:rPr>
                  </w:pPr>
                  <w:r>
                    <w:rPr>
                      <w:rFonts w:ascii="Times New Roman" w:hAnsi="Times New Roman" w:eastAsia="宋体"/>
                      <w:color w:val="auto"/>
                      <w:szCs w:val="21"/>
                    </w:rPr>
                    <w:t>项目厂界</w:t>
                  </w:r>
                  <w:r>
                    <w:rPr>
                      <w:rFonts w:hint="eastAsia" w:ascii="Times New Roman" w:hAnsi="Times New Roman" w:eastAsia="宋体"/>
                      <w:color w:val="auto"/>
                      <w:szCs w:val="21"/>
                    </w:rPr>
                    <w:t>四周</w:t>
                  </w:r>
                  <w:r>
                    <w:rPr>
                      <w:rFonts w:ascii="Times New Roman" w:hAnsi="Times New Roman" w:eastAsia="宋体"/>
                      <w:color w:val="auto"/>
                      <w:szCs w:val="21"/>
                    </w:rPr>
                    <w:t>外延伸200m</w:t>
                  </w:r>
                  <w:r>
                    <w:rPr>
                      <w:rFonts w:hint="eastAsia" w:ascii="Times New Roman" w:hAnsi="Times New Roman" w:eastAsia="宋体"/>
                      <w:color w:val="auto"/>
                      <w:szCs w:val="21"/>
                    </w:rPr>
                    <w:t>的</w:t>
                  </w:r>
                  <w:r>
                    <w:rPr>
                      <w:rFonts w:ascii="Times New Roman" w:hAnsi="Times New Roman" w:eastAsia="宋体"/>
                      <w:color w:val="auto"/>
                      <w:szCs w:val="21"/>
                    </w:rPr>
                    <w:t>范围</w:t>
                  </w:r>
                </w:p>
              </w:tc>
              <w:tc>
                <w:tcPr>
                  <w:tcW w:w="1786" w:type="dxa"/>
                  <w:tcBorders>
                    <w:tl2br w:val="nil"/>
                    <w:tr2bl w:val="nil"/>
                  </w:tcBorders>
                  <w:vAlign w:val="center"/>
                </w:tcPr>
                <w:p>
                  <w:pPr>
                    <w:pStyle w:val="93"/>
                    <w:snapToGrid w:val="0"/>
                    <w:rPr>
                      <w:rFonts w:ascii="Times New Roman" w:hAnsi="Times New Roman" w:eastAsia="宋体"/>
                      <w:color w:val="auto"/>
                      <w:szCs w:val="21"/>
                    </w:rPr>
                  </w:pPr>
                  <w:r>
                    <w:rPr>
                      <w:rFonts w:ascii="Times New Roman" w:hAnsi="Times New Roman" w:eastAsia="宋体"/>
                      <w:color w:val="auto"/>
                      <w:szCs w:val="21"/>
                    </w:rPr>
                    <w:t>评价等级二级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14" w:type="dxa"/>
                  <w:tcBorders>
                    <w:tl2br w:val="nil"/>
                    <w:tr2bl w:val="nil"/>
                  </w:tcBorders>
                  <w:vAlign w:val="center"/>
                </w:tcPr>
                <w:p>
                  <w:pPr>
                    <w:pStyle w:val="93"/>
                    <w:snapToGrid w:val="0"/>
                    <w:rPr>
                      <w:rFonts w:ascii="Times New Roman" w:hAnsi="Times New Roman" w:eastAsia="宋体"/>
                      <w:color w:val="auto"/>
                      <w:szCs w:val="21"/>
                    </w:rPr>
                  </w:pPr>
                  <w:r>
                    <w:rPr>
                      <w:rFonts w:ascii="Times New Roman" w:hAnsi="Times New Roman" w:eastAsia="宋体"/>
                      <w:color w:val="auto"/>
                      <w:szCs w:val="21"/>
                    </w:rPr>
                    <w:t>4</w:t>
                  </w:r>
                </w:p>
              </w:tc>
              <w:tc>
                <w:tcPr>
                  <w:tcW w:w="1389" w:type="dxa"/>
                  <w:tcBorders>
                    <w:tl2br w:val="nil"/>
                    <w:tr2bl w:val="nil"/>
                  </w:tcBorders>
                  <w:vAlign w:val="center"/>
                </w:tcPr>
                <w:p>
                  <w:pPr>
                    <w:pStyle w:val="93"/>
                    <w:snapToGrid w:val="0"/>
                    <w:rPr>
                      <w:rFonts w:ascii="Times New Roman" w:hAnsi="Times New Roman" w:eastAsia="宋体"/>
                      <w:color w:val="auto"/>
                      <w:szCs w:val="21"/>
                    </w:rPr>
                  </w:pPr>
                  <w:r>
                    <w:rPr>
                      <w:rFonts w:ascii="Times New Roman" w:hAnsi="Times New Roman" w:eastAsia="宋体"/>
                      <w:color w:val="auto"/>
                      <w:szCs w:val="21"/>
                    </w:rPr>
                    <w:t>生态环境</w:t>
                  </w:r>
                </w:p>
              </w:tc>
              <w:tc>
                <w:tcPr>
                  <w:tcW w:w="4229" w:type="dxa"/>
                  <w:tcBorders>
                    <w:tl2br w:val="nil"/>
                    <w:tr2bl w:val="nil"/>
                  </w:tcBorders>
                  <w:vAlign w:val="center"/>
                </w:tcPr>
                <w:p>
                  <w:pPr>
                    <w:pStyle w:val="93"/>
                    <w:snapToGrid w:val="0"/>
                    <w:rPr>
                      <w:rFonts w:ascii="Times New Roman" w:hAnsi="Times New Roman" w:eastAsia="宋体"/>
                      <w:color w:val="auto"/>
                      <w:szCs w:val="21"/>
                    </w:rPr>
                  </w:pPr>
                  <w:r>
                    <w:rPr>
                      <w:rFonts w:ascii="Times New Roman" w:hAnsi="Times New Roman" w:eastAsia="宋体"/>
                      <w:color w:val="auto"/>
                      <w:szCs w:val="21"/>
                    </w:rPr>
                    <w:t>不设评价范围</w:t>
                  </w:r>
                </w:p>
              </w:tc>
              <w:tc>
                <w:tcPr>
                  <w:tcW w:w="1786" w:type="dxa"/>
                  <w:tcBorders>
                    <w:tl2br w:val="nil"/>
                    <w:tr2bl w:val="nil"/>
                  </w:tcBorders>
                  <w:vAlign w:val="center"/>
                </w:tcPr>
                <w:p>
                  <w:pPr>
                    <w:pStyle w:val="93"/>
                    <w:snapToGrid w:val="0"/>
                    <w:rPr>
                      <w:rFonts w:ascii="Times New Roman" w:hAnsi="Times New Roman" w:eastAsia="宋体"/>
                      <w:color w:val="auto"/>
                      <w:szCs w:val="21"/>
                    </w:rPr>
                  </w:pPr>
                  <w:r>
                    <w:rPr>
                      <w:rFonts w:ascii="Times New Roman" w:hAnsi="Times New Roman" w:eastAsia="宋体"/>
                      <w:color w:val="auto"/>
                      <w:szCs w:val="21"/>
                    </w:rPr>
                    <w:t>仅进行生态影响分析</w:t>
                  </w:r>
                </w:p>
              </w:tc>
            </w:tr>
          </w:tbl>
          <w:p>
            <w:pPr>
              <w:adjustRightInd w:val="0"/>
              <w:snapToGrid w:val="0"/>
              <w:spacing w:line="360" w:lineRule="auto"/>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4" w:hRule="atLeast"/>
        </w:trPr>
        <w:tc>
          <w:tcPr>
            <w:tcW w:w="8523" w:type="dxa"/>
            <w:gridSpan w:val="10"/>
            <w:tcBorders>
              <w:top w:val="single" w:color="auto" w:sz="4" w:space="0"/>
              <w:left w:val="single" w:color="auto" w:sz="4" w:space="0"/>
              <w:bottom w:val="single" w:color="auto" w:sz="4" w:space="0"/>
              <w:right w:val="single" w:color="auto" w:sz="4" w:space="0"/>
            </w:tcBorders>
          </w:tcPr>
          <w:p>
            <w:pPr>
              <w:adjustRightInd w:val="0"/>
              <w:snapToGrid w:val="0"/>
              <w:spacing w:line="460" w:lineRule="exact"/>
              <w:rPr>
                <w:rFonts w:ascii="Times New Roman" w:hAnsi="Times New Roman"/>
                <w:color w:val="auto"/>
              </w:rPr>
            </w:pPr>
            <w:r>
              <w:rPr>
                <w:rFonts w:ascii="Times New Roman" w:hAnsi="Times New Roman"/>
                <w:b/>
                <w:bCs/>
                <w:color w:val="auto"/>
              </w:rPr>
              <w:t>与本项目有关的原有污染情况及主要环境问题：</w:t>
            </w:r>
          </w:p>
          <w:p>
            <w:pPr>
              <w:pStyle w:val="6"/>
              <w:adjustRightInd w:val="0"/>
              <w:snapToGrid w:val="0"/>
              <w:spacing w:before="163" w:beforeLines="50" w:after="0" w:afterLines="0"/>
              <w:rPr>
                <w:rFonts w:eastAsia="宋体"/>
                <w:b/>
                <w:bCs/>
                <w:color w:val="auto"/>
              </w:rPr>
            </w:pPr>
            <w:r>
              <w:rPr>
                <w:rFonts w:eastAsia="宋体"/>
                <w:b/>
                <w:bCs/>
                <w:color w:val="auto"/>
              </w:rPr>
              <w:t>1、现有项目概况</w:t>
            </w:r>
          </w:p>
          <w:p>
            <w:pPr>
              <w:adjustRightInd w:val="0"/>
              <w:snapToGrid w:val="0"/>
              <w:spacing w:line="360" w:lineRule="auto"/>
              <w:ind w:firstLine="480" w:firstLineChars="200"/>
              <w:rPr>
                <w:rFonts w:ascii="Times New Roman" w:hAnsi="Times New Roman"/>
                <w:color w:val="auto"/>
                <w:kern w:val="0"/>
                <w:szCs w:val="22"/>
              </w:rPr>
            </w:pPr>
            <w:r>
              <w:rPr>
                <w:rFonts w:ascii="Times New Roman" w:hAnsi="Times New Roman"/>
                <w:color w:val="auto"/>
                <w:kern w:val="0"/>
                <w:szCs w:val="22"/>
              </w:rPr>
              <w:t>（1）项目名称：宜良明丰造纸厂10000t/a B级箱板纸改扩建项目</w:t>
            </w:r>
          </w:p>
          <w:p>
            <w:pPr>
              <w:adjustRightInd w:val="0"/>
              <w:snapToGrid w:val="0"/>
              <w:spacing w:line="360" w:lineRule="auto"/>
              <w:ind w:firstLine="480" w:firstLineChars="200"/>
              <w:rPr>
                <w:rFonts w:ascii="Times New Roman" w:hAnsi="Times New Roman"/>
                <w:color w:val="auto"/>
                <w:kern w:val="0"/>
                <w:szCs w:val="22"/>
              </w:rPr>
            </w:pPr>
            <w:r>
              <w:rPr>
                <w:rFonts w:ascii="Times New Roman" w:hAnsi="Times New Roman"/>
                <w:color w:val="auto"/>
                <w:kern w:val="0"/>
                <w:szCs w:val="22"/>
              </w:rPr>
              <w:t>（2）建设单位：宜良明丰造纸厂</w:t>
            </w:r>
          </w:p>
          <w:p>
            <w:pPr>
              <w:adjustRightInd w:val="0"/>
              <w:snapToGrid w:val="0"/>
              <w:spacing w:line="360" w:lineRule="auto"/>
              <w:ind w:firstLine="480" w:firstLineChars="200"/>
              <w:rPr>
                <w:rFonts w:ascii="Times New Roman" w:hAnsi="Times New Roman"/>
                <w:color w:val="auto"/>
                <w:kern w:val="0"/>
                <w:szCs w:val="22"/>
              </w:rPr>
            </w:pPr>
            <w:r>
              <w:rPr>
                <w:rFonts w:ascii="Times New Roman" w:hAnsi="Times New Roman"/>
                <w:color w:val="auto"/>
                <w:kern w:val="0"/>
                <w:szCs w:val="22"/>
              </w:rPr>
              <w:t>（3）建设地点：宜良县匡远街道办事处左营村宜马公路旁</w:t>
            </w:r>
          </w:p>
          <w:p>
            <w:pPr>
              <w:adjustRightInd w:val="0"/>
              <w:snapToGrid w:val="0"/>
              <w:spacing w:line="360" w:lineRule="auto"/>
              <w:ind w:firstLine="480" w:firstLineChars="200"/>
              <w:rPr>
                <w:rFonts w:ascii="Times New Roman" w:hAnsi="Times New Roman"/>
                <w:color w:val="auto"/>
                <w:kern w:val="0"/>
                <w:szCs w:val="22"/>
                <w:vertAlign w:val="superscript"/>
              </w:rPr>
            </w:pPr>
            <w:r>
              <w:rPr>
                <w:rFonts w:ascii="Times New Roman" w:hAnsi="Times New Roman"/>
                <w:color w:val="auto"/>
                <w:kern w:val="0"/>
                <w:szCs w:val="22"/>
              </w:rPr>
              <w:t>（4）总占地面积：32000m</w:t>
            </w:r>
            <w:r>
              <w:rPr>
                <w:rFonts w:ascii="Times New Roman" w:hAnsi="Times New Roman"/>
                <w:color w:val="auto"/>
                <w:kern w:val="0"/>
                <w:szCs w:val="22"/>
                <w:vertAlign w:val="superscript"/>
              </w:rPr>
              <w:t>2</w:t>
            </w:r>
          </w:p>
          <w:p>
            <w:pPr>
              <w:adjustRightInd w:val="0"/>
              <w:snapToGrid w:val="0"/>
              <w:spacing w:line="360" w:lineRule="auto"/>
              <w:ind w:firstLine="480" w:firstLineChars="200"/>
              <w:rPr>
                <w:rFonts w:ascii="Times New Roman" w:hAnsi="Times New Roman"/>
                <w:color w:val="auto"/>
                <w:kern w:val="0"/>
                <w:szCs w:val="22"/>
              </w:rPr>
            </w:pPr>
            <w:r>
              <w:rPr>
                <w:rFonts w:ascii="Times New Roman" w:hAnsi="Times New Roman"/>
                <w:color w:val="auto"/>
                <w:kern w:val="0"/>
                <w:szCs w:val="22"/>
              </w:rPr>
              <w:t>（5）建设内容及规模：扩建造纸成品车间、浆料生产车间、成品库、锅炉房、配电房、修理房、水处理、办公及生活区，新建一条年产10000吨B级箱板纸生产线。</w:t>
            </w:r>
          </w:p>
          <w:p>
            <w:pPr>
              <w:adjustRightInd w:val="0"/>
              <w:snapToGrid w:val="0"/>
              <w:spacing w:line="360" w:lineRule="auto"/>
              <w:ind w:firstLine="480" w:firstLineChars="200"/>
              <w:rPr>
                <w:rFonts w:ascii="Times New Roman" w:hAnsi="Times New Roman"/>
                <w:color w:val="auto"/>
                <w:kern w:val="0"/>
                <w:szCs w:val="22"/>
              </w:rPr>
            </w:pPr>
            <w:r>
              <w:rPr>
                <w:rFonts w:ascii="Times New Roman" w:hAnsi="Times New Roman"/>
                <w:color w:val="auto"/>
                <w:kern w:val="0"/>
                <w:szCs w:val="22"/>
              </w:rPr>
              <w:t>（6）劳动定员及工作制度：项目年工作时间为300天，车间生产班制均为三班工作制，每班工作8小时。整厂员工46人，其中管理人员10人，生产人员36人。其中锅炉劳动定员2人，均为生产人员。</w:t>
            </w:r>
          </w:p>
          <w:p>
            <w:pPr>
              <w:adjustRightInd w:val="0"/>
              <w:snapToGrid w:val="0"/>
              <w:spacing w:line="360" w:lineRule="auto"/>
              <w:ind w:firstLine="480" w:firstLineChars="200"/>
              <w:rPr>
                <w:rFonts w:ascii="Times New Roman" w:hAnsi="Times New Roman"/>
                <w:color w:val="auto"/>
                <w:kern w:val="0"/>
                <w:szCs w:val="22"/>
              </w:rPr>
            </w:pPr>
            <w:r>
              <w:rPr>
                <w:rFonts w:ascii="Times New Roman" w:hAnsi="Times New Roman"/>
                <w:color w:val="auto"/>
                <w:kern w:val="0"/>
                <w:szCs w:val="22"/>
              </w:rPr>
              <w:t>（7）环保手续办理情况：2007年3月13日，</w:t>
            </w:r>
            <w:r>
              <w:rPr>
                <w:rFonts w:hint="eastAsia" w:ascii="Times New Roman" w:hAnsi="Times New Roman"/>
                <w:color w:val="auto"/>
                <w:kern w:val="0"/>
                <w:szCs w:val="22"/>
              </w:rPr>
              <w:t>建设单位</w:t>
            </w:r>
            <w:r>
              <w:rPr>
                <w:rFonts w:ascii="Times New Roman" w:hAnsi="Times New Roman"/>
                <w:color w:val="auto"/>
                <w:kern w:val="0"/>
                <w:szCs w:val="22"/>
              </w:rPr>
              <w:t>取得了原昆明市环境保护局《关于&lt;宜良明丰造纸厂10000t/a B级箱板纸改扩建项目环境影响报告书&gt;的批复》（昆环保复〔2007〕39号）。现有项目于2009年8月6日通过原宜良县环境保护局的竣工环境保护验收。2017年6月29日，</w:t>
            </w:r>
            <w:r>
              <w:rPr>
                <w:rFonts w:hint="eastAsia" w:ascii="Times New Roman" w:hAnsi="Times New Roman"/>
                <w:color w:val="auto"/>
                <w:kern w:val="0"/>
                <w:szCs w:val="22"/>
              </w:rPr>
              <w:t>建设单位</w:t>
            </w:r>
            <w:r>
              <w:rPr>
                <w:rFonts w:ascii="Times New Roman" w:hAnsi="Times New Roman"/>
                <w:color w:val="auto"/>
                <w:kern w:val="0"/>
                <w:szCs w:val="22"/>
              </w:rPr>
              <w:t>取得了昆明市环境保护局下发的《排污许可证》（证书编号：915301252168661619001P）。该排污许可证于2017年6月29日办理，并于2020年9月30日完成了延续申请。</w:t>
            </w:r>
          </w:p>
          <w:p>
            <w:pPr>
              <w:pStyle w:val="6"/>
              <w:adjustRightInd w:val="0"/>
              <w:snapToGrid w:val="0"/>
              <w:spacing w:before="163" w:beforeLines="50" w:after="0" w:afterLines="0"/>
              <w:rPr>
                <w:rFonts w:eastAsia="宋体"/>
                <w:b/>
                <w:bCs/>
                <w:color w:val="auto"/>
              </w:rPr>
            </w:pPr>
            <w:r>
              <w:rPr>
                <w:rFonts w:eastAsia="宋体"/>
                <w:b/>
                <w:bCs/>
                <w:color w:val="auto"/>
              </w:rPr>
              <w:t>2、</w:t>
            </w:r>
            <w:r>
              <w:rPr>
                <w:rFonts w:hint="eastAsia" w:eastAsia="宋体"/>
                <w:b/>
                <w:bCs/>
                <w:color w:val="auto"/>
                <w:lang w:eastAsia="zh-CN"/>
              </w:rPr>
              <w:t>全</w:t>
            </w:r>
            <w:r>
              <w:rPr>
                <w:rFonts w:eastAsia="宋体"/>
                <w:b/>
                <w:bCs/>
                <w:color w:val="auto"/>
              </w:rPr>
              <w:t>厂产污概况</w:t>
            </w:r>
          </w:p>
          <w:p>
            <w:pPr>
              <w:adjustRightInd w:val="0"/>
              <w:snapToGrid w:val="0"/>
              <w:spacing w:line="360" w:lineRule="auto"/>
              <w:ind w:firstLine="446" w:firstLineChars="186"/>
              <w:rPr>
                <w:rFonts w:hint="eastAsia" w:ascii="Times New Roman" w:hAnsi="Times New Roman" w:eastAsia="宋体"/>
                <w:color w:val="auto"/>
                <w:kern w:val="0"/>
                <w:szCs w:val="22"/>
                <w:lang w:eastAsia="zh-CN"/>
              </w:rPr>
            </w:pPr>
            <w:r>
              <w:rPr>
                <w:rFonts w:ascii="Times New Roman" w:hAnsi="Times New Roman"/>
                <w:color w:val="auto"/>
                <w:kern w:val="0"/>
                <w:szCs w:val="22"/>
              </w:rPr>
              <w:t>明丰造纸厂</w:t>
            </w:r>
            <w:r>
              <w:rPr>
                <w:rFonts w:hint="eastAsia" w:ascii="Times New Roman" w:hAnsi="Times New Roman"/>
                <w:color w:val="auto"/>
                <w:kern w:val="0"/>
                <w:szCs w:val="22"/>
              </w:rPr>
              <w:t>现有项目</w:t>
            </w:r>
            <w:r>
              <w:rPr>
                <w:rFonts w:ascii="Times New Roman" w:hAnsi="Times New Roman"/>
                <w:color w:val="auto"/>
                <w:kern w:val="0"/>
                <w:szCs w:val="22"/>
              </w:rPr>
              <w:t>为瓦楞纸生产项目，原料为废纸板，将废纸板采用水力碎浆+除渣+压榨+烘干工艺生产瓦楞纸，无脱墨工艺、印刷工艺、化学制浆工艺。锅炉产生的蒸汽用于烘干工艺。</w:t>
            </w:r>
            <w:r>
              <w:rPr>
                <w:rFonts w:hint="eastAsia" w:ascii="Times New Roman" w:hAnsi="Times New Roman"/>
                <w:color w:val="auto"/>
                <w:kern w:val="0"/>
                <w:szCs w:val="22"/>
                <w:lang w:eastAsia="zh-CN"/>
              </w:rPr>
              <w:t>根据现有排污许可申报材料及建设单位提供的相关资料，经汇总分析，现有纸厂全厂主要污染物产排情况见下表。</w:t>
            </w:r>
          </w:p>
          <w:p>
            <w:pPr>
              <w:pStyle w:val="12"/>
              <w:adjustRightInd w:val="0"/>
              <w:snapToGrid w:val="0"/>
              <w:jc w:val="center"/>
              <w:rPr>
                <w:rFonts w:hint="eastAsia" w:ascii="Times New Roman" w:hAnsi="Times New Roman" w:eastAsia="宋体"/>
                <w:b/>
                <w:bCs/>
                <w:color w:val="auto"/>
                <w:sz w:val="21"/>
                <w:szCs w:val="21"/>
                <w:lang w:eastAsia="zh-CN"/>
              </w:rPr>
            </w:pPr>
            <w:r>
              <w:rPr>
                <w:rFonts w:ascii="Times New Roman" w:hAnsi="Times New Roman"/>
                <w:b/>
                <w:bCs/>
                <w:color w:val="auto"/>
                <w:sz w:val="21"/>
                <w:szCs w:val="21"/>
              </w:rPr>
              <w:t>表1-8</w:t>
            </w:r>
            <w:r>
              <w:rPr>
                <w:rFonts w:hint="eastAsia" w:ascii="Times New Roman" w:hAnsi="Times New Roman"/>
                <w:b/>
                <w:bCs/>
                <w:color w:val="auto"/>
                <w:sz w:val="21"/>
                <w:szCs w:val="21"/>
                <w:lang w:val="en-US" w:eastAsia="zh-CN"/>
              </w:rPr>
              <w:t xml:space="preserve"> </w:t>
            </w:r>
            <w:r>
              <w:rPr>
                <w:rFonts w:ascii="Times New Roman" w:hAnsi="Times New Roman"/>
                <w:b/>
                <w:bCs/>
                <w:color w:val="auto"/>
                <w:sz w:val="21"/>
                <w:szCs w:val="21"/>
              </w:rPr>
              <w:t xml:space="preserve"> </w:t>
            </w:r>
            <w:r>
              <w:rPr>
                <w:rFonts w:hint="eastAsia" w:ascii="Times New Roman" w:hAnsi="Times New Roman"/>
                <w:b/>
                <w:bCs/>
                <w:color w:val="auto"/>
                <w:sz w:val="21"/>
                <w:szCs w:val="21"/>
                <w:lang w:val="en-US" w:eastAsia="zh-CN"/>
              </w:rPr>
              <w:t xml:space="preserve"> </w:t>
            </w:r>
            <w:r>
              <w:rPr>
                <w:rFonts w:hint="eastAsia" w:ascii="Times New Roman" w:hAnsi="Times New Roman"/>
                <w:b/>
                <w:bCs/>
                <w:color w:val="auto"/>
                <w:sz w:val="21"/>
                <w:szCs w:val="21"/>
                <w:lang w:eastAsia="zh-CN"/>
              </w:rPr>
              <w:t>全</w:t>
            </w:r>
            <w:r>
              <w:rPr>
                <w:rFonts w:ascii="Times New Roman" w:hAnsi="Times New Roman"/>
                <w:b/>
                <w:bCs/>
                <w:color w:val="auto"/>
                <w:sz w:val="21"/>
                <w:szCs w:val="21"/>
              </w:rPr>
              <w:t>厂产污情况</w:t>
            </w:r>
            <w:r>
              <w:rPr>
                <w:rFonts w:hint="eastAsia" w:ascii="Times New Roman" w:hAnsi="Times New Roman"/>
                <w:b/>
                <w:bCs/>
                <w:color w:val="auto"/>
                <w:sz w:val="21"/>
                <w:szCs w:val="21"/>
                <w:lang w:eastAsia="zh-CN"/>
              </w:rPr>
              <w:t>汇总</w:t>
            </w:r>
          </w:p>
          <w:tbl>
            <w:tblPr>
              <w:tblStyle w:val="39"/>
              <w:tblW w:w="83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1149"/>
              <w:gridCol w:w="1500"/>
              <w:gridCol w:w="902"/>
              <w:gridCol w:w="1108"/>
              <w:gridCol w:w="945"/>
              <w:gridCol w:w="753"/>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24" w:type="dxa"/>
                  <w:gridSpan w:val="2"/>
                  <w:vAlign w:val="center"/>
                </w:tcPr>
                <w:p>
                  <w:pPr>
                    <w:pStyle w:val="95"/>
                    <w:adjustRightInd w:val="0"/>
                    <w:snapToGrid w:val="0"/>
                    <w:jc w:val="center"/>
                    <w:rPr>
                      <w:rFonts w:ascii="Times New Roman" w:hAnsi="Times New Roman"/>
                      <w:b/>
                      <w:bCs/>
                      <w:color w:val="auto"/>
                      <w:szCs w:val="21"/>
                    </w:rPr>
                  </w:pPr>
                  <w:r>
                    <w:rPr>
                      <w:rFonts w:ascii="Times New Roman" w:hAnsi="Times New Roman"/>
                      <w:b/>
                      <w:bCs/>
                      <w:color w:val="auto"/>
                      <w:szCs w:val="21"/>
                    </w:rPr>
                    <w:t>产污设施</w:t>
                  </w:r>
                  <w:r>
                    <w:rPr>
                      <w:rFonts w:hint="eastAsia" w:ascii="Times New Roman" w:hAnsi="Times New Roman"/>
                      <w:b/>
                      <w:bCs/>
                      <w:color w:val="auto"/>
                      <w:szCs w:val="21"/>
                    </w:rPr>
                    <w:t>/环节</w:t>
                  </w:r>
                  <w:r>
                    <w:rPr>
                      <w:rFonts w:ascii="Times New Roman" w:hAnsi="Times New Roman"/>
                      <w:b/>
                      <w:bCs/>
                      <w:color w:val="auto"/>
                      <w:szCs w:val="21"/>
                    </w:rPr>
                    <w:t>名称</w:t>
                  </w:r>
                </w:p>
              </w:tc>
              <w:tc>
                <w:tcPr>
                  <w:tcW w:w="1500" w:type="dxa"/>
                  <w:vAlign w:val="center"/>
                </w:tcPr>
                <w:p>
                  <w:pPr>
                    <w:pStyle w:val="95"/>
                    <w:adjustRightInd w:val="0"/>
                    <w:snapToGrid w:val="0"/>
                    <w:jc w:val="center"/>
                    <w:rPr>
                      <w:rFonts w:ascii="Times New Roman" w:hAnsi="Times New Roman"/>
                      <w:b/>
                      <w:bCs/>
                      <w:color w:val="auto"/>
                      <w:szCs w:val="21"/>
                    </w:rPr>
                  </w:pPr>
                  <w:r>
                    <w:rPr>
                      <w:rFonts w:ascii="Times New Roman" w:hAnsi="Times New Roman"/>
                      <w:b/>
                      <w:bCs/>
                      <w:color w:val="auto"/>
                      <w:szCs w:val="21"/>
                    </w:rPr>
                    <w:t>污染物种类</w:t>
                  </w:r>
                </w:p>
              </w:tc>
              <w:tc>
                <w:tcPr>
                  <w:tcW w:w="902" w:type="dxa"/>
                  <w:vAlign w:val="center"/>
                </w:tcPr>
                <w:p>
                  <w:pPr>
                    <w:pStyle w:val="95"/>
                    <w:adjustRightInd w:val="0"/>
                    <w:snapToGrid w:val="0"/>
                    <w:jc w:val="center"/>
                    <w:rPr>
                      <w:rFonts w:ascii="Times New Roman" w:hAnsi="Times New Roman"/>
                      <w:b/>
                      <w:bCs/>
                      <w:color w:val="auto"/>
                      <w:szCs w:val="21"/>
                    </w:rPr>
                  </w:pPr>
                  <w:r>
                    <w:rPr>
                      <w:rFonts w:ascii="Times New Roman" w:hAnsi="Times New Roman"/>
                      <w:b/>
                      <w:bCs/>
                      <w:color w:val="auto"/>
                      <w:szCs w:val="21"/>
                    </w:rPr>
                    <w:t>排放形式</w:t>
                  </w:r>
                </w:p>
              </w:tc>
              <w:tc>
                <w:tcPr>
                  <w:tcW w:w="1108" w:type="dxa"/>
                  <w:vAlign w:val="center"/>
                </w:tcPr>
                <w:p>
                  <w:pPr>
                    <w:pStyle w:val="95"/>
                    <w:adjustRightInd w:val="0"/>
                    <w:snapToGrid w:val="0"/>
                    <w:jc w:val="center"/>
                    <w:rPr>
                      <w:rFonts w:ascii="Times New Roman" w:hAnsi="Times New Roman"/>
                      <w:b/>
                      <w:bCs/>
                      <w:color w:val="auto"/>
                      <w:szCs w:val="21"/>
                    </w:rPr>
                  </w:pPr>
                  <w:r>
                    <w:rPr>
                      <w:rFonts w:ascii="Times New Roman" w:hAnsi="Times New Roman"/>
                      <w:b/>
                      <w:bCs/>
                      <w:color w:val="auto"/>
                      <w:szCs w:val="21"/>
                    </w:rPr>
                    <w:t>污染防治设施名称</w:t>
                  </w:r>
                </w:p>
              </w:tc>
              <w:tc>
                <w:tcPr>
                  <w:tcW w:w="945" w:type="dxa"/>
                  <w:vAlign w:val="center"/>
                </w:tcPr>
                <w:p>
                  <w:pPr>
                    <w:pStyle w:val="95"/>
                    <w:adjustRightInd w:val="0"/>
                    <w:snapToGrid w:val="0"/>
                    <w:jc w:val="center"/>
                    <w:rPr>
                      <w:rFonts w:ascii="Times New Roman" w:hAnsi="Times New Roman"/>
                      <w:b/>
                      <w:bCs/>
                      <w:color w:val="auto"/>
                      <w:szCs w:val="21"/>
                    </w:rPr>
                  </w:pPr>
                  <w:r>
                    <w:rPr>
                      <w:rFonts w:ascii="Times New Roman" w:hAnsi="Times New Roman"/>
                      <w:b/>
                      <w:bCs/>
                      <w:color w:val="auto"/>
                      <w:szCs w:val="21"/>
                    </w:rPr>
                    <w:t>污染防治设施工艺</w:t>
                  </w:r>
                </w:p>
              </w:tc>
              <w:tc>
                <w:tcPr>
                  <w:tcW w:w="753" w:type="dxa"/>
                  <w:vAlign w:val="center"/>
                </w:tcPr>
                <w:p>
                  <w:pPr>
                    <w:pStyle w:val="95"/>
                    <w:adjustRightInd w:val="0"/>
                    <w:snapToGrid w:val="0"/>
                    <w:jc w:val="center"/>
                    <w:rPr>
                      <w:rFonts w:ascii="Times New Roman" w:hAnsi="Times New Roman"/>
                      <w:b/>
                      <w:bCs/>
                      <w:color w:val="auto"/>
                      <w:szCs w:val="21"/>
                    </w:rPr>
                  </w:pPr>
                  <w:r>
                    <w:rPr>
                      <w:rFonts w:ascii="Times New Roman" w:hAnsi="Times New Roman"/>
                      <w:b/>
                      <w:bCs/>
                      <w:color w:val="auto"/>
                      <w:szCs w:val="21"/>
                    </w:rPr>
                    <w:t>排放口类型</w:t>
                  </w:r>
                </w:p>
              </w:tc>
              <w:tc>
                <w:tcPr>
                  <w:tcW w:w="975" w:type="dxa"/>
                  <w:vAlign w:val="center"/>
                </w:tcPr>
                <w:p>
                  <w:pPr>
                    <w:pStyle w:val="95"/>
                    <w:adjustRightInd w:val="0"/>
                    <w:snapToGrid w:val="0"/>
                    <w:jc w:val="center"/>
                    <w:rPr>
                      <w:rFonts w:ascii="Times New Roman" w:hAnsi="Times New Roman"/>
                      <w:b/>
                      <w:bCs/>
                      <w:color w:val="auto"/>
                      <w:szCs w:val="21"/>
                    </w:rPr>
                  </w:pPr>
                  <w:r>
                    <w:rPr>
                      <w:rFonts w:ascii="Times New Roman" w:hAnsi="Times New Roman"/>
                      <w:b/>
                      <w:bCs/>
                      <w:color w:val="auto"/>
                      <w:szCs w:val="21"/>
                    </w:rPr>
                    <w:t>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24" w:type="dxa"/>
                  <w:gridSpan w:val="2"/>
                  <w:vMerge w:val="restart"/>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煤粉锅炉</w:t>
                  </w:r>
                </w:p>
              </w:tc>
              <w:tc>
                <w:tcPr>
                  <w:tcW w:w="1500"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二氧化硫</w:t>
                  </w:r>
                </w:p>
              </w:tc>
              <w:tc>
                <w:tcPr>
                  <w:tcW w:w="902"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有组织</w:t>
                  </w:r>
                </w:p>
              </w:tc>
              <w:tc>
                <w:tcPr>
                  <w:tcW w:w="1108"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脱硫系统</w:t>
                  </w:r>
                </w:p>
              </w:tc>
              <w:tc>
                <w:tcPr>
                  <w:tcW w:w="945" w:type="dxa"/>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碱法脱硫</w:t>
                  </w:r>
                </w:p>
              </w:tc>
              <w:tc>
                <w:tcPr>
                  <w:tcW w:w="753" w:type="dxa"/>
                  <w:vMerge w:val="restart"/>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主要排放口</w:t>
                  </w:r>
                </w:p>
              </w:tc>
              <w:tc>
                <w:tcPr>
                  <w:tcW w:w="975" w:type="dxa"/>
                  <w:vAlign w:val="center"/>
                </w:tcPr>
                <w:p>
                  <w:pPr>
                    <w:pStyle w:val="95"/>
                    <w:adjustRightInd w:val="0"/>
                    <w:snapToGrid w:val="0"/>
                    <w:jc w:val="center"/>
                    <w:rPr>
                      <w:rFonts w:hint="default" w:ascii="Times New Roman" w:hAnsi="Times New Roman" w:eastAsia="宋体"/>
                      <w:color w:val="auto"/>
                      <w:szCs w:val="21"/>
                      <w:lang w:val="en-US" w:eastAsia="zh-CN"/>
                    </w:rPr>
                  </w:pPr>
                  <w:r>
                    <w:rPr>
                      <w:rFonts w:ascii="Times New Roman" w:hAnsi="Times New Roman"/>
                      <w:color w:val="auto"/>
                      <w:szCs w:val="21"/>
                    </w:rPr>
                    <w:t>13.9</w:t>
                  </w:r>
                  <w:r>
                    <w:rPr>
                      <w:rFonts w:hint="eastAsia" w:ascii="Times New Roman" w:hAnsi="Times New Roman"/>
                      <w:color w:val="auto"/>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24" w:type="dxa"/>
                  <w:gridSpan w:val="2"/>
                  <w:vMerge w:val="continue"/>
                  <w:vAlign w:val="center"/>
                </w:tcPr>
                <w:p>
                  <w:pPr>
                    <w:pStyle w:val="95"/>
                    <w:adjustRightInd w:val="0"/>
                    <w:snapToGrid w:val="0"/>
                    <w:jc w:val="center"/>
                    <w:rPr>
                      <w:rFonts w:ascii="Times New Roman" w:hAnsi="Times New Roman"/>
                      <w:color w:val="auto"/>
                      <w:szCs w:val="21"/>
                    </w:rPr>
                  </w:pPr>
                </w:p>
              </w:tc>
              <w:tc>
                <w:tcPr>
                  <w:tcW w:w="1500"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氮氧化物</w:t>
                  </w:r>
                </w:p>
              </w:tc>
              <w:tc>
                <w:tcPr>
                  <w:tcW w:w="902"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有组织</w:t>
                  </w:r>
                </w:p>
              </w:tc>
              <w:tc>
                <w:tcPr>
                  <w:tcW w:w="1108" w:type="dxa"/>
                  <w:vAlign w:val="center"/>
                </w:tcPr>
                <w:p>
                  <w:pPr>
                    <w:adjustRightInd w:val="0"/>
                    <w:snapToGrid w:val="0"/>
                    <w:spacing w:line="360" w:lineRule="auto"/>
                    <w:jc w:val="center"/>
                    <w:rPr>
                      <w:rFonts w:ascii="Times New Roman" w:hAnsi="Times New Roman"/>
                      <w:b/>
                      <w:color w:val="auto"/>
                      <w:kern w:val="0"/>
                      <w:sz w:val="21"/>
                      <w:szCs w:val="21"/>
                    </w:rPr>
                  </w:pPr>
                  <w:r>
                    <w:rPr>
                      <w:rFonts w:ascii="Times New Roman" w:hAnsi="Times New Roman"/>
                      <w:b/>
                      <w:color w:val="auto"/>
                      <w:kern w:val="0"/>
                      <w:sz w:val="21"/>
                      <w:szCs w:val="21"/>
                    </w:rPr>
                    <w:t>/</w:t>
                  </w:r>
                </w:p>
              </w:tc>
              <w:tc>
                <w:tcPr>
                  <w:tcW w:w="945" w:type="dxa"/>
                  <w:vAlign w:val="center"/>
                </w:tcPr>
                <w:p>
                  <w:pPr>
                    <w:adjustRightInd w:val="0"/>
                    <w:snapToGrid w:val="0"/>
                    <w:spacing w:line="360" w:lineRule="auto"/>
                    <w:jc w:val="center"/>
                    <w:rPr>
                      <w:rFonts w:ascii="Times New Roman" w:hAnsi="Times New Roman"/>
                      <w:b/>
                      <w:color w:val="auto"/>
                      <w:kern w:val="0"/>
                      <w:sz w:val="21"/>
                      <w:szCs w:val="21"/>
                    </w:rPr>
                  </w:pPr>
                  <w:r>
                    <w:rPr>
                      <w:rFonts w:ascii="Times New Roman" w:hAnsi="Times New Roman"/>
                      <w:b/>
                      <w:color w:val="auto"/>
                      <w:kern w:val="0"/>
                      <w:sz w:val="21"/>
                      <w:szCs w:val="21"/>
                    </w:rPr>
                    <w:t>/</w:t>
                  </w:r>
                </w:p>
              </w:tc>
              <w:tc>
                <w:tcPr>
                  <w:tcW w:w="753" w:type="dxa"/>
                  <w:vMerge w:val="continue"/>
                  <w:vAlign w:val="center"/>
                </w:tcPr>
                <w:p>
                  <w:pPr>
                    <w:pStyle w:val="95"/>
                    <w:adjustRightInd w:val="0"/>
                    <w:snapToGrid w:val="0"/>
                    <w:jc w:val="center"/>
                    <w:rPr>
                      <w:rFonts w:ascii="Times New Roman" w:hAnsi="Times New Roman"/>
                      <w:color w:val="auto"/>
                      <w:szCs w:val="21"/>
                    </w:rPr>
                  </w:pPr>
                </w:p>
              </w:tc>
              <w:tc>
                <w:tcPr>
                  <w:tcW w:w="975" w:type="dxa"/>
                  <w:vAlign w:val="center"/>
                </w:tcPr>
                <w:p>
                  <w:pPr>
                    <w:pStyle w:val="95"/>
                    <w:adjustRightInd w:val="0"/>
                    <w:snapToGrid w:val="0"/>
                    <w:jc w:val="center"/>
                    <w:rPr>
                      <w:rFonts w:hint="default" w:ascii="Times New Roman" w:hAnsi="Times New Roman" w:eastAsia="宋体"/>
                      <w:color w:val="auto"/>
                      <w:szCs w:val="21"/>
                      <w:lang w:val="en-US" w:eastAsia="zh-CN"/>
                    </w:rPr>
                  </w:pPr>
                  <w:r>
                    <w:rPr>
                      <w:rFonts w:ascii="Times New Roman" w:hAnsi="Times New Roman"/>
                      <w:color w:val="auto"/>
                      <w:szCs w:val="21"/>
                    </w:rPr>
                    <w:t>18.8</w:t>
                  </w:r>
                  <w:r>
                    <w:rPr>
                      <w:rFonts w:hint="eastAsia" w:ascii="Times New Roman" w:hAnsi="Times New Roman"/>
                      <w:color w:val="auto"/>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24" w:type="dxa"/>
                  <w:gridSpan w:val="2"/>
                  <w:vMerge w:val="continue"/>
                  <w:vAlign w:val="center"/>
                </w:tcPr>
                <w:p>
                  <w:pPr>
                    <w:pStyle w:val="95"/>
                    <w:adjustRightInd w:val="0"/>
                    <w:snapToGrid w:val="0"/>
                    <w:jc w:val="center"/>
                    <w:rPr>
                      <w:rFonts w:ascii="Times New Roman" w:hAnsi="Times New Roman"/>
                      <w:color w:val="auto"/>
                      <w:szCs w:val="21"/>
                    </w:rPr>
                  </w:pPr>
                </w:p>
              </w:tc>
              <w:tc>
                <w:tcPr>
                  <w:tcW w:w="1500"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林格曼黑度</w:t>
                  </w:r>
                </w:p>
              </w:tc>
              <w:tc>
                <w:tcPr>
                  <w:tcW w:w="902"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有组织</w:t>
                  </w:r>
                </w:p>
              </w:tc>
              <w:tc>
                <w:tcPr>
                  <w:tcW w:w="1108" w:type="dxa"/>
                  <w:vAlign w:val="center"/>
                </w:tcPr>
                <w:p>
                  <w:pPr>
                    <w:pStyle w:val="95"/>
                    <w:adjustRightInd w:val="0"/>
                    <w:snapToGrid w:val="0"/>
                    <w:jc w:val="center"/>
                    <w:rPr>
                      <w:rFonts w:ascii="Times New Roman" w:hAnsi="Times New Roman"/>
                      <w:color w:val="auto"/>
                      <w:szCs w:val="21"/>
                    </w:rPr>
                  </w:pPr>
                  <w:r>
                    <w:rPr>
                      <w:rFonts w:ascii="Times New Roman" w:hAnsi="Times New Roman"/>
                      <w:b/>
                      <w:color w:val="auto"/>
                      <w:kern w:val="0"/>
                      <w:szCs w:val="21"/>
                    </w:rPr>
                    <w:t>/</w:t>
                  </w:r>
                </w:p>
              </w:tc>
              <w:tc>
                <w:tcPr>
                  <w:tcW w:w="945" w:type="dxa"/>
                  <w:vAlign w:val="center"/>
                </w:tcPr>
                <w:p>
                  <w:pPr>
                    <w:pStyle w:val="95"/>
                    <w:adjustRightInd w:val="0"/>
                    <w:snapToGrid w:val="0"/>
                    <w:jc w:val="center"/>
                    <w:rPr>
                      <w:rFonts w:ascii="Times New Roman" w:hAnsi="Times New Roman"/>
                      <w:color w:val="auto"/>
                      <w:szCs w:val="21"/>
                    </w:rPr>
                  </w:pPr>
                  <w:r>
                    <w:rPr>
                      <w:rFonts w:ascii="Times New Roman" w:hAnsi="Times New Roman"/>
                      <w:b/>
                      <w:color w:val="auto"/>
                      <w:kern w:val="0"/>
                      <w:szCs w:val="21"/>
                    </w:rPr>
                    <w:t>/</w:t>
                  </w:r>
                </w:p>
              </w:tc>
              <w:tc>
                <w:tcPr>
                  <w:tcW w:w="753" w:type="dxa"/>
                  <w:vMerge w:val="continue"/>
                  <w:vAlign w:val="center"/>
                </w:tcPr>
                <w:p>
                  <w:pPr>
                    <w:adjustRightInd w:val="0"/>
                    <w:snapToGrid w:val="0"/>
                    <w:spacing w:line="360" w:lineRule="auto"/>
                    <w:jc w:val="center"/>
                    <w:rPr>
                      <w:rFonts w:ascii="Times New Roman" w:hAnsi="Times New Roman"/>
                      <w:b/>
                      <w:color w:val="auto"/>
                      <w:kern w:val="0"/>
                      <w:sz w:val="21"/>
                      <w:szCs w:val="21"/>
                    </w:rPr>
                  </w:pPr>
                </w:p>
              </w:tc>
              <w:tc>
                <w:tcPr>
                  <w:tcW w:w="975" w:type="dxa"/>
                  <w:vAlign w:val="center"/>
                </w:tcPr>
                <w:p>
                  <w:pPr>
                    <w:adjustRightInd w:val="0"/>
                    <w:snapToGrid w:val="0"/>
                    <w:spacing w:line="360" w:lineRule="auto"/>
                    <w:jc w:val="center"/>
                    <w:rPr>
                      <w:rFonts w:ascii="Times New Roman" w:hAnsi="Times New Roman"/>
                      <w:b/>
                      <w:color w:val="auto"/>
                      <w:kern w:val="0"/>
                      <w:sz w:val="21"/>
                      <w:szCs w:val="21"/>
                    </w:rPr>
                  </w:pPr>
                  <w:r>
                    <w:rPr>
                      <w:rFonts w:ascii="Times New Roman" w:hAnsi="Times New Roman"/>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24" w:type="dxa"/>
                  <w:gridSpan w:val="2"/>
                  <w:vMerge w:val="continue"/>
                  <w:vAlign w:val="center"/>
                </w:tcPr>
                <w:p>
                  <w:pPr>
                    <w:pStyle w:val="95"/>
                    <w:adjustRightInd w:val="0"/>
                    <w:snapToGrid w:val="0"/>
                    <w:jc w:val="center"/>
                    <w:rPr>
                      <w:rFonts w:ascii="Times New Roman" w:hAnsi="Times New Roman"/>
                      <w:color w:val="auto"/>
                      <w:szCs w:val="21"/>
                    </w:rPr>
                  </w:pPr>
                </w:p>
              </w:tc>
              <w:tc>
                <w:tcPr>
                  <w:tcW w:w="1500"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烟尘</w:t>
                  </w:r>
                </w:p>
              </w:tc>
              <w:tc>
                <w:tcPr>
                  <w:tcW w:w="902"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有组织</w:t>
                  </w:r>
                </w:p>
              </w:tc>
              <w:tc>
                <w:tcPr>
                  <w:tcW w:w="1108"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袋式除尘器</w:t>
                  </w:r>
                </w:p>
              </w:tc>
              <w:tc>
                <w:tcPr>
                  <w:tcW w:w="945" w:type="dxa"/>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过滤</w:t>
                  </w:r>
                </w:p>
              </w:tc>
              <w:tc>
                <w:tcPr>
                  <w:tcW w:w="753" w:type="dxa"/>
                  <w:vMerge w:val="continue"/>
                  <w:vAlign w:val="center"/>
                </w:tcPr>
                <w:p>
                  <w:pPr>
                    <w:adjustRightInd w:val="0"/>
                    <w:snapToGrid w:val="0"/>
                    <w:spacing w:line="360" w:lineRule="auto"/>
                    <w:jc w:val="center"/>
                    <w:rPr>
                      <w:rFonts w:ascii="Times New Roman" w:hAnsi="Times New Roman"/>
                      <w:b/>
                      <w:color w:val="auto"/>
                      <w:kern w:val="0"/>
                      <w:sz w:val="21"/>
                      <w:szCs w:val="21"/>
                    </w:rPr>
                  </w:pPr>
                </w:p>
              </w:tc>
              <w:tc>
                <w:tcPr>
                  <w:tcW w:w="975" w:type="dxa"/>
                  <w:vAlign w:val="center"/>
                </w:tcPr>
                <w:p>
                  <w:pPr>
                    <w:adjustRightInd w:val="0"/>
                    <w:snapToGrid w:val="0"/>
                    <w:spacing w:line="360" w:lineRule="auto"/>
                    <w:jc w:val="center"/>
                    <w:rPr>
                      <w:rFonts w:hint="default" w:ascii="Times New Roman" w:hAnsi="Times New Roman" w:eastAsia="宋体"/>
                      <w:b/>
                      <w:color w:val="auto"/>
                      <w:kern w:val="0"/>
                      <w:sz w:val="21"/>
                      <w:szCs w:val="21"/>
                      <w:lang w:val="en-US" w:eastAsia="zh-CN"/>
                    </w:rPr>
                  </w:pPr>
                  <w:r>
                    <w:rPr>
                      <w:rFonts w:ascii="Times New Roman" w:hAnsi="Times New Roman"/>
                      <w:color w:val="auto"/>
                      <w:sz w:val="21"/>
                      <w:szCs w:val="21"/>
                    </w:rPr>
                    <w:t>6.6</w:t>
                  </w:r>
                  <w:r>
                    <w:rPr>
                      <w:rFonts w:hint="eastAsia" w:ascii="Times New Roman" w:hAnsi="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24" w:type="dxa"/>
                  <w:gridSpan w:val="2"/>
                  <w:vMerge w:val="continue"/>
                  <w:vAlign w:val="center"/>
                </w:tcPr>
                <w:p>
                  <w:pPr>
                    <w:adjustRightInd w:val="0"/>
                    <w:snapToGrid w:val="0"/>
                    <w:spacing w:line="360" w:lineRule="auto"/>
                    <w:jc w:val="center"/>
                    <w:rPr>
                      <w:rFonts w:ascii="Times New Roman" w:hAnsi="Times New Roman"/>
                      <w:b/>
                      <w:color w:val="auto"/>
                      <w:kern w:val="0"/>
                      <w:sz w:val="21"/>
                      <w:szCs w:val="21"/>
                    </w:rPr>
                  </w:pPr>
                </w:p>
              </w:tc>
              <w:tc>
                <w:tcPr>
                  <w:tcW w:w="1500"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汞及其化合物</w:t>
                  </w:r>
                </w:p>
              </w:tc>
              <w:tc>
                <w:tcPr>
                  <w:tcW w:w="902"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有组织</w:t>
                  </w:r>
                </w:p>
              </w:tc>
              <w:tc>
                <w:tcPr>
                  <w:tcW w:w="1108" w:type="dxa"/>
                  <w:vAlign w:val="center"/>
                </w:tcPr>
                <w:p>
                  <w:pPr>
                    <w:adjustRightInd w:val="0"/>
                    <w:snapToGrid w:val="0"/>
                    <w:spacing w:line="360" w:lineRule="auto"/>
                    <w:jc w:val="center"/>
                    <w:rPr>
                      <w:rFonts w:ascii="Times New Roman" w:hAnsi="Times New Roman"/>
                      <w:b/>
                      <w:color w:val="auto"/>
                      <w:kern w:val="0"/>
                      <w:sz w:val="21"/>
                      <w:szCs w:val="21"/>
                    </w:rPr>
                  </w:pPr>
                  <w:r>
                    <w:rPr>
                      <w:rFonts w:ascii="Times New Roman" w:hAnsi="Times New Roman"/>
                      <w:b/>
                      <w:color w:val="auto"/>
                      <w:kern w:val="0"/>
                      <w:sz w:val="21"/>
                      <w:szCs w:val="21"/>
                    </w:rPr>
                    <w:t>/</w:t>
                  </w:r>
                </w:p>
              </w:tc>
              <w:tc>
                <w:tcPr>
                  <w:tcW w:w="945" w:type="dxa"/>
                  <w:vAlign w:val="center"/>
                </w:tcPr>
                <w:p>
                  <w:pPr>
                    <w:adjustRightInd w:val="0"/>
                    <w:snapToGrid w:val="0"/>
                    <w:spacing w:line="360" w:lineRule="auto"/>
                    <w:jc w:val="center"/>
                    <w:rPr>
                      <w:rFonts w:ascii="Times New Roman" w:hAnsi="Times New Roman"/>
                      <w:b/>
                      <w:color w:val="auto"/>
                      <w:kern w:val="0"/>
                      <w:sz w:val="21"/>
                      <w:szCs w:val="21"/>
                    </w:rPr>
                  </w:pPr>
                  <w:r>
                    <w:rPr>
                      <w:rFonts w:ascii="Times New Roman" w:hAnsi="Times New Roman"/>
                      <w:b/>
                      <w:color w:val="auto"/>
                      <w:kern w:val="0"/>
                      <w:sz w:val="21"/>
                      <w:szCs w:val="21"/>
                    </w:rPr>
                    <w:t>/</w:t>
                  </w:r>
                </w:p>
              </w:tc>
              <w:tc>
                <w:tcPr>
                  <w:tcW w:w="753" w:type="dxa"/>
                  <w:vMerge w:val="continue"/>
                  <w:vAlign w:val="center"/>
                </w:tcPr>
                <w:p>
                  <w:pPr>
                    <w:adjustRightInd w:val="0"/>
                    <w:snapToGrid w:val="0"/>
                    <w:spacing w:line="360" w:lineRule="auto"/>
                    <w:jc w:val="center"/>
                    <w:rPr>
                      <w:rFonts w:ascii="Times New Roman" w:hAnsi="Times New Roman"/>
                      <w:b/>
                      <w:color w:val="auto"/>
                      <w:kern w:val="0"/>
                      <w:sz w:val="21"/>
                      <w:szCs w:val="21"/>
                    </w:rPr>
                  </w:pPr>
                </w:p>
              </w:tc>
              <w:tc>
                <w:tcPr>
                  <w:tcW w:w="975" w:type="dxa"/>
                  <w:vAlign w:val="center"/>
                </w:tcPr>
                <w:p>
                  <w:pPr>
                    <w:adjustRightInd w:val="0"/>
                    <w:snapToGrid w:val="0"/>
                    <w:spacing w:line="360" w:lineRule="auto"/>
                    <w:jc w:val="center"/>
                    <w:rPr>
                      <w:rFonts w:ascii="Times New Roman" w:hAnsi="Times New Roman"/>
                      <w:b/>
                      <w:color w:val="auto"/>
                      <w:kern w:val="0"/>
                      <w:sz w:val="21"/>
                      <w:szCs w:val="21"/>
                    </w:rPr>
                  </w:pPr>
                  <w:r>
                    <w:rPr>
                      <w:rFonts w:ascii="Times New Roman" w:hAnsi="Times New Roman"/>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24" w:type="dxa"/>
                  <w:gridSpan w:val="2"/>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立式水力碎浆机</w:t>
                  </w:r>
                  <w:r>
                    <w:rPr>
                      <w:rFonts w:hint="eastAsia" w:ascii="Times New Roman" w:hAnsi="Times New Roman"/>
                      <w:color w:val="auto"/>
                      <w:szCs w:val="21"/>
                    </w:rPr>
                    <w:t>、污水处理设施</w:t>
                  </w:r>
                </w:p>
              </w:tc>
              <w:tc>
                <w:tcPr>
                  <w:tcW w:w="1500"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臭气浓度</w:t>
                  </w:r>
                </w:p>
              </w:tc>
              <w:tc>
                <w:tcPr>
                  <w:tcW w:w="902"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无组织</w:t>
                  </w:r>
                </w:p>
              </w:tc>
              <w:tc>
                <w:tcPr>
                  <w:tcW w:w="1108"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洒水</w:t>
                  </w:r>
                </w:p>
              </w:tc>
              <w:tc>
                <w:tcPr>
                  <w:tcW w:w="945"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洒水</w:t>
                  </w:r>
                </w:p>
              </w:tc>
              <w:tc>
                <w:tcPr>
                  <w:tcW w:w="753" w:type="dxa"/>
                  <w:vAlign w:val="center"/>
                </w:tcPr>
                <w:p>
                  <w:pPr>
                    <w:adjustRightInd w:val="0"/>
                    <w:snapToGrid w:val="0"/>
                    <w:spacing w:line="360" w:lineRule="auto"/>
                    <w:jc w:val="center"/>
                    <w:rPr>
                      <w:rFonts w:ascii="Times New Roman" w:hAnsi="Times New Roman"/>
                      <w:b/>
                      <w:color w:val="auto"/>
                      <w:kern w:val="0"/>
                      <w:sz w:val="21"/>
                      <w:szCs w:val="21"/>
                    </w:rPr>
                  </w:pPr>
                  <w:r>
                    <w:rPr>
                      <w:rFonts w:ascii="Times New Roman" w:hAnsi="Times New Roman"/>
                      <w:b/>
                      <w:color w:val="auto"/>
                      <w:kern w:val="0"/>
                      <w:sz w:val="21"/>
                      <w:szCs w:val="21"/>
                    </w:rPr>
                    <w:t>/</w:t>
                  </w:r>
                </w:p>
              </w:tc>
              <w:tc>
                <w:tcPr>
                  <w:tcW w:w="975" w:type="dxa"/>
                  <w:vAlign w:val="center"/>
                </w:tcPr>
                <w:p>
                  <w:pPr>
                    <w:adjustRightInd w:val="0"/>
                    <w:snapToGrid w:val="0"/>
                    <w:spacing w:line="360" w:lineRule="auto"/>
                    <w:jc w:val="center"/>
                    <w:rPr>
                      <w:rFonts w:ascii="Times New Roman" w:hAnsi="Times New Roman"/>
                      <w:b/>
                      <w:color w:val="auto"/>
                      <w:kern w:val="0"/>
                      <w:sz w:val="21"/>
                      <w:szCs w:val="21"/>
                    </w:rPr>
                  </w:pPr>
                  <w:r>
                    <w:rPr>
                      <w:rFonts w:ascii="Times New Roman" w:hAnsi="Times New Roman"/>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24" w:type="dxa"/>
                  <w:gridSpan w:val="2"/>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原料堆场</w:t>
                  </w:r>
                </w:p>
              </w:tc>
              <w:tc>
                <w:tcPr>
                  <w:tcW w:w="1500"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粉尘</w:t>
                  </w:r>
                </w:p>
              </w:tc>
              <w:tc>
                <w:tcPr>
                  <w:tcW w:w="902"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无组织</w:t>
                  </w:r>
                </w:p>
              </w:tc>
              <w:tc>
                <w:tcPr>
                  <w:tcW w:w="1108"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苫盖</w:t>
                  </w:r>
                </w:p>
              </w:tc>
              <w:tc>
                <w:tcPr>
                  <w:tcW w:w="945"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苫盖</w:t>
                  </w:r>
                </w:p>
              </w:tc>
              <w:tc>
                <w:tcPr>
                  <w:tcW w:w="753" w:type="dxa"/>
                  <w:vAlign w:val="center"/>
                </w:tcPr>
                <w:p>
                  <w:pPr>
                    <w:adjustRightInd w:val="0"/>
                    <w:snapToGrid w:val="0"/>
                    <w:spacing w:line="360" w:lineRule="auto"/>
                    <w:jc w:val="center"/>
                    <w:rPr>
                      <w:rFonts w:ascii="Times New Roman" w:hAnsi="Times New Roman"/>
                      <w:b/>
                      <w:color w:val="auto"/>
                      <w:kern w:val="0"/>
                      <w:sz w:val="21"/>
                      <w:szCs w:val="21"/>
                    </w:rPr>
                  </w:pPr>
                  <w:r>
                    <w:rPr>
                      <w:rFonts w:ascii="Times New Roman" w:hAnsi="Times New Roman"/>
                      <w:b/>
                      <w:color w:val="auto"/>
                      <w:kern w:val="0"/>
                      <w:sz w:val="21"/>
                      <w:szCs w:val="21"/>
                    </w:rPr>
                    <w:t>/</w:t>
                  </w:r>
                </w:p>
              </w:tc>
              <w:tc>
                <w:tcPr>
                  <w:tcW w:w="975" w:type="dxa"/>
                  <w:vAlign w:val="center"/>
                </w:tcPr>
                <w:p>
                  <w:pPr>
                    <w:adjustRightInd w:val="0"/>
                    <w:snapToGrid w:val="0"/>
                    <w:spacing w:line="360" w:lineRule="auto"/>
                    <w:jc w:val="center"/>
                    <w:rPr>
                      <w:rFonts w:ascii="Times New Roman" w:hAnsi="Times New Roman"/>
                      <w:b/>
                      <w:color w:val="auto"/>
                      <w:kern w:val="0"/>
                      <w:sz w:val="21"/>
                      <w:szCs w:val="21"/>
                    </w:rPr>
                  </w:pPr>
                  <w:r>
                    <w:rPr>
                      <w:rFonts w:ascii="Times New Roman" w:hAnsi="Times New Roman"/>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24" w:type="dxa"/>
                  <w:gridSpan w:val="2"/>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煤棚</w:t>
                  </w:r>
                </w:p>
              </w:tc>
              <w:tc>
                <w:tcPr>
                  <w:tcW w:w="1500"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粉尘</w:t>
                  </w:r>
                </w:p>
              </w:tc>
              <w:tc>
                <w:tcPr>
                  <w:tcW w:w="902"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无组织</w:t>
                  </w:r>
                </w:p>
              </w:tc>
              <w:tc>
                <w:tcPr>
                  <w:tcW w:w="1108"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洒水</w:t>
                  </w:r>
                </w:p>
              </w:tc>
              <w:tc>
                <w:tcPr>
                  <w:tcW w:w="945"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洒水</w:t>
                  </w:r>
                </w:p>
              </w:tc>
              <w:tc>
                <w:tcPr>
                  <w:tcW w:w="753" w:type="dxa"/>
                  <w:vAlign w:val="center"/>
                </w:tcPr>
                <w:p>
                  <w:pPr>
                    <w:adjustRightInd w:val="0"/>
                    <w:snapToGrid w:val="0"/>
                    <w:spacing w:line="360" w:lineRule="auto"/>
                    <w:jc w:val="center"/>
                    <w:rPr>
                      <w:rFonts w:ascii="Times New Roman" w:hAnsi="Times New Roman"/>
                      <w:b/>
                      <w:color w:val="auto"/>
                      <w:kern w:val="0"/>
                      <w:sz w:val="21"/>
                      <w:szCs w:val="21"/>
                    </w:rPr>
                  </w:pPr>
                  <w:r>
                    <w:rPr>
                      <w:rFonts w:ascii="Times New Roman" w:hAnsi="Times New Roman"/>
                      <w:b/>
                      <w:color w:val="auto"/>
                      <w:kern w:val="0"/>
                      <w:sz w:val="21"/>
                      <w:szCs w:val="21"/>
                    </w:rPr>
                    <w:t>/</w:t>
                  </w:r>
                </w:p>
              </w:tc>
              <w:tc>
                <w:tcPr>
                  <w:tcW w:w="975" w:type="dxa"/>
                  <w:vAlign w:val="center"/>
                </w:tcPr>
                <w:p>
                  <w:pPr>
                    <w:adjustRightInd w:val="0"/>
                    <w:snapToGrid w:val="0"/>
                    <w:spacing w:line="360" w:lineRule="auto"/>
                    <w:jc w:val="center"/>
                    <w:rPr>
                      <w:rFonts w:ascii="Times New Roman" w:hAnsi="Times New Roman"/>
                      <w:b/>
                      <w:color w:val="auto"/>
                      <w:kern w:val="0"/>
                      <w:sz w:val="21"/>
                      <w:szCs w:val="21"/>
                    </w:rPr>
                  </w:pPr>
                  <w:r>
                    <w:rPr>
                      <w:rFonts w:ascii="Times New Roman" w:hAnsi="Times New Roman"/>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24" w:type="dxa"/>
                  <w:gridSpan w:val="2"/>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石灰粉仓</w:t>
                  </w:r>
                </w:p>
              </w:tc>
              <w:tc>
                <w:tcPr>
                  <w:tcW w:w="1500"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粉尘</w:t>
                  </w:r>
                </w:p>
              </w:tc>
              <w:tc>
                <w:tcPr>
                  <w:tcW w:w="902"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无组织</w:t>
                  </w:r>
                </w:p>
              </w:tc>
              <w:tc>
                <w:tcPr>
                  <w:tcW w:w="1108"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苫盖</w:t>
                  </w:r>
                </w:p>
              </w:tc>
              <w:tc>
                <w:tcPr>
                  <w:tcW w:w="945"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苫盖</w:t>
                  </w:r>
                </w:p>
              </w:tc>
              <w:tc>
                <w:tcPr>
                  <w:tcW w:w="753" w:type="dxa"/>
                  <w:vAlign w:val="center"/>
                </w:tcPr>
                <w:p>
                  <w:pPr>
                    <w:adjustRightInd w:val="0"/>
                    <w:snapToGrid w:val="0"/>
                    <w:spacing w:line="360" w:lineRule="auto"/>
                    <w:jc w:val="center"/>
                    <w:rPr>
                      <w:rFonts w:ascii="Times New Roman" w:hAnsi="Times New Roman"/>
                      <w:b/>
                      <w:color w:val="auto"/>
                      <w:kern w:val="0"/>
                      <w:sz w:val="21"/>
                      <w:szCs w:val="21"/>
                    </w:rPr>
                  </w:pPr>
                  <w:r>
                    <w:rPr>
                      <w:rFonts w:ascii="Times New Roman" w:hAnsi="Times New Roman"/>
                      <w:b/>
                      <w:color w:val="auto"/>
                      <w:kern w:val="0"/>
                      <w:sz w:val="21"/>
                      <w:szCs w:val="21"/>
                    </w:rPr>
                    <w:t>/</w:t>
                  </w:r>
                </w:p>
              </w:tc>
              <w:tc>
                <w:tcPr>
                  <w:tcW w:w="975" w:type="dxa"/>
                  <w:vAlign w:val="center"/>
                </w:tcPr>
                <w:p>
                  <w:pPr>
                    <w:adjustRightInd w:val="0"/>
                    <w:snapToGrid w:val="0"/>
                    <w:spacing w:line="360" w:lineRule="auto"/>
                    <w:jc w:val="center"/>
                    <w:rPr>
                      <w:rFonts w:ascii="Times New Roman" w:hAnsi="Times New Roman"/>
                      <w:b/>
                      <w:color w:val="auto"/>
                      <w:kern w:val="0"/>
                      <w:sz w:val="21"/>
                      <w:szCs w:val="21"/>
                    </w:rPr>
                  </w:pPr>
                  <w:r>
                    <w:rPr>
                      <w:rFonts w:ascii="Times New Roman" w:hAnsi="Times New Roman"/>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24" w:type="dxa"/>
                  <w:gridSpan w:val="2"/>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渣棚</w:t>
                  </w:r>
                </w:p>
              </w:tc>
              <w:tc>
                <w:tcPr>
                  <w:tcW w:w="1500"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粉尘</w:t>
                  </w:r>
                </w:p>
              </w:tc>
              <w:tc>
                <w:tcPr>
                  <w:tcW w:w="902"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无组织</w:t>
                  </w:r>
                </w:p>
              </w:tc>
              <w:tc>
                <w:tcPr>
                  <w:tcW w:w="1108"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洒水</w:t>
                  </w:r>
                </w:p>
              </w:tc>
              <w:tc>
                <w:tcPr>
                  <w:tcW w:w="945"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洒水</w:t>
                  </w:r>
                </w:p>
              </w:tc>
              <w:tc>
                <w:tcPr>
                  <w:tcW w:w="753" w:type="dxa"/>
                  <w:vAlign w:val="center"/>
                </w:tcPr>
                <w:p>
                  <w:pPr>
                    <w:adjustRightInd w:val="0"/>
                    <w:snapToGrid w:val="0"/>
                    <w:spacing w:line="360" w:lineRule="auto"/>
                    <w:jc w:val="center"/>
                    <w:rPr>
                      <w:rFonts w:ascii="Times New Roman" w:hAnsi="Times New Roman"/>
                      <w:b/>
                      <w:color w:val="auto"/>
                      <w:kern w:val="0"/>
                      <w:sz w:val="21"/>
                      <w:szCs w:val="21"/>
                    </w:rPr>
                  </w:pPr>
                  <w:r>
                    <w:rPr>
                      <w:rFonts w:ascii="Times New Roman" w:hAnsi="Times New Roman"/>
                      <w:b/>
                      <w:color w:val="auto"/>
                      <w:kern w:val="0"/>
                      <w:sz w:val="21"/>
                      <w:szCs w:val="21"/>
                    </w:rPr>
                    <w:t>/</w:t>
                  </w:r>
                </w:p>
              </w:tc>
              <w:tc>
                <w:tcPr>
                  <w:tcW w:w="975" w:type="dxa"/>
                  <w:vAlign w:val="center"/>
                </w:tcPr>
                <w:p>
                  <w:pPr>
                    <w:adjustRightInd w:val="0"/>
                    <w:snapToGrid w:val="0"/>
                    <w:spacing w:line="360" w:lineRule="auto"/>
                    <w:jc w:val="center"/>
                    <w:rPr>
                      <w:rFonts w:ascii="Times New Roman" w:hAnsi="Times New Roman"/>
                      <w:b/>
                      <w:color w:val="auto"/>
                      <w:kern w:val="0"/>
                      <w:sz w:val="21"/>
                      <w:szCs w:val="21"/>
                    </w:rPr>
                  </w:pPr>
                  <w:r>
                    <w:rPr>
                      <w:rFonts w:ascii="Times New Roman" w:hAnsi="Times New Roman"/>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24" w:type="dxa"/>
                  <w:gridSpan w:val="2"/>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食堂</w:t>
                  </w:r>
                </w:p>
              </w:tc>
              <w:tc>
                <w:tcPr>
                  <w:tcW w:w="1500" w:type="dxa"/>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油烟</w:t>
                  </w:r>
                </w:p>
              </w:tc>
              <w:tc>
                <w:tcPr>
                  <w:tcW w:w="902" w:type="dxa"/>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无组织</w:t>
                  </w:r>
                </w:p>
              </w:tc>
              <w:tc>
                <w:tcPr>
                  <w:tcW w:w="1108" w:type="dxa"/>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排风扇</w:t>
                  </w:r>
                </w:p>
              </w:tc>
              <w:tc>
                <w:tcPr>
                  <w:tcW w:w="945" w:type="dxa"/>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抽排</w:t>
                  </w:r>
                </w:p>
              </w:tc>
              <w:tc>
                <w:tcPr>
                  <w:tcW w:w="753" w:type="dxa"/>
                  <w:vAlign w:val="center"/>
                </w:tcPr>
                <w:p>
                  <w:pPr>
                    <w:adjustRightInd w:val="0"/>
                    <w:snapToGrid w:val="0"/>
                    <w:spacing w:line="360" w:lineRule="auto"/>
                    <w:jc w:val="center"/>
                    <w:rPr>
                      <w:rFonts w:ascii="Times New Roman" w:hAnsi="Times New Roman"/>
                      <w:b/>
                      <w:color w:val="auto"/>
                      <w:kern w:val="0"/>
                      <w:sz w:val="21"/>
                      <w:szCs w:val="21"/>
                    </w:rPr>
                  </w:pPr>
                  <w:r>
                    <w:rPr>
                      <w:rFonts w:hint="eastAsia" w:ascii="Times New Roman" w:hAnsi="Times New Roman"/>
                      <w:b/>
                      <w:color w:val="auto"/>
                      <w:kern w:val="0"/>
                      <w:sz w:val="21"/>
                      <w:szCs w:val="21"/>
                    </w:rPr>
                    <w:t>/</w:t>
                  </w:r>
                </w:p>
              </w:tc>
              <w:tc>
                <w:tcPr>
                  <w:tcW w:w="975" w:type="dxa"/>
                  <w:vAlign w:val="center"/>
                </w:tcPr>
                <w:p>
                  <w:pPr>
                    <w:adjustRightInd w:val="0"/>
                    <w:snapToGrid w:val="0"/>
                    <w:spacing w:line="360" w:lineRule="auto"/>
                    <w:jc w:val="center"/>
                    <w:rPr>
                      <w:rFonts w:ascii="Times New Roman" w:hAnsi="Times New Roman"/>
                      <w:b/>
                      <w:color w:val="auto"/>
                      <w:kern w:val="0"/>
                      <w:sz w:val="21"/>
                      <w:szCs w:val="21"/>
                    </w:rPr>
                  </w:pPr>
                  <w:r>
                    <w:rPr>
                      <w:rFonts w:hint="eastAsia" w:ascii="Times New Roman" w:hAnsi="Times New Roman"/>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5" w:type="dxa"/>
                  <w:vAlign w:val="center"/>
                </w:tcPr>
                <w:p>
                  <w:pPr>
                    <w:pStyle w:val="95"/>
                    <w:adjustRightInd w:val="0"/>
                    <w:snapToGrid w:val="0"/>
                    <w:jc w:val="center"/>
                    <w:rPr>
                      <w:rFonts w:ascii="Times New Roman" w:hAnsi="Times New Roman"/>
                      <w:b/>
                      <w:bCs/>
                      <w:color w:val="auto"/>
                      <w:szCs w:val="21"/>
                    </w:rPr>
                  </w:pPr>
                  <w:r>
                    <w:rPr>
                      <w:rFonts w:ascii="Times New Roman" w:hAnsi="Times New Roman"/>
                      <w:b/>
                      <w:bCs/>
                      <w:color w:val="auto"/>
                      <w:szCs w:val="21"/>
                    </w:rPr>
                    <w:t>工序</w:t>
                  </w:r>
                </w:p>
              </w:tc>
              <w:tc>
                <w:tcPr>
                  <w:tcW w:w="1149" w:type="dxa"/>
                  <w:vAlign w:val="center"/>
                </w:tcPr>
                <w:p>
                  <w:pPr>
                    <w:pStyle w:val="95"/>
                    <w:adjustRightInd w:val="0"/>
                    <w:snapToGrid w:val="0"/>
                    <w:jc w:val="center"/>
                    <w:rPr>
                      <w:rFonts w:ascii="Times New Roman" w:hAnsi="Times New Roman"/>
                      <w:b/>
                      <w:bCs/>
                      <w:color w:val="auto"/>
                      <w:szCs w:val="21"/>
                    </w:rPr>
                  </w:pPr>
                  <w:r>
                    <w:rPr>
                      <w:rFonts w:ascii="Times New Roman" w:hAnsi="Times New Roman"/>
                      <w:b/>
                      <w:bCs/>
                      <w:color w:val="auto"/>
                      <w:szCs w:val="21"/>
                    </w:rPr>
                    <w:t>废水类别</w:t>
                  </w:r>
                </w:p>
              </w:tc>
              <w:tc>
                <w:tcPr>
                  <w:tcW w:w="2402" w:type="dxa"/>
                  <w:gridSpan w:val="2"/>
                  <w:vAlign w:val="center"/>
                </w:tcPr>
                <w:p>
                  <w:pPr>
                    <w:pStyle w:val="95"/>
                    <w:adjustRightInd w:val="0"/>
                    <w:snapToGrid w:val="0"/>
                    <w:jc w:val="center"/>
                    <w:rPr>
                      <w:rFonts w:ascii="Times New Roman" w:hAnsi="Times New Roman"/>
                      <w:b/>
                      <w:bCs/>
                      <w:color w:val="auto"/>
                      <w:szCs w:val="21"/>
                    </w:rPr>
                  </w:pPr>
                  <w:r>
                    <w:rPr>
                      <w:rFonts w:ascii="Times New Roman" w:hAnsi="Times New Roman"/>
                      <w:b/>
                      <w:bCs/>
                      <w:color w:val="auto"/>
                      <w:szCs w:val="21"/>
                    </w:rPr>
                    <w:t>污染物种类</w:t>
                  </w:r>
                </w:p>
              </w:tc>
              <w:tc>
                <w:tcPr>
                  <w:tcW w:w="2053" w:type="dxa"/>
                  <w:gridSpan w:val="2"/>
                  <w:vAlign w:val="center"/>
                </w:tcPr>
                <w:p>
                  <w:pPr>
                    <w:pStyle w:val="95"/>
                    <w:adjustRightInd w:val="0"/>
                    <w:snapToGrid w:val="0"/>
                    <w:jc w:val="center"/>
                    <w:rPr>
                      <w:rFonts w:ascii="Times New Roman" w:hAnsi="Times New Roman"/>
                      <w:b/>
                      <w:bCs/>
                      <w:color w:val="auto"/>
                      <w:kern w:val="0"/>
                      <w:szCs w:val="21"/>
                    </w:rPr>
                  </w:pPr>
                  <w:r>
                    <w:rPr>
                      <w:rFonts w:ascii="Times New Roman" w:hAnsi="Times New Roman"/>
                      <w:b/>
                      <w:bCs/>
                      <w:color w:val="auto"/>
                      <w:szCs w:val="21"/>
                    </w:rPr>
                    <w:t>污染防治设施工艺</w:t>
                  </w:r>
                </w:p>
              </w:tc>
              <w:tc>
                <w:tcPr>
                  <w:tcW w:w="753" w:type="dxa"/>
                  <w:vAlign w:val="center"/>
                </w:tcPr>
                <w:p>
                  <w:pPr>
                    <w:pStyle w:val="95"/>
                    <w:adjustRightInd w:val="0"/>
                    <w:snapToGrid w:val="0"/>
                    <w:jc w:val="center"/>
                    <w:rPr>
                      <w:rFonts w:ascii="Times New Roman" w:hAnsi="Times New Roman"/>
                      <w:b/>
                      <w:bCs/>
                      <w:color w:val="auto"/>
                      <w:szCs w:val="21"/>
                    </w:rPr>
                  </w:pPr>
                  <w:r>
                    <w:rPr>
                      <w:rFonts w:ascii="Times New Roman" w:hAnsi="Times New Roman"/>
                      <w:b/>
                      <w:bCs/>
                      <w:color w:val="auto"/>
                      <w:szCs w:val="21"/>
                    </w:rPr>
                    <w:t>排放口类型</w:t>
                  </w:r>
                </w:p>
              </w:tc>
              <w:tc>
                <w:tcPr>
                  <w:tcW w:w="975" w:type="dxa"/>
                  <w:vAlign w:val="center"/>
                </w:tcPr>
                <w:p>
                  <w:pPr>
                    <w:pStyle w:val="95"/>
                    <w:adjustRightInd w:val="0"/>
                    <w:snapToGrid w:val="0"/>
                    <w:jc w:val="center"/>
                    <w:rPr>
                      <w:rFonts w:ascii="Times New Roman" w:hAnsi="Times New Roman"/>
                      <w:b/>
                      <w:bCs/>
                      <w:color w:val="auto"/>
                      <w:szCs w:val="21"/>
                    </w:rPr>
                  </w:pPr>
                  <w:r>
                    <w:rPr>
                      <w:rFonts w:ascii="Times New Roman" w:hAnsi="Times New Roman"/>
                      <w:b/>
                      <w:bCs/>
                      <w:color w:val="auto"/>
                      <w:szCs w:val="21"/>
                    </w:rPr>
                    <w:t>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5" w:type="dxa"/>
                  <w:vAlign w:val="center"/>
                </w:tcPr>
                <w:p>
                  <w:pPr>
                    <w:pStyle w:val="106"/>
                    <w:adjustRightInd w:val="0"/>
                    <w:snapToGrid w:val="0"/>
                    <w:jc w:val="center"/>
                    <w:rPr>
                      <w:rFonts w:ascii="Times New Roman" w:hAnsi="Times New Roman"/>
                      <w:color w:val="auto"/>
                      <w:szCs w:val="21"/>
                    </w:rPr>
                  </w:pPr>
                  <w:r>
                    <w:rPr>
                      <w:rFonts w:ascii="Times New Roman" w:hAnsi="Times New Roman"/>
                      <w:color w:val="auto"/>
                      <w:szCs w:val="21"/>
                    </w:rPr>
                    <w:t>造纸工段</w:t>
                  </w:r>
                </w:p>
              </w:tc>
              <w:tc>
                <w:tcPr>
                  <w:tcW w:w="1149" w:type="dxa"/>
                  <w:vAlign w:val="center"/>
                </w:tcPr>
                <w:p>
                  <w:pPr>
                    <w:pStyle w:val="106"/>
                    <w:adjustRightInd w:val="0"/>
                    <w:snapToGrid w:val="0"/>
                    <w:jc w:val="center"/>
                    <w:rPr>
                      <w:rFonts w:ascii="Times New Roman" w:hAnsi="Times New Roman"/>
                      <w:color w:val="auto"/>
                      <w:szCs w:val="21"/>
                    </w:rPr>
                  </w:pPr>
                  <w:r>
                    <w:rPr>
                      <w:rFonts w:ascii="Times New Roman" w:hAnsi="Times New Roman"/>
                      <w:color w:val="auto"/>
                      <w:szCs w:val="21"/>
                    </w:rPr>
                    <w:t>造纸白水</w:t>
                  </w:r>
                </w:p>
              </w:tc>
              <w:tc>
                <w:tcPr>
                  <w:tcW w:w="2402" w:type="dxa"/>
                  <w:gridSpan w:val="2"/>
                  <w:vMerge w:val="restart"/>
                  <w:vAlign w:val="center"/>
                </w:tcPr>
                <w:p>
                  <w:pPr>
                    <w:pStyle w:val="95"/>
                    <w:adjustRightInd w:val="0"/>
                    <w:snapToGrid w:val="0"/>
                    <w:rPr>
                      <w:rFonts w:ascii="Times New Roman" w:hAnsi="Times New Roman"/>
                      <w:color w:val="auto"/>
                      <w:szCs w:val="21"/>
                    </w:rPr>
                  </w:pPr>
                  <w:r>
                    <w:rPr>
                      <w:rFonts w:ascii="Times New Roman" w:hAnsi="Times New Roman"/>
                      <w:color w:val="auto"/>
                      <w:szCs w:val="21"/>
                    </w:rPr>
                    <w:t>pH值</w:t>
                  </w:r>
                  <w:r>
                    <w:rPr>
                      <w:rFonts w:hint="eastAsia" w:ascii="Times New Roman" w:hAnsi="Times New Roman"/>
                      <w:color w:val="auto"/>
                      <w:szCs w:val="21"/>
                    </w:rPr>
                    <w:t>、SS、COD、BOD</w:t>
                  </w:r>
                  <w:r>
                    <w:rPr>
                      <w:rFonts w:ascii="Times New Roman" w:hAnsi="Times New Roman"/>
                      <w:color w:val="auto"/>
                      <w:szCs w:val="21"/>
                      <w:vertAlign w:val="subscript"/>
                    </w:rPr>
                    <w:t>5</w:t>
                  </w:r>
                  <w:r>
                    <w:rPr>
                      <w:rFonts w:hint="eastAsia" w:ascii="Times New Roman" w:hAnsi="Times New Roman"/>
                      <w:color w:val="auto"/>
                      <w:szCs w:val="21"/>
                    </w:rPr>
                    <w:t>、</w:t>
                  </w:r>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-N</w:t>
                  </w:r>
                  <w:r>
                    <w:rPr>
                      <w:rFonts w:hint="eastAsia" w:ascii="Times New Roman" w:hAnsi="Times New Roman"/>
                      <w:color w:val="auto"/>
                      <w:szCs w:val="21"/>
                    </w:rPr>
                    <w:t>、TN、TP</w:t>
                  </w:r>
                </w:p>
              </w:tc>
              <w:tc>
                <w:tcPr>
                  <w:tcW w:w="2053" w:type="dxa"/>
                  <w:gridSpan w:val="2"/>
                  <w:vMerge w:val="restart"/>
                  <w:vAlign w:val="center"/>
                </w:tcPr>
                <w:p>
                  <w:pPr>
                    <w:adjustRightInd w:val="0"/>
                    <w:snapToGrid w:val="0"/>
                    <w:spacing w:line="360" w:lineRule="auto"/>
                    <w:jc w:val="center"/>
                    <w:rPr>
                      <w:rFonts w:ascii="Times New Roman" w:hAnsi="Times New Roman"/>
                      <w:b/>
                      <w:color w:val="auto"/>
                      <w:kern w:val="0"/>
                      <w:sz w:val="21"/>
                      <w:szCs w:val="21"/>
                    </w:rPr>
                  </w:pPr>
                  <w:r>
                    <w:rPr>
                      <w:rFonts w:hint="eastAsia" w:ascii="Times New Roman" w:hAnsi="Times New Roman"/>
                      <w:color w:val="auto"/>
                      <w:sz w:val="21"/>
                      <w:szCs w:val="21"/>
                    </w:rPr>
                    <w:t>沉淀+过滤</w:t>
                  </w:r>
                </w:p>
              </w:tc>
              <w:tc>
                <w:tcPr>
                  <w:tcW w:w="753" w:type="dxa"/>
                  <w:vMerge w:val="restart"/>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全部在工序内循环使用</w:t>
                  </w:r>
                </w:p>
              </w:tc>
              <w:tc>
                <w:tcPr>
                  <w:tcW w:w="975"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5" w:type="dxa"/>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制浆工段</w:t>
                  </w:r>
                </w:p>
              </w:tc>
              <w:tc>
                <w:tcPr>
                  <w:tcW w:w="1149" w:type="dxa"/>
                  <w:vAlign w:val="center"/>
                </w:tcPr>
                <w:p>
                  <w:pPr>
                    <w:pStyle w:val="106"/>
                    <w:adjustRightInd w:val="0"/>
                    <w:snapToGrid w:val="0"/>
                    <w:jc w:val="center"/>
                    <w:rPr>
                      <w:rFonts w:ascii="Times New Roman" w:hAnsi="Times New Roman"/>
                      <w:color w:val="auto"/>
                      <w:szCs w:val="21"/>
                    </w:rPr>
                  </w:pPr>
                  <w:r>
                    <w:rPr>
                      <w:rFonts w:ascii="Times New Roman" w:hAnsi="Times New Roman"/>
                      <w:color w:val="auto"/>
                      <w:szCs w:val="21"/>
                    </w:rPr>
                    <w:t>制浆废水</w:t>
                  </w:r>
                </w:p>
              </w:tc>
              <w:tc>
                <w:tcPr>
                  <w:tcW w:w="2402" w:type="dxa"/>
                  <w:gridSpan w:val="2"/>
                  <w:vMerge w:val="continue"/>
                  <w:vAlign w:val="center"/>
                </w:tcPr>
                <w:p>
                  <w:pPr>
                    <w:pStyle w:val="95"/>
                    <w:adjustRightInd w:val="0"/>
                    <w:snapToGrid w:val="0"/>
                    <w:rPr>
                      <w:rFonts w:ascii="Times New Roman" w:hAnsi="Times New Roman"/>
                      <w:color w:val="auto"/>
                      <w:szCs w:val="21"/>
                    </w:rPr>
                  </w:pPr>
                </w:p>
              </w:tc>
              <w:tc>
                <w:tcPr>
                  <w:tcW w:w="2053" w:type="dxa"/>
                  <w:gridSpan w:val="2"/>
                  <w:vMerge w:val="continue"/>
                  <w:vAlign w:val="center"/>
                </w:tcPr>
                <w:p>
                  <w:pPr>
                    <w:pStyle w:val="95"/>
                    <w:adjustRightInd w:val="0"/>
                    <w:snapToGrid w:val="0"/>
                    <w:jc w:val="center"/>
                    <w:rPr>
                      <w:rFonts w:ascii="Times New Roman" w:hAnsi="Times New Roman"/>
                      <w:color w:val="auto"/>
                      <w:szCs w:val="21"/>
                    </w:rPr>
                  </w:pPr>
                </w:p>
              </w:tc>
              <w:tc>
                <w:tcPr>
                  <w:tcW w:w="753" w:type="dxa"/>
                  <w:vMerge w:val="continue"/>
                  <w:vAlign w:val="center"/>
                </w:tcPr>
                <w:p>
                  <w:pPr>
                    <w:pStyle w:val="95"/>
                    <w:adjustRightInd w:val="0"/>
                    <w:snapToGrid w:val="0"/>
                    <w:jc w:val="center"/>
                    <w:rPr>
                      <w:rFonts w:ascii="Times New Roman" w:hAnsi="Times New Roman"/>
                      <w:color w:val="auto"/>
                      <w:szCs w:val="21"/>
                    </w:rPr>
                  </w:pPr>
                </w:p>
              </w:tc>
              <w:tc>
                <w:tcPr>
                  <w:tcW w:w="975"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5" w:type="dxa"/>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烟气脱硫系统</w:t>
                  </w:r>
                </w:p>
              </w:tc>
              <w:tc>
                <w:tcPr>
                  <w:tcW w:w="1149" w:type="dxa"/>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脱硫废水</w:t>
                  </w:r>
                </w:p>
              </w:tc>
              <w:tc>
                <w:tcPr>
                  <w:tcW w:w="2402" w:type="dxa"/>
                  <w:gridSpan w:val="2"/>
                  <w:vAlign w:val="center"/>
                </w:tcPr>
                <w:p>
                  <w:pPr>
                    <w:pStyle w:val="95"/>
                    <w:adjustRightInd w:val="0"/>
                    <w:snapToGrid w:val="0"/>
                    <w:rPr>
                      <w:rFonts w:ascii="Times New Roman" w:hAnsi="Times New Roman"/>
                      <w:color w:val="auto"/>
                      <w:szCs w:val="21"/>
                    </w:rPr>
                  </w:pPr>
                  <w:r>
                    <w:rPr>
                      <w:rFonts w:hint="eastAsia" w:ascii="Times New Roman" w:hAnsi="Times New Roman"/>
                      <w:color w:val="auto"/>
                      <w:szCs w:val="21"/>
                    </w:rPr>
                    <w:t>SS、硫酸盐</w:t>
                  </w:r>
                </w:p>
              </w:tc>
              <w:tc>
                <w:tcPr>
                  <w:tcW w:w="2053" w:type="dxa"/>
                  <w:gridSpan w:val="2"/>
                  <w:vMerge w:val="continue"/>
                  <w:vAlign w:val="center"/>
                </w:tcPr>
                <w:p>
                  <w:pPr>
                    <w:pStyle w:val="95"/>
                    <w:adjustRightInd w:val="0"/>
                    <w:snapToGrid w:val="0"/>
                    <w:jc w:val="center"/>
                    <w:rPr>
                      <w:rFonts w:ascii="Times New Roman" w:hAnsi="Times New Roman"/>
                      <w:color w:val="auto"/>
                      <w:szCs w:val="21"/>
                    </w:rPr>
                  </w:pPr>
                </w:p>
              </w:tc>
              <w:tc>
                <w:tcPr>
                  <w:tcW w:w="753" w:type="dxa"/>
                  <w:vMerge w:val="continue"/>
                  <w:vAlign w:val="center"/>
                </w:tcPr>
                <w:p>
                  <w:pPr>
                    <w:pStyle w:val="95"/>
                    <w:adjustRightInd w:val="0"/>
                    <w:snapToGrid w:val="0"/>
                    <w:jc w:val="center"/>
                    <w:rPr>
                      <w:rFonts w:ascii="Times New Roman" w:hAnsi="Times New Roman"/>
                      <w:color w:val="auto"/>
                      <w:szCs w:val="21"/>
                    </w:rPr>
                  </w:pPr>
                </w:p>
              </w:tc>
              <w:tc>
                <w:tcPr>
                  <w:tcW w:w="975" w:type="dxa"/>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975" w:type="dxa"/>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锅炉房</w:t>
                  </w:r>
                </w:p>
              </w:tc>
              <w:tc>
                <w:tcPr>
                  <w:tcW w:w="1149" w:type="dxa"/>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锅炉废水</w:t>
                  </w:r>
                </w:p>
              </w:tc>
              <w:tc>
                <w:tcPr>
                  <w:tcW w:w="2402" w:type="dxa"/>
                  <w:gridSpan w:val="2"/>
                  <w:vAlign w:val="center"/>
                </w:tcPr>
                <w:p>
                  <w:pPr>
                    <w:pStyle w:val="95"/>
                    <w:adjustRightInd w:val="0"/>
                    <w:snapToGrid w:val="0"/>
                    <w:rPr>
                      <w:rFonts w:ascii="Times New Roman" w:hAnsi="Times New Roman"/>
                      <w:color w:val="auto"/>
                      <w:szCs w:val="21"/>
                    </w:rPr>
                  </w:pPr>
                  <w:r>
                    <w:rPr>
                      <w:rFonts w:hint="eastAsia" w:ascii="Times New Roman" w:hAnsi="Times New Roman"/>
                      <w:color w:val="auto"/>
                      <w:szCs w:val="21"/>
                    </w:rPr>
                    <w:t>COD</w:t>
                  </w:r>
                </w:p>
              </w:tc>
              <w:tc>
                <w:tcPr>
                  <w:tcW w:w="2053" w:type="dxa"/>
                  <w:gridSpan w:val="2"/>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w:t>
                  </w:r>
                </w:p>
              </w:tc>
              <w:tc>
                <w:tcPr>
                  <w:tcW w:w="753" w:type="dxa"/>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全部回用于造纸工段</w:t>
                  </w:r>
                </w:p>
              </w:tc>
              <w:tc>
                <w:tcPr>
                  <w:tcW w:w="975" w:type="dxa"/>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5" w:type="dxa"/>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职工</w:t>
                  </w:r>
                  <w:r>
                    <w:rPr>
                      <w:rFonts w:ascii="Times New Roman" w:hAnsi="Times New Roman"/>
                      <w:color w:val="auto"/>
                      <w:szCs w:val="21"/>
                    </w:rPr>
                    <w:t>生活</w:t>
                  </w:r>
                </w:p>
              </w:tc>
              <w:tc>
                <w:tcPr>
                  <w:tcW w:w="1149" w:type="dxa"/>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食堂废水、</w:t>
                  </w:r>
                  <w:r>
                    <w:rPr>
                      <w:rFonts w:ascii="Times New Roman" w:hAnsi="Times New Roman"/>
                      <w:color w:val="auto"/>
                      <w:szCs w:val="21"/>
                    </w:rPr>
                    <w:t>生活污水</w:t>
                  </w:r>
                </w:p>
              </w:tc>
              <w:tc>
                <w:tcPr>
                  <w:tcW w:w="2402" w:type="dxa"/>
                  <w:gridSpan w:val="2"/>
                  <w:vAlign w:val="center"/>
                </w:tcPr>
                <w:p>
                  <w:pPr>
                    <w:pStyle w:val="95"/>
                    <w:adjustRightInd w:val="0"/>
                    <w:snapToGrid w:val="0"/>
                    <w:rPr>
                      <w:rFonts w:ascii="Times New Roman" w:hAnsi="Times New Roman"/>
                      <w:color w:val="auto"/>
                      <w:szCs w:val="21"/>
                    </w:rPr>
                  </w:pPr>
                  <w:r>
                    <w:rPr>
                      <w:rFonts w:ascii="Times New Roman" w:hAnsi="Times New Roman"/>
                      <w:color w:val="auto"/>
                      <w:szCs w:val="21"/>
                    </w:rPr>
                    <w:t>pH值</w:t>
                  </w:r>
                  <w:r>
                    <w:rPr>
                      <w:rFonts w:hint="eastAsia" w:ascii="Times New Roman" w:hAnsi="Times New Roman"/>
                      <w:color w:val="auto"/>
                      <w:szCs w:val="21"/>
                    </w:rPr>
                    <w:t>、SS、COD、BOD</w:t>
                  </w:r>
                  <w:r>
                    <w:rPr>
                      <w:rFonts w:ascii="Times New Roman" w:hAnsi="Times New Roman"/>
                      <w:color w:val="auto"/>
                      <w:szCs w:val="21"/>
                      <w:vertAlign w:val="subscript"/>
                    </w:rPr>
                    <w:t>5</w:t>
                  </w:r>
                  <w:r>
                    <w:rPr>
                      <w:rFonts w:hint="eastAsia" w:ascii="Times New Roman" w:hAnsi="Times New Roman"/>
                      <w:color w:val="auto"/>
                      <w:szCs w:val="21"/>
                    </w:rPr>
                    <w:t>、</w:t>
                  </w:r>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-N</w:t>
                  </w:r>
                  <w:r>
                    <w:rPr>
                      <w:rFonts w:hint="eastAsia" w:ascii="Times New Roman" w:hAnsi="Times New Roman"/>
                      <w:color w:val="auto"/>
                      <w:szCs w:val="21"/>
                    </w:rPr>
                    <w:t>、TN、TP、动植物油</w:t>
                  </w:r>
                </w:p>
              </w:tc>
              <w:tc>
                <w:tcPr>
                  <w:tcW w:w="2053" w:type="dxa"/>
                  <w:gridSpan w:val="2"/>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隔油池、沉淀池</w:t>
                  </w:r>
                </w:p>
              </w:tc>
              <w:tc>
                <w:tcPr>
                  <w:tcW w:w="753" w:type="dxa"/>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回用于厂区绿化</w:t>
                  </w:r>
                </w:p>
              </w:tc>
              <w:tc>
                <w:tcPr>
                  <w:tcW w:w="975" w:type="dxa"/>
                  <w:vAlign w:val="center"/>
                </w:tcPr>
                <w:p>
                  <w:pPr>
                    <w:pStyle w:val="95"/>
                    <w:adjustRightInd w:val="0"/>
                    <w:snapToGrid w:val="0"/>
                    <w:jc w:val="center"/>
                    <w:rPr>
                      <w:rFonts w:ascii="Times New Roman" w:hAnsi="Times New Roman"/>
                      <w:color w:val="auto"/>
                      <w:szCs w:val="21"/>
                    </w:rPr>
                  </w:pPr>
                  <w:r>
                    <w:rPr>
                      <w:rFonts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24" w:type="dxa"/>
                  <w:gridSpan w:val="2"/>
                  <w:vAlign w:val="center"/>
                </w:tcPr>
                <w:p>
                  <w:pPr>
                    <w:pStyle w:val="106"/>
                    <w:adjustRightInd w:val="0"/>
                    <w:snapToGrid w:val="0"/>
                    <w:jc w:val="center"/>
                    <w:rPr>
                      <w:rFonts w:ascii="Times New Roman" w:hAnsi="Times New Roman"/>
                      <w:b/>
                      <w:bCs/>
                      <w:color w:val="auto"/>
                      <w:szCs w:val="21"/>
                    </w:rPr>
                  </w:pPr>
                  <w:r>
                    <w:rPr>
                      <w:rFonts w:hint="eastAsia" w:ascii="Times New Roman" w:hAnsi="Times New Roman"/>
                      <w:b/>
                      <w:bCs/>
                      <w:color w:val="auto"/>
                      <w:szCs w:val="21"/>
                    </w:rPr>
                    <w:t>产噪设备</w:t>
                  </w:r>
                </w:p>
              </w:tc>
              <w:tc>
                <w:tcPr>
                  <w:tcW w:w="2402" w:type="dxa"/>
                  <w:gridSpan w:val="2"/>
                  <w:vAlign w:val="center"/>
                </w:tcPr>
                <w:p>
                  <w:pPr>
                    <w:pStyle w:val="95"/>
                    <w:adjustRightInd w:val="0"/>
                    <w:snapToGrid w:val="0"/>
                    <w:jc w:val="center"/>
                    <w:rPr>
                      <w:rFonts w:ascii="Times New Roman" w:hAnsi="Times New Roman"/>
                      <w:b/>
                      <w:bCs/>
                      <w:color w:val="auto"/>
                      <w:szCs w:val="21"/>
                    </w:rPr>
                  </w:pPr>
                  <w:r>
                    <w:rPr>
                      <w:rFonts w:hint="eastAsia" w:ascii="Times New Roman" w:hAnsi="Times New Roman"/>
                      <w:b/>
                      <w:bCs/>
                      <w:color w:val="auto"/>
                      <w:szCs w:val="21"/>
                    </w:rPr>
                    <w:t>噪声种类</w:t>
                  </w:r>
                </w:p>
              </w:tc>
              <w:tc>
                <w:tcPr>
                  <w:tcW w:w="2053" w:type="dxa"/>
                  <w:gridSpan w:val="2"/>
                  <w:vAlign w:val="center"/>
                </w:tcPr>
                <w:p>
                  <w:pPr>
                    <w:pStyle w:val="95"/>
                    <w:adjustRightInd w:val="0"/>
                    <w:snapToGrid w:val="0"/>
                    <w:jc w:val="center"/>
                    <w:rPr>
                      <w:rFonts w:ascii="Times New Roman" w:hAnsi="Times New Roman"/>
                      <w:b/>
                      <w:bCs/>
                      <w:color w:val="auto"/>
                      <w:szCs w:val="21"/>
                    </w:rPr>
                  </w:pPr>
                  <w:r>
                    <w:rPr>
                      <w:rFonts w:ascii="Times New Roman" w:hAnsi="Times New Roman"/>
                      <w:b/>
                      <w:bCs/>
                      <w:color w:val="auto"/>
                      <w:szCs w:val="21"/>
                    </w:rPr>
                    <w:t>污染防治设施</w:t>
                  </w:r>
                </w:p>
              </w:tc>
              <w:tc>
                <w:tcPr>
                  <w:tcW w:w="1728" w:type="dxa"/>
                  <w:gridSpan w:val="2"/>
                  <w:vAlign w:val="center"/>
                </w:tcPr>
                <w:p>
                  <w:pPr>
                    <w:pStyle w:val="95"/>
                    <w:adjustRightInd w:val="0"/>
                    <w:snapToGrid w:val="0"/>
                    <w:jc w:val="center"/>
                    <w:rPr>
                      <w:rFonts w:ascii="Times New Roman" w:hAnsi="Times New Roman"/>
                      <w:b/>
                      <w:bCs/>
                      <w:color w:val="auto"/>
                      <w:szCs w:val="21"/>
                    </w:rPr>
                  </w:pPr>
                  <w:r>
                    <w:rPr>
                      <w:rFonts w:hint="eastAsia" w:ascii="Times New Roman" w:hAnsi="Times New Roman"/>
                      <w:b/>
                      <w:bCs/>
                      <w:color w:val="auto"/>
                      <w:szCs w:val="21"/>
                    </w:rPr>
                    <w:t>厂界噪声值</w:t>
                  </w:r>
                  <w:r>
                    <w:rPr>
                      <w:rFonts w:ascii="Times New Roman" w:hAnsi="Times New Roman"/>
                      <w:color w:val="auto"/>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24" w:type="dxa"/>
                  <w:gridSpan w:val="2"/>
                  <w:vAlign w:val="center"/>
                </w:tcPr>
                <w:p>
                  <w:pPr>
                    <w:pStyle w:val="106"/>
                    <w:adjustRightInd w:val="0"/>
                    <w:snapToGrid w:val="0"/>
                    <w:jc w:val="center"/>
                    <w:rPr>
                      <w:rFonts w:ascii="Times New Roman" w:hAnsi="Times New Roman"/>
                      <w:color w:val="auto"/>
                      <w:szCs w:val="21"/>
                    </w:rPr>
                  </w:pPr>
                  <w:r>
                    <w:rPr>
                      <w:rFonts w:ascii="Times New Roman" w:hAnsi="Times New Roman"/>
                      <w:color w:val="auto"/>
                      <w:szCs w:val="21"/>
                    </w:rPr>
                    <w:t>碎浆机、筛分机、分离机、污水处理设备、锅炉房</w:t>
                  </w:r>
                  <w:r>
                    <w:rPr>
                      <w:rFonts w:hint="eastAsia" w:ascii="Times New Roman" w:hAnsi="Times New Roman"/>
                      <w:color w:val="auto"/>
                      <w:szCs w:val="21"/>
                    </w:rPr>
                    <w:t>鼓</w:t>
                  </w:r>
                  <w:r>
                    <w:rPr>
                      <w:rFonts w:ascii="Times New Roman" w:hAnsi="Times New Roman"/>
                      <w:color w:val="auto"/>
                      <w:szCs w:val="21"/>
                    </w:rPr>
                    <w:t>风机</w:t>
                  </w:r>
                  <w:r>
                    <w:rPr>
                      <w:rFonts w:hint="eastAsia" w:ascii="Times New Roman" w:hAnsi="Times New Roman"/>
                      <w:color w:val="auto"/>
                      <w:szCs w:val="21"/>
                    </w:rPr>
                    <w:t>等</w:t>
                  </w:r>
                </w:p>
              </w:tc>
              <w:tc>
                <w:tcPr>
                  <w:tcW w:w="2402" w:type="dxa"/>
                  <w:gridSpan w:val="2"/>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机械设备噪声</w:t>
                  </w:r>
                </w:p>
              </w:tc>
              <w:tc>
                <w:tcPr>
                  <w:tcW w:w="2053" w:type="dxa"/>
                  <w:gridSpan w:val="2"/>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基础减振、厂房隔声、加装消声器</w:t>
                  </w:r>
                </w:p>
              </w:tc>
              <w:tc>
                <w:tcPr>
                  <w:tcW w:w="1728" w:type="dxa"/>
                  <w:gridSpan w:val="2"/>
                  <w:vAlign w:val="center"/>
                </w:tcPr>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昼间：≤6</w:t>
                  </w:r>
                  <w:r>
                    <w:rPr>
                      <w:rFonts w:ascii="Times New Roman" w:hAnsi="Times New Roman"/>
                      <w:color w:val="auto"/>
                      <w:szCs w:val="21"/>
                    </w:rPr>
                    <w:t>0</w:t>
                  </w:r>
                </w:p>
                <w:p>
                  <w:pPr>
                    <w:pStyle w:val="95"/>
                    <w:adjustRightInd w:val="0"/>
                    <w:snapToGrid w:val="0"/>
                    <w:jc w:val="center"/>
                    <w:rPr>
                      <w:rFonts w:ascii="Times New Roman" w:hAnsi="Times New Roman"/>
                      <w:color w:val="auto"/>
                      <w:szCs w:val="21"/>
                    </w:rPr>
                  </w:pPr>
                  <w:r>
                    <w:rPr>
                      <w:rFonts w:hint="eastAsia" w:ascii="Times New Roman" w:hAnsi="Times New Roman"/>
                      <w:color w:val="auto"/>
                      <w:szCs w:val="21"/>
                    </w:rPr>
                    <w:t>夜间：≤</w:t>
                  </w:r>
                  <w:r>
                    <w:rPr>
                      <w:rFonts w:ascii="Times New Roman" w:hAnsi="Times New Roman"/>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5" w:type="dxa"/>
                  <w:vAlign w:val="center"/>
                </w:tcPr>
                <w:p>
                  <w:pPr>
                    <w:pStyle w:val="95"/>
                    <w:adjustRightInd w:val="0"/>
                    <w:snapToGrid w:val="0"/>
                    <w:jc w:val="center"/>
                    <w:rPr>
                      <w:rFonts w:ascii="Times New Roman" w:hAnsi="Times New Roman"/>
                      <w:b/>
                      <w:bCs/>
                      <w:color w:val="auto"/>
                      <w:szCs w:val="21"/>
                    </w:rPr>
                  </w:pPr>
                  <w:r>
                    <w:rPr>
                      <w:rFonts w:hint="eastAsia" w:ascii="Times New Roman" w:hAnsi="Times New Roman"/>
                      <w:b/>
                      <w:bCs/>
                      <w:color w:val="auto"/>
                      <w:szCs w:val="21"/>
                    </w:rPr>
                    <w:t>产生位置</w:t>
                  </w:r>
                </w:p>
              </w:tc>
              <w:tc>
                <w:tcPr>
                  <w:tcW w:w="1149" w:type="dxa"/>
                  <w:vAlign w:val="center"/>
                </w:tcPr>
                <w:p>
                  <w:pPr>
                    <w:pStyle w:val="95"/>
                    <w:adjustRightInd w:val="0"/>
                    <w:snapToGrid w:val="0"/>
                    <w:jc w:val="center"/>
                    <w:rPr>
                      <w:rFonts w:ascii="Times New Roman" w:hAnsi="Times New Roman"/>
                      <w:b/>
                      <w:bCs/>
                      <w:color w:val="auto"/>
                      <w:szCs w:val="21"/>
                    </w:rPr>
                  </w:pPr>
                  <w:r>
                    <w:rPr>
                      <w:rFonts w:hint="eastAsia" w:ascii="Times New Roman" w:hAnsi="Times New Roman"/>
                      <w:b/>
                      <w:bCs/>
                      <w:color w:val="auto"/>
                      <w:szCs w:val="21"/>
                    </w:rPr>
                    <w:t>固废属性</w:t>
                  </w:r>
                </w:p>
              </w:tc>
              <w:tc>
                <w:tcPr>
                  <w:tcW w:w="2402" w:type="dxa"/>
                  <w:gridSpan w:val="2"/>
                  <w:vAlign w:val="center"/>
                </w:tcPr>
                <w:p>
                  <w:pPr>
                    <w:pStyle w:val="95"/>
                    <w:adjustRightInd w:val="0"/>
                    <w:snapToGrid w:val="0"/>
                    <w:jc w:val="center"/>
                    <w:rPr>
                      <w:rFonts w:ascii="Times New Roman" w:hAnsi="Times New Roman"/>
                      <w:b/>
                      <w:bCs/>
                      <w:color w:val="auto"/>
                      <w:szCs w:val="21"/>
                    </w:rPr>
                  </w:pPr>
                  <w:r>
                    <w:rPr>
                      <w:rFonts w:hint="eastAsia" w:ascii="Times New Roman" w:hAnsi="Times New Roman"/>
                      <w:b/>
                      <w:bCs/>
                      <w:color w:val="auto"/>
                      <w:szCs w:val="21"/>
                    </w:rPr>
                    <w:t>固废名称</w:t>
                  </w:r>
                </w:p>
              </w:tc>
              <w:tc>
                <w:tcPr>
                  <w:tcW w:w="2053" w:type="dxa"/>
                  <w:gridSpan w:val="2"/>
                  <w:vAlign w:val="center"/>
                </w:tcPr>
                <w:p>
                  <w:pPr>
                    <w:pStyle w:val="95"/>
                    <w:adjustRightInd w:val="0"/>
                    <w:snapToGrid w:val="0"/>
                    <w:jc w:val="center"/>
                    <w:rPr>
                      <w:rFonts w:ascii="Times New Roman" w:hAnsi="Times New Roman"/>
                      <w:b/>
                      <w:bCs/>
                      <w:color w:val="auto"/>
                      <w:szCs w:val="21"/>
                    </w:rPr>
                  </w:pPr>
                  <w:r>
                    <w:rPr>
                      <w:rFonts w:hint="eastAsia" w:ascii="Times New Roman" w:hAnsi="Times New Roman"/>
                      <w:b/>
                      <w:bCs/>
                      <w:color w:val="auto"/>
                      <w:szCs w:val="21"/>
                    </w:rPr>
                    <w:t>处置措施</w:t>
                  </w:r>
                </w:p>
              </w:tc>
              <w:tc>
                <w:tcPr>
                  <w:tcW w:w="1728" w:type="dxa"/>
                  <w:gridSpan w:val="2"/>
                  <w:vAlign w:val="center"/>
                </w:tcPr>
                <w:p>
                  <w:pPr>
                    <w:pStyle w:val="95"/>
                    <w:adjustRightInd w:val="0"/>
                    <w:snapToGrid w:val="0"/>
                    <w:jc w:val="center"/>
                    <w:rPr>
                      <w:rFonts w:ascii="Times New Roman" w:hAnsi="Times New Roman"/>
                      <w:b/>
                      <w:bCs/>
                      <w:color w:val="auto"/>
                      <w:szCs w:val="21"/>
                    </w:rPr>
                  </w:pPr>
                  <w:r>
                    <w:rPr>
                      <w:rFonts w:hint="eastAsia" w:ascii="Times New Roman" w:hAnsi="Times New Roman"/>
                      <w:b/>
                      <w:bCs/>
                      <w:color w:val="auto"/>
                      <w:szCs w:val="21"/>
                    </w:rPr>
                    <w:t>处置率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975" w:type="dxa"/>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材料</w:t>
                  </w:r>
                  <w:r>
                    <w:rPr>
                      <w:rFonts w:ascii="Times New Roman" w:hAnsi="Times New Roman"/>
                      <w:color w:val="auto"/>
                      <w:szCs w:val="21"/>
                    </w:rPr>
                    <w:t>库房</w:t>
                  </w:r>
                </w:p>
              </w:tc>
              <w:tc>
                <w:tcPr>
                  <w:tcW w:w="1149" w:type="dxa"/>
                  <w:vMerge w:val="restart"/>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一般工业固废</w:t>
                  </w:r>
                </w:p>
              </w:tc>
              <w:tc>
                <w:tcPr>
                  <w:tcW w:w="2402" w:type="dxa"/>
                  <w:gridSpan w:val="2"/>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拣选废物</w:t>
                  </w:r>
                </w:p>
              </w:tc>
              <w:tc>
                <w:tcPr>
                  <w:tcW w:w="2053" w:type="dxa"/>
                  <w:gridSpan w:val="2"/>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废塑料、书钉、尼龙绳等外售，泥砂委托环卫部门清运处置</w:t>
                  </w:r>
                </w:p>
              </w:tc>
              <w:tc>
                <w:tcPr>
                  <w:tcW w:w="1728" w:type="dxa"/>
                  <w:gridSpan w:val="2"/>
                  <w:vMerge w:val="restart"/>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5" w:type="dxa"/>
                  <w:vMerge w:val="restart"/>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生产厂房</w:t>
                  </w:r>
                </w:p>
              </w:tc>
              <w:tc>
                <w:tcPr>
                  <w:tcW w:w="1149" w:type="dxa"/>
                  <w:vMerge w:val="continue"/>
                  <w:vAlign w:val="center"/>
                </w:tcPr>
                <w:p>
                  <w:pPr>
                    <w:pStyle w:val="106"/>
                    <w:adjustRightInd w:val="0"/>
                    <w:snapToGrid w:val="0"/>
                    <w:jc w:val="center"/>
                    <w:rPr>
                      <w:rFonts w:ascii="Times New Roman" w:hAnsi="Times New Roman"/>
                      <w:color w:val="auto"/>
                      <w:szCs w:val="21"/>
                    </w:rPr>
                  </w:pPr>
                </w:p>
              </w:tc>
              <w:tc>
                <w:tcPr>
                  <w:tcW w:w="2402" w:type="dxa"/>
                  <w:gridSpan w:val="2"/>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制浆废渣（泥砂、书钉、塑料等）</w:t>
                  </w:r>
                </w:p>
              </w:tc>
              <w:tc>
                <w:tcPr>
                  <w:tcW w:w="2053" w:type="dxa"/>
                  <w:gridSpan w:val="2"/>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脱水后委托环卫部门清运处置</w:t>
                  </w:r>
                </w:p>
              </w:tc>
              <w:tc>
                <w:tcPr>
                  <w:tcW w:w="1728" w:type="dxa"/>
                  <w:gridSpan w:val="2"/>
                  <w:vMerge w:val="continue"/>
                  <w:vAlign w:val="center"/>
                </w:tcPr>
                <w:p>
                  <w:pPr>
                    <w:pStyle w:val="106"/>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975" w:type="dxa"/>
                  <w:vMerge w:val="continue"/>
                  <w:vAlign w:val="center"/>
                </w:tcPr>
                <w:p>
                  <w:pPr>
                    <w:pStyle w:val="106"/>
                    <w:adjustRightInd w:val="0"/>
                    <w:snapToGrid w:val="0"/>
                    <w:jc w:val="center"/>
                    <w:rPr>
                      <w:rFonts w:ascii="Times New Roman" w:hAnsi="Times New Roman"/>
                      <w:color w:val="auto"/>
                      <w:szCs w:val="21"/>
                    </w:rPr>
                  </w:pPr>
                </w:p>
              </w:tc>
              <w:tc>
                <w:tcPr>
                  <w:tcW w:w="1149" w:type="dxa"/>
                  <w:vMerge w:val="continue"/>
                  <w:vAlign w:val="center"/>
                </w:tcPr>
                <w:p>
                  <w:pPr>
                    <w:pStyle w:val="106"/>
                    <w:adjustRightInd w:val="0"/>
                    <w:snapToGrid w:val="0"/>
                    <w:jc w:val="center"/>
                    <w:rPr>
                      <w:rFonts w:ascii="Times New Roman" w:hAnsi="Times New Roman"/>
                      <w:color w:val="auto"/>
                      <w:szCs w:val="21"/>
                    </w:rPr>
                  </w:pPr>
                </w:p>
              </w:tc>
              <w:tc>
                <w:tcPr>
                  <w:tcW w:w="2402" w:type="dxa"/>
                  <w:gridSpan w:val="2"/>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废聚酯网及废毛布、包装废物</w:t>
                  </w:r>
                </w:p>
              </w:tc>
              <w:tc>
                <w:tcPr>
                  <w:tcW w:w="2053" w:type="dxa"/>
                  <w:gridSpan w:val="2"/>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外售</w:t>
                  </w:r>
                </w:p>
              </w:tc>
              <w:tc>
                <w:tcPr>
                  <w:tcW w:w="1728" w:type="dxa"/>
                  <w:gridSpan w:val="2"/>
                  <w:vMerge w:val="continue"/>
                  <w:vAlign w:val="center"/>
                </w:tcPr>
                <w:p>
                  <w:pPr>
                    <w:pStyle w:val="106"/>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5" w:type="dxa"/>
                  <w:vMerge w:val="restart"/>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锅炉房</w:t>
                  </w:r>
                </w:p>
              </w:tc>
              <w:tc>
                <w:tcPr>
                  <w:tcW w:w="1149" w:type="dxa"/>
                  <w:vMerge w:val="continue"/>
                  <w:vAlign w:val="center"/>
                </w:tcPr>
                <w:p>
                  <w:pPr>
                    <w:pStyle w:val="106"/>
                    <w:adjustRightInd w:val="0"/>
                    <w:snapToGrid w:val="0"/>
                    <w:jc w:val="center"/>
                    <w:rPr>
                      <w:rFonts w:ascii="Times New Roman" w:hAnsi="Times New Roman"/>
                      <w:color w:val="auto"/>
                      <w:szCs w:val="21"/>
                    </w:rPr>
                  </w:pPr>
                </w:p>
              </w:tc>
              <w:tc>
                <w:tcPr>
                  <w:tcW w:w="2402" w:type="dxa"/>
                  <w:gridSpan w:val="2"/>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炉渣、粉煤灰、脱硫石膏</w:t>
                  </w:r>
                </w:p>
              </w:tc>
              <w:tc>
                <w:tcPr>
                  <w:tcW w:w="2053" w:type="dxa"/>
                  <w:gridSpan w:val="2"/>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外售</w:t>
                  </w:r>
                </w:p>
              </w:tc>
              <w:tc>
                <w:tcPr>
                  <w:tcW w:w="1728" w:type="dxa"/>
                  <w:gridSpan w:val="2"/>
                  <w:vMerge w:val="continue"/>
                  <w:vAlign w:val="center"/>
                </w:tcPr>
                <w:p>
                  <w:pPr>
                    <w:pStyle w:val="106"/>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975" w:type="dxa"/>
                  <w:vMerge w:val="continue"/>
                  <w:vAlign w:val="center"/>
                </w:tcPr>
                <w:p>
                  <w:pPr>
                    <w:pStyle w:val="106"/>
                    <w:adjustRightInd w:val="0"/>
                    <w:snapToGrid w:val="0"/>
                    <w:jc w:val="center"/>
                    <w:rPr>
                      <w:rFonts w:ascii="Times New Roman" w:hAnsi="Times New Roman"/>
                      <w:color w:val="auto"/>
                      <w:szCs w:val="21"/>
                    </w:rPr>
                  </w:pPr>
                </w:p>
              </w:tc>
              <w:tc>
                <w:tcPr>
                  <w:tcW w:w="1149" w:type="dxa"/>
                  <w:vMerge w:val="continue"/>
                  <w:vAlign w:val="center"/>
                </w:tcPr>
                <w:p>
                  <w:pPr>
                    <w:pStyle w:val="106"/>
                    <w:adjustRightInd w:val="0"/>
                    <w:snapToGrid w:val="0"/>
                    <w:jc w:val="center"/>
                    <w:rPr>
                      <w:rFonts w:ascii="Times New Roman" w:hAnsi="Times New Roman"/>
                      <w:color w:val="auto"/>
                      <w:szCs w:val="21"/>
                    </w:rPr>
                  </w:pPr>
                </w:p>
              </w:tc>
              <w:tc>
                <w:tcPr>
                  <w:tcW w:w="2402" w:type="dxa"/>
                  <w:gridSpan w:val="2"/>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废离子交换树脂</w:t>
                  </w:r>
                </w:p>
              </w:tc>
              <w:tc>
                <w:tcPr>
                  <w:tcW w:w="2053" w:type="dxa"/>
                  <w:gridSpan w:val="2"/>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厂家回收</w:t>
                  </w:r>
                </w:p>
              </w:tc>
              <w:tc>
                <w:tcPr>
                  <w:tcW w:w="1728" w:type="dxa"/>
                  <w:gridSpan w:val="2"/>
                  <w:vMerge w:val="continue"/>
                  <w:vAlign w:val="center"/>
                </w:tcPr>
                <w:p>
                  <w:pPr>
                    <w:pStyle w:val="106"/>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5" w:type="dxa"/>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生产</w:t>
                  </w:r>
                  <w:r>
                    <w:rPr>
                      <w:rFonts w:ascii="Times New Roman" w:hAnsi="Times New Roman"/>
                      <w:color w:val="auto"/>
                      <w:szCs w:val="21"/>
                    </w:rPr>
                    <w:t>废水</w:t>
                  </w:r>
                  <w:r>
                    <w:rPr>
                      <w:rFonts w:hint="eastAsia" w:ascii="Times New Roman" w:hAnsi="Times New Roman"/>
                      <w:color w:val="auto"/>
                      <w:szCs w:val="21"/>
                    </w:rPr>
                    <w:t>处理站</w:t>
                  </w:r>
                </w:p>
              </w:tc>
              <w:tc>
                <w:tcPr>
                  <w:tcW w:w="1149" w:type="dxa"/>
                  <w:vMerge w:val="continue"/>
                  <w:vAlign w:val="center"/>
                </w:tcPr>
                <w:p>
                  <w:pPr>
                    <w:pStyle w:val="106"/>
                    <w:adjustRightInd w:val="0"/>
                    <w:snapToGrid w:val="0"/>
                    <w:jc w:val="center"/>
                    <w:rPr>
                      <w:rFonts w:ascii="Times New Roman" w:hAnsi="Times New Roman"/>
                      <w:color w:val="auto"/>
                      <w:szCs w:val="21"/>
                    </w:rPr>
                  </w:pPr>
                </w:p>
              </w:tc>
              <w:tc>
                <w:tcPr>
                  <w:tcW w:w="2402" w:type="dxa"/>
                  <w:gridSpan w:val="2"/>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污泥</w:t>
                  </w:r>
                </w:p>
              </w:tc>
              <w:tc>
                <w:tcPr>
                  <w:tcW w:w="2053" w:type="dxa"/>
                  <w:gridSpan w:val="2"/>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脱水后</w:t>
                  </w:r>
                  <w:r>
                    <w:rPr>
                      <w:rFonts w:ascii="Times New Roman" w:hAnsi="Times New Roman"/>
                      <w:color w:val="auto"/>
                      <w:szCs w:val="21"/>
                    </w:rPr>
                    <w:t>定期</w:t>
                  </w:r>
                  <w:r>
                    <w:rPr>
                      <w:rFonts w:hint="eastAsia" w:ascii="Times New Roman" w:hAnsi="Times New Roman"/>
                      <w:color w:val="auto"/>
                      <w:szCs w:val="21"/>
                    </w:rPr>
                    <w:t>委托环卫部门清运处置</w:t>
                  </w:r>
                </w:p>
              </w:tc>
              <w:tc>
                <w:tcPr>
                  <w:tcW w:w="1728" w:type="dxa"/>
                  <w:gridSpan w:val="2"/>
                  <w:vMerge w:val="continue"/>
                  <w:vAlign w:val="center"/>
                </w:tcPr>
                <w:p>
                  <w:pPr>
                    <w:pStyle w:val="106"/>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975" w:type="dxa"/>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生产厂房</w:t>
                  </w:r>
                </w:p>
              </w:tc>
              <w:tc>
                <w:tcPr>
                  <w:tcW w:w="1149" w:type="dxa"/>
                  <w:vAlign w:val="center"/>
                </w:tcPr>
                <w:p>
                  <w:pPr>
                    <w:adjustRightInd w:val="0"/>
                    <w:snapToGrid w:val="0"/>
                    <w:spacing w:line="276" w:lineRule="auto"/>
                    <w:ind w:left="-120" w:leftChars="-50" w:right="-120" w:rightChars="-50"/>
                    <w:jc w:val="center"/>
                    <w:rPr>
                      <w:rFonts w:ascii="Times New Roman" w:hAnsi="Times New Roman"/>
                      <w:color w:val="auto"/>
                      <w:szCs w:val="21"/>
                    </w:rPr>
                  </w:pPr>
                  <w:r>
                    <w:rPr>
                      <w:rFonts w:hint="eastAsia" w:ascii="Times New Roman" w:hAnsi="Times New Roman"/>
                      <w:color w:val="auto"/>
                      <w:kern w:val="2"/>
                      <w:sz w:val="21"/>
                      <w:szCs w:val="21"/>
                    </w:rPr>
                    <w:t>危险</w:t>
                  </w:r>
                  <w:r>
                    <w:rPr>
                      <w:rFonts w:ascii="Times New Roman" w:hAnsi="Times New Roman"/>
                      <w:color w:val="auto"/>
                      <w:sz w:val="21"/>
                      <w:szCs w:val="21"/>
                    </w:rPr>
                    <w:t>废物</w:t>
                  </w:r>
                </w:p>
              </w:tc>
              <w:tc>
                <w:tcPr>
                  <w:tcW w:w="2402" w:type="dxa"/>
                  <w:gridSpan w:val="2"/>
                  <w:vAlign w:val="center"/>
                </w:tcPr>
                <w:p>
                  <w:pPr>
                    <w:pStyle w:val="106"/>
                    <w:adjustRightInd w:val="0"/>
                    <w:snapToGrid w:val="0"/>
                    <w:jc w:val="center"/>
                    <w:rPr>
                      <w:rFonts w:ascii="Times New Roman" w:hAnsi="Times New Roman"/>
                      <w:color w:val="auto"/>
                      <w:szCs w:val="21"/>
                    </w:rPr>
                  </w:pPr>
                  <w:r>
                    <w:rPr>
                      <w:rFonts w:hint="eastAsia" w:ascii="Times New Roman" w:hAnsi="Times New Roman"/>
                      <w:color w:val="auto"/>
                      <w:szCs w:val="21"/>
                    </w:rPr>
                    <w:t>机修废物</w:t>
                  </w:r>
                </w:p>
              </w:tc>
              <w:tc>
                <w:tcPr>
                  <w:tcW w:w="2053" w:type="dxa"/>
                  <w:gridSpan w:val="2"/>
                  <w:vAlign w:val="center"/>
                </w:tcPr>
                <w:p>
                  <w:pPr>
                    <w:adjustRightInd w:val="0"/>
                    <w:snapToGrid w:val="0"/>
                    <w:spacing w:line="276" w:lineRule="auto"/>
                    <w:ind w:left="-120" w:leftChars="-50" w:right="-120" w:rightChars="-50"/>
                    <w:jc w:val="center"/>
                    <w:rPr>
                      <w:rFonts w:ascii="Times New Roman" w:hAnsi="Times New Roman"/>
                      <w:color w:val="auto"/>
                      <w:kern w:val="2"/>
                      <w:sz w:val="21"/>
                      <w:szCs w:val="21"/>
                    </w:rPr>
                  </w:pPr>
                  <w:r>
                    <w:rPr>
                      <w:rFonts w:hint="eastAsia" w:ascii="Times New Roman" w:hAnsi="Times New Roman"/>
                      <w:color w:val="auto"/>
                      <w:kern w:val="2"/>
                      <w:sz w:val="21"/>
                      <w:szCs w:val="21"/>
                    </w:rPr>
                    <w:t>用危废桶收集后暂存于危废暂存间，委托有资质单位清运处置</w:t>
                  </w:r>
                </w:p>
              </w:tc>
              <w:tc>
                <w:tcPr>
                  <w:tcW w:w="1728" w:type="dxa"/>
                  <w:gridSpan w:val="2"/>
                  <w:vMerge w:val="continue"/>
                  <w:vAlign w:val="center"/>
                </w:tcPr>
                <w:p>
                  <w:pPr>
                    <w:pStyle w:val="106"/>
                    <w:adjustRightInd w:val="0"/>
                    <w:snapToGrid w:val="0"/>
                    <w:jc w:val="center"/>
                    <w:rPr>
                      <w:rFonts w:ascii="Times New Roman" w:hAnsi="Times New Roman"/>
                      <w:color w:val="auto"/>
                      <w:szCs w:val="21"/>
                    </w:rPr>
                  </w:pPr>
                </w:p>
              </w:tc>
            </w:tr>
          </w:tbl>
          <w:p>
            <w:pPr>
              <w:pStyle w:val="6"/>
              <w:adjustRightInd w:val="0"/>
              <w:snapToGrid w:val="0"/>
              <w:spacing w:before="163" w:beforeLines="50" w:after="0" w:afterLines="0"/>
              <w:ind w:firstLine="480" w:firstLineChars="200"/>
              <w:rPr>
                <w:rFonts w:eastAsia="宋体"/>
                <w:color w:val="auto"/>
                <w:kern w:val="0"/>
                <w:szCs w:val="22"/>
              </w:rPr>
            </w:pPr>
            <w:r>
              <w:rPr>
                <w:rFonts w:eastAsia="宋体"/>
                <w:color w:val="auto"/>
                <w:kern w:val="0"/>
                <w:szCs w:val="22"/>
              </w:rPr>
              <w:t>本</w:t>
            </w:r>
            <w:r>
              <w:rPr>
                <w:rFonts w:hint="eastAsia" w:eastAsia="宋体"/>
                <w:color w:val="auto"/>
                <w:kern w:val="0"/>
                <w:szCs w:val="22"/>
              </w:rPr>
              <w:t>次环评</w:t>
            </w:r>
            <w:r>
              <w:rPr>
                <w:rFonts w:eastAsia="宋体"/>
                <w:color w:val="auto"/>
                <w:kern w:val="0"/>
                <w:szCs w:val="22"/>
              </w:rPr>
              <w:t>仅对其锅炉及锅炉附属设施进行评价。</w:t>
            </w:r>
          </w:p>
          <w:p>
            <w:pPr>
              <w:pStyle w:val="6"/>
              <w:adjustRightInd w:val="0"/>
              <w:snapToGrid w:val="0"/>
              <w:spacing w:before="163" w:beforeLines="50" w:after="0" w:afterLines="0"/>
              <w:rPr>
                <w:rFonts w:eastAsia="宋体"/>
                <w:b/>
                <w:bCs/>
                <w:color w:val="auto"/>
              </w:rPr>
            </w:pPr>
            <w:r>
              <w:rPr>
                <w:rFonts w:eastAsia="宋体"/>
                <w:b/>
                <w:bCs/>
                <w:color w:val="auto"/>
              </w:rPr>
              <w:t>3、现有锅炉房</w:t>
            </w:r>
            <w:r>
              <w:rPr>
                <w:rFonts w:eastAsia="宋体"/>
                <w:b/>
                <w:bCs/>
                <w:color w:val="auto"/>
              </w:rPr>
              <w:t>建设内容</w:t>
            </w:r>
          </w:p>
          <w:p>
            <w:pPr>
              <w:adjustRightInd w:val="0"/>
              <w:snapToGrid w:val="0"/>
              <w:spacing w:line="360" w:lineRule="auto"/>
              <w:ind w:firstLine="480" w:firstLineChars="200"/>
              <w:rPr>
                <w:rFonts w:ascii="Times New Roman" w:hAnsi="Times New Roman"/>
                <w:color w:val="auto"/>
                <w:kern w:val="0"/>
                <w:szCs w:val="22"/>
              </w:rPr>
            </w:pPr>
            <w:r>
              <w:rPr>
                <w:rFonts w:ascii="Times New Roman" w:hAnsi="Times New Roman"/>
                <w:color w:val="auto"/>
                <w:kern w:val="0"/>
                <w:szCs w:val="22"/>
              </w:rPr>
              <w:t>现有锅炉房组成见下表。具体位置见附图3。</w:t>
            </w:r>
          </w:p>
          <w:p>
            <w:pPr>
              <w:pStyle w:val="12"/>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表1-9   现有锅炉房</w:t>
            </w:r>
            <w:r>
              <w:rPr>
                <w:rFonts w:ascii="Times New Roman" w:hAnsi="Times New Roman"/>
                <w:b/>
                <w:bCs/>
                <w:color w:val="auto"/>
                <w:sz w:val="21"/>
                <w:szCs w:val="21"/>
              </w:rPr>
              <w:t>建设情况</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364"/>
              <w:gridCol w:w="4662"/>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6" w:type="dxa"/>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rPr>
                    <w:t>工程名称</w:t>
                  </w:r>
                </w:p>
              </w:tc>
              <w:tc>
                <w:tcPr>
                  <w:tcW w:w="1364" w:type="dxa"/>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项目名称</w:t>
                  </w:r>
                </w:p>
              </w:tc>
              <w:tc>
                <w:tcPr>
                  <w:tcW w:w="4662" w:type="dxa"/>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项目内容</w:t>
                  </w:r>
                </w:p>
              </w:tc>
              <w:tc>
                <w:tcPr>
                  <w:tcW w:w="1544" w:type="dxa"/>
                  <w:vAlign w:val="center"/>
                </w:tcPr>
                <w:p>
                  <w:pPr>
                    <w:adjustRightInd w:val="0"/>
                    <w:snapToGrid w:val="0"/>
                    <w:jc w:val="center"/>
                    <w:rPr>
                      <w:rFonts w:hint="eastAsia"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t>与技改项目</w:t>
                  </w:r>
                </w:p>
                <w:p>
                  <w:pPr>
                    <w:adjustRightInd w:val="0"/>
                    <w:snapToGrid w:val="0"/>
                    <w:jc w:val="center"/>
                    <w:rPr>
                      <w:rFonts w:hint="default" w:ascii="Times New Roman" w:hAnsi="Times New Roman" w:eastAsia="宋体"/>
                      <w:b/>
                      <w:bCs/>
                      <w:color w:val="auto"/>
                      <w:sz w:val="21"/>
                      <w:szCs w:val="21"/>
                      <w:lang w:val="en-US" w:eastAsia="zh-CN"/>
                    </w:rPr>
                  </w:pPr>
                  <w:r>
                    <w:rPr>
                      <w:rFonts w:hint="eastAsia" w:ascii="Times New Roman" w:hAnsi="Times New Roman"/>
                      <w:b/>
                      <w:bCs/>
                      <w:color w:val="auto"/>
                      <w:sz w:val="21"/>
                      <w:szCs w:val="21"/>
                      <w:lang w:val="en-US" w:eastAsia="zh-CN"/>
                    </w:rPr>
                    <w:t>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726" w:type="dxa"/>
                  <w:vMerge w:val="restart"/>
                  <w:vAlign w:val="center"/>
                </w:tcPr>
                <w:p>
                  <w:pPr>
                    <w:adjustRightInd w:val="0"/>
                    <w:snapToGrid w:val="0"/>
                    <w:spacing w:line="360" w:lineRule="auto"/>
                    <w:jc w:val="center"/>
                    <w:rPr>
                      <w:rFonts w:ascii="Times New Roman" w:hAnsi="Times New Roman"/>
                      <w:color w:val="auto"/>
                      <w:sz w:val="21"/>
                      <w:szCs w:val="21"/>
                      <w:lang w:val="zh-CN"/>
                    </w:rPr>
                  </w:pPr>
                  <w:r>
                    <w:rPr>
                      <w:rFonts w:ascii="Times New Roman" w:hAnsi="Times New Roman"/>
                      <w:color w:val="auto"/>
                      <w:sz w:val="21"/>
                      <w:szCs w:val="21"/>
                      <w:lang w:val="zh-CN"/>
                    </w:rPr>
                    <w:t>主体工程</w:t>
                  </w:r>
                </w:p>
              </w:tc>
              <w:tc>
                <w:tcPr>
                  <w:tcW w:w="1364" w:type="dxa"/>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燃煤锅炉</w:t>
                  </w:r>
                </w:p>
              </w:tc>
              <w:tc>
                <w:tcPr>
                  <w:tcW w:w="4662" w:type="dxa"/>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rPr>
                    <w:t>一台10</w:t>
                  </w:r>
                  <w:r>
                    <w:rPr>
                      <w:rFonts w:hint="eastAsia" w:ascii="Times New Roman" w:hAnsi="Times New Roman"/>
                      <w:color w:val="auto"/>
                      <w:sz w:val="21"/>
                      <w:szCs w:val="21"/>
                    </w:rPr>
                    <w:t>t/h</w:t>
                  </w:r>
                  <w:r>
                    <w:rPr>
                      <w:rFonts w:ascii="Times New Roman" w:hAnsi="Times New Roman"/>
                      <w:color w:val="auto"/>
                      <w:sz w:val="21"/>
                      <w:szCs w:val="21"/>
                    </w:rPr>
                    <w:t>燃煤锅炉</w:t>
                  </w:r>
                </w:p>
              </w:tc>
              <w:tc>
                <w:tcPr>
                  <w:tcW w:w="1544" w:type="dxa"/>
                  <w:vAlign w:val="center"/>
                </w:tcPr>
                <w:p>
                  <w:pPr>
                    <w:adjustRightInd w:val="0"/>
                    <w:snapToGrid w:val="0"/>
                    <w:rPr>
                      <w:rFonts w:ascii="Times New Roman" w:hAnsi="Times New Roman"/>
                      <w:color w:val="auto"/>
                      <w:sz w:val="21"/>
                      <w:szCs w:val="21"/>
                      <w:lang w:val="zh-CN"/>
                    </w:rPr>
                  </w:pPr>
                  <w:r>
                    <w:rPr>
                      <w:rFonts w:ascii="Times New Roman" w:hAnsi="Times New Roman"/>
                      <w:color w:val="auto"/>
                      <w:sz w:val="21"/>
                      <w:szCs w:val="21"/>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6" w:type="dxa"/>
                  <w:vMerge w:val="continue"/>
                  <w:vAlign w:val="center"/>
                </w:tcPr>
                <w:p>
                  <w:pPr>
                    <w:adjustRightInd w:val="0"/>
                    <w:snapToGrid w:val="0"/>
                    <w:spacing w:line="360" w:lineRule="auto"/>
                    <w:jc w:val="center"/>
                    <w:rPr>
                      <w:rFonts w:ascii="Times New Roman" w:hAnsi="Times New Roman"/>
                      <w:color w:val="auto"/>
                      <w:sz w:val="21"/>
                      <w:szCs w:val="21"/>
                      <w:lang w:val="zh-CN"/>
                    </w:rPr>
                  </w:pPr>
                </w:p>
              </w:tc>
              <w:tc>
                <w:tcPr>
                  <w:tcW w:w="1364" w:type="dxa"/>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锅炉房</w:t>
                  </w:r>
                </w:p>
              </w:tc>
              <w:tc>
                <w:tcPr>
                  <w:tcW w:w="4662" w:type="dxa"/>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rPr>
                    <w:t>面积约400平方米，层高约10米的单层车间</w:t>
                  </w:r>
                </w:p>
              </w:tc>
              <w:tc>
                <w:tcPr>
                  <w:tcW w:w="1544" w:type="dxa"/>
                  <w:vAlign w:val="center"/>
                </w:tcPr>
                <w:p>
                  <w:pPr>
                    <w:adjustRightInd w:val="0"/>
                    <w:snapToGrid w:val="0"/>
                    <w:rPr>
                      <w:rFonts w:ascii="Times New Roman" w:hAnsi="Times New Roman"/>
                      <w:color w:val="auto"/>
                      <w:sz w:val="21"/>
                      <w:szCs w:val="21"/>
                      <w:lang w:val="zh-CN"/>
                    </w:rPr>
                  </w:pPr>
                  <w:r>
                    <w:rPr>
                      <w:rFonts w:ascii="Times New Roman" w:hAnsi="Times New Roman"/>
                      <w:color w:val="auto"/>
                      <w:sz w:val="21"/>
                      <w:szCs w:val="21"/>
                    </w:rPr>
                    <w:t>保留沿用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6" w:type="dxa"/>
                  <w:vMerge w:val="restart"/>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lang w:val="zh-CN"/>
                    </w:rPr>
                    <w:t>辅助工程</w:t>
                  </w:r>
                </w:p>
              </w:tc>
              <w:tc>
                <w:tcPr>
                  <w:tcW w:w="1364" w:type="dxa"/>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rPr>
                    <w:t>煤棚</w:t>
                  </w:r>
                </w:p>
              </w:tc>
              <w:tc>
                <w:tcPr>
                  <w:tcW w:w="4662" w:type="dxa"/>
                  <w:vAlign w:val="center"/>
                </w:tcPr>
                <w:p>
                  <w:pPr>
                    <w:adjustRightInd w:val="0"/>
                    <w:snapToGrid w:val="0"/>
                    <w:rPr>
                      <w:rFonts w:ascii="Times New Roman" w:hAnsi="Times New Roman"/>
                      <w:color w:val="auto"/>
                      <w:sz w:val="21"/>
                      <w:szCs w:val="21"/>
                      <w:lang w:val="zh-CN"/>
                    </w:rPr>
                  </w:pPr>
                  <w:r>
                    <w:rPr>
                      <w:rFonts w:ascii="Times New Roman" w:hAnsi="Times New Roman"/>
                      <w:color w:val="auto"/>
                      <w:sz w:val="21"/>
                      <w:szCs w:val="21"/>
                    </w:rPr>
                    <w:t>煤棚包含原料棚、渣棚</w:t>
                  </w:r>
                  <w:r>
                    <w:rPr>
                      <w:rFonts w:hint="eastAsia" w:ascii="Times New Roman" w:hAnsi="Times New Roman"/>
                      <w:color w:val="auto"/>
                      <w:sz w:val="21"/>
                      <w:szCs w:val="21"/>
                    </w:rPr>
                    <w:t>、</w:t>
                  </w:r>
                  <w:r>
                    <w:rPr>
                      <w:rFonts w:ascii="Times New Roman" w:hAnsi="Times New Roman"/>
                      <w:color w:val="auto"/>
                      <w:sz w:val="21"/>
                      <w:szCs w:val="21"/>
                    </w:rPr>
                    <w:t>石灰棚，为面积约430平方米，层高约8米的半封闭厂房</w:t>
                  </w:r>
                </w:p>
              </w:tc>
              <w:tc>
                <w:tcPr>
                  <w:tcW w:w="1544" w:type="dxa"/>
                  <w:vAlign w:val="center"/>
                </w:tcPr>
                <w:p>
                  <w:pPr>
                    <w:adjustRightInd w:val="0"/>
                    <w:snapToGrid w:val="0"/>
                    <w:rPr>
                      <w:rFonts w:ascii="Times New Roman" w:hAnsi="Times New Roman"/>
                      <w:color w:val="auto"/>
                      <w:sz w:val="21"/>
                      <w:szCs w:val="21"/>
                      <w:lang w:val="zh-CN"/>
                    </w:rPr>
                  </w:pPr>
                  <w:r>
                    <w:rPr>
                      <w:rFonts w:ascii="Times New Roman" w:hAnsi="Times New Roman"/>
                      <w:color w:val="auto"/>
                      <w:sz w:val="21"/>
                      <w:szCs w:val="21"/>
                    </w:rPr>
                    <w:t>保留</w:t>
                  </w:r>
                  <w:r>
                    <w:rPr>
                      <w:rFonts w:hint="eastAsia" w:ascii="Times New Roman" w:hAnsi="Times New Roman"/>
                      <w:color w:val="auto"/>
                      <w:sz w:val="21"/>
                      <w:szCs w:val="21"/>
                    </w:rPr>
                    <w:t>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6" w:type="dxa"/>
                  <w:vMerge w:val="continue"/>
                  <w:vAlign w:val="center"/>
                </w:tcPr>
                <w:p>
                  <w:pPr>
                    <w:adjustRightInd w:val="0"/>
                    <w:snapToGrid w:val="0"/>
                    <w:jc w:val="center"/>
                    <w:rPr>
                      <w:rFonts w:ascii="Times New Roman" w:hAnsi="Times New Roman"/>
                      <w:color w:val="auto"/>
                      <w:sz w:val="21"/>
                      <w:szCs w:val="21"/>
                      <w:lang w:val="zh-CN"/>
                    </w:rPr>
                  </w:pPr>
                </w:p>
              </w:tc>
              <w:tc>
                <w:tcPr>
                  <w:tcW w:w="1364" w:type="dxa"/>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软水系统</w:t>
                  </w:r>
                </w:p>
              </w:tc>
              <w:tc>
                <w:tcPr>
                  <w:tcW w:w="4662" w:type="dxa"/>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rPr>
                    <w:t>项目建设有一套软水设备，用于为锅炉提供软水，软水工艺为砂滤+离子交换器，水处理能力为20t/h</w:t>
                  </w:r>
                </w:p>
              </w:tc>
              <w:tc>
                <w:tcPr>
                  <w:tcW w:w="1544" w:type="dxa"/>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rPr>
                    <w:t>保留沿用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6" w:type="dxa"/>
                  <w:vMerge w:val="restart"/>
                  <w:vAlign w:val="center"/>
                </w:tcPr>
                <w:p>
                  <w:pPr>
                    <w:adjustRightInd w:val="0"/>
                    <w:snapToGrid w:val="0"/>
                    <w:jc w:val="center"/>
                    <w:rPr>
                      <w:rFonts w:ascii="Times New Roman" w:hAnsi="Times New Roman"/>
                      <w:color w:val="auto"/>
                      <w:sz w:val="21"/>
                      <w:szCs w:val="21"/>
                      <w:lang w:val="zh-CN"/>
                    </w:rPr>
                  </w:pPr>
                  <w:r>
                    <w:rPr>
                      <w:rFonts w:hint="eastAsia" w:ascii="Times New Roman" w:hAnsi="Times New Roman"/>
                      <w:color w:val="auto"/>
                      <w:sz w:val="21"/>
                      <w:szCs w:val="21"/>
                      <w:lang w:val="zh-CN"/>
                    </w:rPr>
                    <w:t>公用工程</w:t>
                  </w:r>
                </w:p>
              </w:tc>
              <w:tc>
                <w:tcPr>
                  <w:tcW w:w="1364" w:type="dxa"/>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lang w:val="zh-CN"/>
                    </w:rPr>
                    <w:t>供电</w:t>
                  </w:r>
                </w:p>
              </w:tc>
              <w:tc>
                <w:tcPr>
                  <w:tcW w:w="4662" w:type="dxa"/>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lang w:val="zh-CN"/>
                    </w:rPr>
                    <w:t>项目的电源为市政电网</w:t>
                  </w:r>
                </w:p>
              </w:tc>
              <w:tc>
                <w:tcPr>
                  <w:tcW w:w="1544" w:type="dxa"/>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rPr>
                    <w:t>保留沿用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6" w:type="dxa"/>
                  <w:vMerge w:val="continue"/>
                  <w:vAlign w:val="center"/>
                </w:tcPr>
                <w:p>
                  <w:pPr>
                    <w:adjustRightInd w:val="0"/>
                    <w:snapToGrid w:val="0"/>
                    <w:jc w:val="center"/>
                    <w:rPr>
                      <w:rFonts w:ascii="Times New Roman" w:hAnsi="Times New Roman"/>
                      <w:color w:val="auto"/>
                      <w:sz w:val="21"/>
                      <w:szCs w:val="21"/>
                      <w:lang w:val="zh-CN"/>
                    </w:rPr>
                  </w:pPr>
                </w:p>
              </w:tc>
              <w:tc>
                <w:tcPr>
                  <w:tcW w:w="1364" w:type="dxa"/>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供水</w:t>
                  </w:r>
                </w:p>
              </w:tc>
              <w:tc>
                <w:tcPr>
                  <w:tcW w:w="4662" w:type="dxa"/>
                  <w:vAlign w:val="center"/>
                </w:tcPr>
                <w:p>
                  <w:pPr>
                    <w:adjustRightInd w:val="0"/>
                    <w:snapToGrid w:val="0"/>
                    <w:rPr>
                      <w:rFonts w:ascii="Times New Roman" w:hAnsi="Times New Roman"/>
                      <w:color w:val="auto"/>
                      <w:sz w:val="21"/>
                      <w:szCs w:val="21"/>
                    </w:rPr>
                  </w:pPr>
                  <w:r>
                    <w:rPr>
                      <w:rFonts w:hint="eastAsia" w:ascii="Times New Roman" w:hAnsi="Times New Roman"/>
                      <w:color w:val="auto"/>
                      <w:sz w:val="21"/>
                      <w:szCs w:val="21"/>
                    </w:rPr>
                    <w:t>东侧南盘江老河道取水</w:t>
                  </w:r>
                </w:p>
              </w:tc>
              <w:tc>
                <w:tcPr>
                  <w:tcW w:w="1544" w:type="dxa"/>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rPr>
                    <w:t>保留沿用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6" w:type="dxa"/>
                  <w:vMerge w:val="restart"/>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lang w:val="zh-CN"/>
                    </w:rPr>
                    <w:t>环保工程</w:t>
                  </w:r>
                </w:p>
              </w:tc>
              <w:tc>
                <w:tcPr>
                  <w:tcW w:w="1364" w:type="dxa"/>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lang w:val="zh-CN"/>
                    </w:rPr>
                    <w:t>废气</w:t>
                  </w:r>
                </w:p>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lang w:val="zh-CN"/>
                    </w:rPr>
                    <w:t>治理措施</w:t>
                  </w:r>
                </w:p>
              </w:tc>
              <w:tc>
                <w:tcPr>
                  <w:tcW w:w="4662" w:type="dxa"/>
                  <w:vAlign w:val="center"/>
                </w:tcPr>
                <w:p>
                  <w:pPr>
                    <w:adjustRightInd w:val="0"/>
                    <w:snapToGrid w:val="0"/>
                    <w:rPr>
                      <w:rFonts w:ascii="Times New Roman" w:hAnsi="Times New Roman"/>
                      <w:color w:val="auto"/>
                      <w:sz w:val="21"/>
                      <w:szCs w:val="21"/>
                      <w:lang w:val="zh-CN"/>
                    </w:rPr>
                  </w:pPr>
                  <w:r>
                    <w:rPr>
                      <w:rFonts w:hint="eastAsia" w:ascii="宋体" w:hAnsi="宋体" w:cs="宋体"/>
                      <w:color w:val="auto"/>
                      <w:sz w:val="21"/>
                      <w:szCs w:val="21"/>
                      <w:lang w:val="zh-CN"/>
                    </w:rPr>
                    <w:t>①</w:t>
                  </w:r>
                  <w:r>
                    <w:rPr>
                      <w:rFonts w:ascii="Times New Roman" w:hAnsi="Times New Roman"/>
                      <w:color w:val="auto"/>
                      <w:sz w:val="21"/>
                      <w:szCs w:val="21"/>
                    </w:rPr>
                    <w:t>锅炉烟气</w:t>
                  </w:r>
                  <w:r>
                    <w:rPr>
                      <w:rFonts w:ascii="Times New Roman" w:hAnsi="Times New Roman"/>
                      <w:color w:val="auto"/>
                      <w:sz w:val="21"/>
                      <w:szCs w:val="21"/>
                      <w:lang w:val="zh-CN"/>
                    </w:rPr>
                    <w:t>：</w:t>
                  </w:r>
                  <w:r>
                    <w:rPr>
                      <w:rFonts w:ascii="Times New Roman" w:hAnsi="Times New Roman"/>
                      <w:color w:val="auto"/>
                      <w:sz w:val="21"/>
                      <w:szCs w:val="21"/>
                    </w:rPr>
                    <w:t>添加石灰的水磨除尘器脱硫+</w:t>
                  </w:r>
                  <w:r>
                    <w:rPr>
                      <w:rFonts w:ascii="Times New Roman" w:hAnsi="Times New Roman"/>
                      <w:color w:val="auto"/>
                      <w:sz w:val="21"/>
                      <w:szCs w:val="21"/>
                      <w:lang w:val="zh-CN"/>
                    </w:rPr>
                    <w:t>布袋除尘</w:t>
                  </w:r>
                  <w:r>
                    <w:rPr>
                      <w:rFonts w:ascii="Times New Roman" w:hAnsi="Times New Roman"/>
                      <w:color w:val="auto"/>
                      <w:sz w:val="21"/>
                      <w:szCs w:val="21"/>
                    </w:rPr>
                    <w:t>工艺处理</w:t>
                  </w:r>
                  <w:r>
                    <w:rPr>
                      <w:rFonts w:ascii="Times New Roman" w:hAnsi="Times New Roman"/>
                      <w:color w:val="auto"/>
                      <w:sz w:val="21"/>
                      <w:szCs w:val="21"/>
                      <w:lang w:val="zh-CN"/>
                    </w:rPr>
                    <w:t>，排气筒高度为</w:t>
                  </w:r>
                  <w:r>
                    <w:rPr>
                      <w:rFonts w:ascii="Times New Roman" w:hAnsi="Times New Roman"/>
                      <w:color w:val="auto"/>
                      <w:sz w:val="21"/>
                      <w:szCs w:val="21"/>
                    </w:rPr>
                    <w:t>45m</w:t>
                  </w:r>
                  <w:r>
                    <w:rPr>
                      <w:rFonts w:ascii="Times New Roman" w:hAnsi="Times New Roman"/>
                      <w:color w:val="auto"/>
                      <w:sz w:val="21"/>
                      <w:szCs w:val="21"/>
                      <w:lang w:val="zh-CN"/>
                    </w:rPr>
                    <w:t>，出口内径为0.8m</w:t>
                  </w:r>
                </w:p>
                <w:p>
                  <w:pPr>
                    <w:pStyle w:val="2"/>
                    <w:adjustRightInd w:val="0"/>
                    <w:snapToGrid w:val="0"/>
                    <w:rPr>
                      <w:rFonts w:ascii="Times New Roman" w:hAnsi="Times New Roman" w:cs="Times New Roman"/>
                      <w:color w:val="auto"/>
                      <w:lang w:val="zh-CN"/>
                    </w:rPr>
                  </w:pPr>
                  <w:r>
                    <w:rPr>
                      <w:rFonts w:hint="eastAsia" w:hAnsi="宋体"/>
                      <w:color w:val="auto"/>
                      <w:sz w:val="21"/>
                      <w:szCs w:val="21"/>
                      <w:lang w:val="zh-CN"/>
                    </w:rPr>
                    <w:t>②</w:t>
                  </w:r>
                  <w:r>
                    <w:rPr>
                      <w:rFonts w:ascii="Times New Roman" w:hAnsi="Times New Roman" w:cs="Times New Roman"/>
                      <w:color w:val="auto"/>
                      <w:sz w:val="21"/>
                      <w:szCs w:val="21"/>
                      <w:lang w:val="zh-CN"/>
                    </w:rPr>
                    <w:t>煤</w:t>
                  </w:r>
                  <w:r>
                    <w:rPr>
                      <w:rFonts w:hint="eastAsia" w:ascii="Times New Roman" w:hAnsi="Times New Roman" w:cs="Times New Roman"/>
                      <w:color w:val="auto"/>
                      <w:sz w:val="21"/>
                      <w:szCs w:val="21"/>
                      <w:lang w:val="zh-CN"/>
                    </w:rPr>
                    <w:t>棚、渣棚</w:t>
                  </w:r>
                  <w:r>
                    <w:rPr>
                      <w:rFonts w:ascii="Times New Roman" w:hAnsi="Times New Roman" w:cs="Times New Roman"/>
                      <w:color w:val="auto"/>
                      <w:sz w:val="21"/>
                      <w:szCs w:val="21"/>
                      <w:lang w:val="zh-CN"/>
                    </w:rPr>
                    <w:t>粉尘：洒水降尘</w:t>
                  </w:r>
                </w:p>
              </w:tc>
              <w:tc>
                <w:tcPr>
                  <w:tcW w:w="1544" w:type="dxa"/>
                  <w:vAlign w:val="center"/>
                </w:tcPr>
                <w:p>
                  <w:pPr>
                    <w:adjustRightInd w:val="0"/>
                    <w:snapToGrid w:val="0"/>
                    <w:rPr>
                      <w:rFonts w:ascii="Times New Roman" w:hAnsi="Times New Roman"/>
                      <w:color w:val="auto"/>
                      <w:sz w:val="21"/>
                      <w:szCs w:val="21"/>
                      <w:lang w:val="zh-CN"/>
                    </w:rPr>
                  </w:pPr>
                  <w:r>
                    <w:rPr>
                      <w:rFonts w:ascii="Times New Roman" w:hAnsi="Times New Roman"/>
                      <w:color w:val="auto"/>
                      <w:sz w:val="21"/>
                      <w:szCs w:val="21"/>
                      <w:lang w:val="zh-CN"/>
                    </w:rPr>
                    <w:t>排气筒</w:t>
                  </w:r>
                  <w:r>
                    <w:rPr>
                      <w:rFonts w:ascii="Times New Roman" w:hAnsi="Times New Roman"/>
                      <w:color w:val="auto"/>
                      <w:sz w:val="21"/>
                      <w:szCs w:val="21"/>
                    </w:rPr>
                    <w:t>保留沿用</w:t>
                  </w:r>
                  <w:r>
                    <w:rPr>
                      <w:rFonts w:ascii="Times New Roman" w:hAnsi="Times New Roman"/>
                      <w:color w:val="auto"/>
                      <w:sz w:val="21"/>
                      <w:szCs w:val="21"/>
                      <w:lang w:val="zh-CN"/>
                    </w:rPr>
                    <w:t>，其他设备拆除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6" w:type="dxa"/>
                  <w:vMerge w:val="continue"/>
                  <w:vAlign w:val="center"/>
                </w:tcPr>
                <w:p>
                  <w:pPr>
                    <w:adjustRightInd w:val="0"/>
                    <w:snapToGrid w:val="0"/>
                    <w:spacing w:line="360" w:lineRule="auto"/>
                    <w:jc w:val="center"/>
                    <w:rPr>
                      <w:rFonts w:ascii="Times New Roman" w:hAnsi="Times New Roman"/>
                      <w:color w:val="auto"/>
                      <w:sz w:val="21"/>
                      <w:szCs w:val="21"/>
                      <w:lang w:val="zh-CN"/>
                    </w:rPr>
                  </w:pPr>
                </w:p>
              </w:tc>
              <w:tc>
                <w:tcPr>
                  <w:tcW w:w="1364" w:type="dxa"/>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lang w:val="zh-CN"/>
                    </w:rPr>
                    <w:t>噪声</w:t>
                  </w:r>
                </w:p>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lang w:val="zh-CN"/>
                    </w:rPr>
                    <w:t>治理措施</w:t>
                  </w:r>
                </w:p>
              </w:tc>
              <w:tc>
                <w:tcPr>
                  <w:tcW w:w="4662" w:type="dxa"/>
                  <w:vAlign w:val="center"/>
                </w:tcPr>
                <w:p>
                  <w:pPr>
                    <w:adjustRightInd w:val="0"/>
                    <w:snapToGrid w:val="0"/>
                    <w:rPr>
                      <w:rFonts w:ascii="Times New Roman" w:hAnsi="Times New Roman"/>
                      <w:color w:val="auto"/>
                      <w:sz w:val="21"/>
                      <w:szCs w:val="21"/>
                      <w:lang w:val="zh-CN"/>
                    </w:rPr>
                  </w:pPr>
                  <w:r>
                    <w:rPr>
                      <w:rFonts w:hint="eastAsia" w:ascii="Times New Roman" w:hAnsi="Times New Roman"/>
                      <w:color w:val="auto"/>
                      <w:sz w:val="21"/>
                      <w:szCs w:val="21"/>
                      <w:lang w:val="zh-CN"/>
                    </w:rPr>
                    <w:t>厂房隔声，鼓风机安装消声器</w:t>
                  </w:r>
                </w:p>
              </w:tc>
              <w:tc>
                <w:tcPr>
                  <w:tcW w:w="1544" w:type="dxa"/>
                  <w:vAlign w:val="center"/>
                </w:tcPr>
                <w:p>
                  <w:pPr>
                    <w:adjustRightInd w:val="0"/>
                    <w:snapToGrid w:val="0"/>
                    <w:rPr>
                      <w:rFonts w:ascii="Times New Roman" w:hAnsi="Times New Roman"/>
                      <w:color w:val="auto"/>
                      <w:sz w:val="21"/>
                      <w:szCs w:val="21"/>
                      <w:lang w:val="zh-CN"/>
                    </w:rPr>
                  </w:pPr>
                  <w:r>
                    <w:rPr>
                      <w:rFonts w:hint="eastAsia" w:ascii="Times New Roman" w:hAnsi="Times New Roman"/>
                      <w:color w:val="auto"/>
                      <w:sz w:val="21"/>
                      <w:szCs w:val="21"/>
                      <w:lang w:val="zh-CN"/>
                    </w:rPr>
                    <w:t>厂房</w:t>
                  </w:r>
                  <w:r>
                    <w:rPr>
                      <w:rFonts w:ascii="Times New Roman" w:hAnsi="Times New Roman"/>
                      <w:color w:val="auto"/>
                      <w:sz w:val="21"/>
                      <w:szCs w:val="21"/>
                      <w:lang w:val="zh-CN"/>
                    </w:rPr>
                    <w:t>保留沿用</w:t>
                  </w:r>
                </w:p>
                <w:p>
                  <w:pPr>
                    <w:pStyle w:val="37"/>
                    <w:ind w:firstLine="0" w:firstLineChars="0"/>
                    <w:rPr>
                      <w:rFonts w:ascii="Times New Roman" w:hAnsi="Times New Roman"/>
                      <w:color w:val="auto"/>
                      <w:sz w:val="21"/>
                      <w:szCs w:val="21"/>
                      <w:lang w:val="zh-CN"/>
                    </w:rPr>
                  </w:pPr>
                  <w:r>
                    <w:rPr>
                      <w:rFonts w:hint="eastAsia" w:ascii="Times New Roman" w:hAnsi="Times New Roman"/>
                      <w:color w:val="auto"/>
                      <w:sz w:val="21"/>
                      <w:szCs w:val="21"/>
                      <w:lang w:val="zh-CN"/>
                    </w:rPr>
                    <w:t>鼓风机及消声器拆除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26" w:type="dxa"/>
                  <w:vMerge w:val="continue"/>
                  <w:vAlign w:val="center"/>
                </w:tcPr>
                <w:p>
                  <w:pPr>
                    <w:adjustRightInd w:val="0"/>
                    <w:snapToGrid w:val="0"/>
                    <w:spacing w:line="360" w:lineRule="auto"/>
                    <w:jc w:val="center"/>
                    <w:rPr>
                      <w:rFonts w:ascii="Times New Roman" w:hAnsi="Times New Roman"/>
                      <w:color w:val="auto"/>
                      <w:sz w:val="21"/>
                      <w:szCs w:val="21"/>
                      <w:lang w:val="zh-CN"/>
                    </w:rPr>
                  </w:pPr>
                </w:p>
              </w:tc>
              <w:tc>
                <w:tcPr>
                  <w:tcW w:w="1364" w:type="dxa"/>
                  <w:vMerge w:val="restart"/>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lang w:val="zh-CN"/>
                    </w:rPr>
                    <w:t>固废</w:t>
                  </w:r>
                </w:p>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lang w:val="zh-CN"/>
                    </w:rPr>
                    <w:t>治理措施</w:t>
                  </w:r>
                </w:p>
              </w:tc>
              <w:tc>
                <w:tcPr>
                  <w:tcW w:w="4662" w:type="dxa"/>
                  <w:vAlign w:val="center"/>
                </w:tcPr>
                <w:p>
                  <w:pPr>
                    <w:adjustRightInd w:val="0"/>
                    <w:snapToGrid w:val="0"/>
                    <w:rPr>
                      <w:rFonts w:ascii="Times New Roman" w:hAnsi="Times New Roman"/>
                      <w:color w:val="auto"/>
                      <w:sz w:val="21"/>
                      <w:szCs w:val="21"/>
                    </w:rPr>
                  </w:pPr>
                  <w:r>
                    <w:rPr>
                      <w:rFonts w:hint="eastAsia" w:ascii="Times New Roman" w:hAnsi="Times New Roman"/>
                      <w:color w:val="auto"/>
                      <w:sz w:val="21"/>
                      <w:szCs w:val="21"/>
                    </w:rPr>
                    <w:t>炉渣、粉煤灰</w:t>
                  </w:r>
                  <w:r>
                    <w:rPr>
                      <w:rFonts w:ascii="Times New Roman" w:hAnsi="Times New Roman"/>
                      <w:color w:val="auto"/>
                      <w:sz w:val="21"/>
                      <w:szCs w:val="21"/>
                    </w:rPr>
                    <w:t>：</w:t>
                  </w:r>
                  <w:r>
                    <w:rPr>
                      <w:rFonts w:hint="eastAsia" w:ascii="Times New Roman" w:hAnsi="Times New Roman"/>
                      <w:color w:val="auto"/>
                      <w:sz w:val="21"/>
                      <w:szCs w:val="21"/>
                    </w:rPr>
                    <w:t>外售</w:t>
                  </w:r>
                </w:p>
              </w:tc>
              <w:tc>
                <w:tcPr>
                  <w:tcW w:w="1544" w:type="dxa"/>
                  <w:vAlign w:val="center"/>
                </w:tcPr>
                <w:p>
                  <w:pPr>
                    <w:adjustRightInd w:val="0"/>
                    <w:snapToGrid w:val="0"/>
                    <w:rPr>
                      <w:rFonts w:ascii="Times New Roman" w:hAnsi="Times New Roman"/>
                      <w:color w:val="auto"/>
                      <w:sz w:val="21"/>
                      <w:szCs w:val="21"/>
                      <w:lang w:val="zh-CN"/>
                    </w:rPr>
                  </w:pPr>
                  <w:r>
                    <w:rPr>
                      <w:rFonts w:hint="eastAsia" w:ascii="Times New Roman" w:hAnsi="Times New Roman"/>
                      <w:color w:val="auto"/>
                      <w:sz w:val="21"/>
                      <w:szCs w:val="21"/>
                      <w:lang w:val="zh-CN"/>
                    </w:rPr>
                    <w:t>技改</w:t>
                  </w:r>
                  <w:r>
                    <w:rPr>
                      <w:rFonts w:ascii="Times New Roman" w:hAnsi="Times New Roman"/>
                      <w:color w:val="auto"/>
                      <w:sz w:val="21"/>
                      <w:szCs w:val="21"/>
                      <w:lang w:val="zh-CN"/>
                    </w:rPr>
                    <w:t>项目不产生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6" w:type="dxa"/>
                  <w:vMerge w:val="continue"/>
                  <w:vAlign w:val="center"/>
                </w:tcPr>
                <w:p>
                  <w:pPr>
                    <w:adjustRightInd w:val="0"/>
                    <w:snapToGrid w:val="0"/>
                    <w:spacing w:line="360" w:lineRule="auto"/>
                    <w:jc w:val="center"/>
                    <w:rPr>
                      <w:rFonts w:ascii="Times New Roman" w:hAnsi="Times New Roman"/>
                      <w:color w:val="auto"/>
                      <w:sz w:val="21"/>
                      <w:szCs w:val="21"/>
                      <w:lang w:val="zh-CN"/>
                    </w:rPr>
                  </w:pPr>
                </w:p>
              </w:tc>
              <w:tc>
                <w:tcPr>
                  <w:tcW w:w="1364" w:type="dxa"/>
                  <w:vMerge w:val="continue"/>
                  <w:vAlign w:val="center"/>
                </w:tcPr>
                <w:p>
                  <w:pPr>
                    <w:adjustRightInd w:val="0"/>
                    <w:snapToGrid w:val="0"/>
                    <w:jc w:val="center"/>
                    <w:rPr>
                      <w:rFonts w:ascii="Times New Roman" w:hAnsi="Times New Roman"/>
                      <w:color w:val="auto"/>
                      <w:sz w:val="21"/>
                      <w:szCs w:val="21"/>
                      <w:lang w:val="zh-CN"/>
                    </w:rPr>
                  </w:pPr>
                </w:p>
              </w:tc>
              <w:tc>
                <w:tcPr>
                  <w:tcW w:w="4662" w:type="dxa"/>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rPr>
                    <w:t>废离子交换树脂</w:t>
                  </w:r>
                  <w:r>
                    <w:rPr>
                      <w:rFonts w:ascii="Times New Roman" w:hAnsi="Times New Roman"/>
                      <w:color w:val="auto"/>
                      <w:sz w:val="21"/>
                      <w:szCs w:val="21"/>
                      <w:lang w:val="zh-CN"/>
                    </w:rPr>
                    <w:t>：</w:t>
                  </w:r>
                  <w:r>
                    <w:rPr>
                      <w:rFonts w:ascii="Times New Roman" w:hAnsi="Times New Roman"/>
                      <w:color w:val="auto"/>
                      <w:sz w:val="21"/>
                      <w:szCs w:val="21"/>
                    </w:rPr>
                    <w:t>厂家回收</w:t>
                  </w:r>
                </w:p>
              </w:tc>
              <w:tc>
                <w:tcPr>
                  <w:tcW w:w="1544" w:type="dxa"/>
                  <w:vAlign w:val="center"/>
                </w:tcPr>
                <w:p>
                  <w:pPr>
                    <w:adjustRightInd w:val="0"/>
                    <w:snapToGrid w:val="0"/>
                    <w:rPr>
                      <w:rFonts w:ascii="Times New Roman" w:hAnsi="Times New Roman"/>
                      <w:color w:val="auto"/>
                      <w:sz w:val="21"/>
                      <w:szCs w:val="21"/>
                      <w:lang w:val="zh-CN"/>
                    </w:rPr>
                  </w:pPr>
                  <w:r>
                    <w:rPr>
                      <w:rFonts w:ascii="Times New Roman" w:hAnsi="Times New Roman"/>
                      <w:color w:val="auto"/>
                      <w:sz w:val="21"/>
                      <w:szCs w:val="21"/>
                    </w:rPr>
                    <w:t>保留沿用</w:t>
                  </w:r>
                </w:p>
              </w:tc>
            </w:tr>
          </w:tbl>
          <w:p>
            <w:pPr>
              <w:pStyle w:val="6"/>
              <w:adjustRightInd w:val="0"/>
              <w:snapToGrid w:val="0"/>
              <w:spacing w:before="163" w:beforeLines="50" w:after="0" w:afterLines="0"/>
              <w:rPr>
                <w:rFonts w:eastAsia="宋体"/>
                <w:b/>
                <w:bCs/>
                <w:color w:val="auto"/>
              </w:rPr>
            </w:pPr>
            <w:r>
              <w:rPr>
                <w:rFonts w:eastAsia="宋体"/>
                <w:b/>
                <w:bCs/>
                <w:color w:val="auto"/>
              </w:rPr>
              <w:t>4、现有锅炉房</w:t>
            </w:r>
            <w:r>
              <w:rPr>
                <w:rFonts w:eastAsia="宋体"/>
                <w:b/>
                <w:bCs/>
                <w:color w:val="auto"/>
              </w:rPr>
              <w:t>生产设备及原辅料一览表</w:t>
            </w:r>
          </w:p>
          <w:p>
            <w:pPr>
              <w:pStyle w:val="2"/>
              <w:adjustRightInd w:val="0"/>
              <w:snapToGrid w:val="0"/>
              <w:ind w:firstLine="380"/>
              <w:jc w:val="left"/>
              <w:rPr>
                <w:rFonts w:ascii="Times New Roman" w:hAnsi="Times New Roman" w:cs="Times New Roman"/>
                <w:color w:val="auto"/>
                <w:sz w:val="24"/>
                <w:szCs w:val="24"/>
              </w:rPr>
            </w:pPr>
            <w:r>
              <w:rPr>
                <w:rFonts w:ascii="Times New Roman" w:hAnsi="Times New Roman" w:cs="Times New Roman"/>
                <w:color w:val="auto"/>
                <w:sz w:val="24"/>
                <w:szCs w:val="24"/>
              </w:rPr>
              <w:t>现有锅炉房生产设备见下表。</w:t>
            </w:r>
          </w:p>
          <w:p>
            <w:pPr>
              <w:pStyle w:val="12"/>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表1-10   现有锅炉房</w:t>
            </w:r>
            <w:r>
              <w:rPr>
                <w:rFonts w:ascii="Times New Roman" w:hAnsi="Times New Roman"/>
                <w:b/>
                <w:bCs/>
                <w:color w:val="auto"/>
                <w:sz w:val="21"/>
                <w:szCs w:val="21"/>
              </w:rPr>
              <w:t>设备一览表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289"/>
              <w:gridCol w:w="702"/>
              <w:gridCol w:w="712"/>
              <w:gridCol w:w="3934"/>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widowControl/>
                    <w:adjustRightInd w:val="0"/>
                    <w:snapToGrid w:val="0"/>
                    <w:jc w:val="center"/>
                    <w:textAlignment w:val="center"/>
                    <w:rPr>
                      <w:rFonts w:ascii="Times New Roman" w:hAnsi="Times New Roman"/>
                      <w:b/>
                      <w:bCs/>
                      <w:color w:val="auto"/>
                      <w:kern w:val="0"/>
                      <w:sz w:val="21"/>
                      <w:szCs w:val="21"/>
                      <w:lang w:bidi="ar"/>
                    </w:rPr>
                  </w:pPr>
                  <w:r>
                    <w:rPr>
                      <w:rFonts w:ascii="Times New Roman" w:hAnsi="Times New Roman"/>
                      <w:b/>
                      <w:bCs/>
                      <w:color w:val="auto"/>
                      <w:kern w:val="0"/>
                      <w:sz w:val="21"/>
                      <w:szCs w:val="21"/>
                      <w:lang w:bidi="ar"/>
                    </w:rPr>
                    <w:t>序号</w:t>
                  </w:r>
                </w:p>
              </w:tc>
              <w:tc>
                <w:tcPr>
                  <w:tcW w:w="1289" w:type="dxa"/>
                  <w:vAlign w:val="center"/>
                </w:tcPr>
                <w:p>
                  <w:pPr>
                    <w:widowControl/>
                    <w:adjustRightInd w:val="0"/>
                    <w:snapToGrid w:val="0"/>
                    <w:jc w:val="left"/>
                    <w:textAlignment w:val="center"/>
                    <w:rPr>
                      <w:rFonts w:ascii="Times New Roman" w:hAnsi="Times New Roman"/>
                      <w:b/>
                      <w:bCs/>
                      <w:color w:val="auto"/>
                      <w:kern w:val="0"/>
                      <w:sz w:val="21"/>
                      <w:szCs w:val="21"/>
                      <w:lang w:bidi="ar"/>
                    </w:rPr>
                  </w:pPr>
                  <w:r>
                    <w:rPr>
                      <w:rFonts w:ascii="Times New Roman" w:hAnsi="Times New Roman"/>
                      <w:b/>
                      <w:bCs/>
                      <w:color w:val="auto"/>
                      <w:kern w:val="0"/>
                      <w:sz w:val="21"/>
                      <w:szCs w:val="21"/>
                      <w:lang w:bidi="ar"/>
                    </w:rPr>
                    <w:t>设备名称</w:t>
                  </w:r>
                </w:p>
              </w:tc>
              <w:tc>
                <w:tcPr>
                  <w:tcW w:w="702" w:type="dxa"/>
                  <w:vAlign w:val="center"/>
                </w:tcPr>
                <w:p>
                  <w:pPr>
                    <w:widowControl/>
                    <w:adjustRightInd w:val="0"/>
                    <w:snapToGrid w:val="0"/>
                    <w:jc w:val="center"/>
                    <w:textAlignment w:val="center"/>
                    <w:rPr>
                      <w:rFonts w:ascii="Times New Roman" w:hAnsi="Times New Roman"/>
                      <w:b/>
                      <w:bCs/>
                      <w:color w:val="auto"/>
                      <w:kern w:val="0"/>
                      <w:sz w:val="21"/>
                      <w:szCs w:val="21"/>
                      <w:lang w:bidi="ar"/>
                    </w:rPr>
                  </w:pPr>
                  <w:r>
                    <w:rPr>
                      <w:rFonts w:ascii="Times New Roman" w:hAnsi="Times New Roman"/>
                      <w:b/>
                      <w:bCs/>
                      <w:color w:val="auto"/>
                      <w:kern w:val="0"/>
                      <w:sz w:val="21"/>
                      <w:szCs w:val="21"/>
                      <w:lang w:bidi="ar"/>
                    </w:rPr>
                    <w:t>单位</w:t>
                  </w:r>
                </w:p>
              </w:tc>
              <w:tc>
                <w:tcPr>
                  <w:tcW w:w="712" w:type="dxa"/>
                  <w:vAlign w:val="center"/>
                </w:tcPr>
                <w:p>
                  <w:pPr>
                    <w:widowControl/>
                    <w:adjustRightInd w:val="0"/>
                    <w:snapToGrid w:val="0"/>
                    <w:jc w:val="center"/>
                    <w:textAlignment w:val="center"/>
                    <w:rPr>
                      <w:rFonts w:ascii="Times New Roman" w:hAnsi="Times New Roman"/>
                      <w:b/>
                      <w:bCs/>
                      <w:color w:val="auto"/>
                      <w:kern w:val="0"/>
                      <w:sz w:val="21"/>
                      <w:szCs w:val="21"/>
                      <w:lang w:bidi="ar"/>
                    </w:rPr>
                  </w:pPr>
                  <w:r>
                    <w:rPr>
                      <w:rFonts w:ascii="Times New Roman" w:hAnsi="Times New Roman"/>
                      <w:b/>
                      <w:bCs/>
                      <w:color w:val="auto"/>
                      <w:kern w:val="0"/>
                      <w:sz w:val="21"/>
                      <w:szCs w:val="21"/>
                      <w:lang w:bidi="ar"/>
                    </w:rPr>
                    <w:t>数量</w:t>
                  </w:r>
                </w:p>
              </w:tc>
              <w:tc>
                <w:tcPr>
                  <w:tcW w:w="3934" w:type="dxa"/>
                  <w:vAlign w:val="center"/>
                </w:tcPr>
                <w:p>
                  <w:pPr>
                    <w:widowControl/>
                    <w:adjustRightInd w:val="0"/>
                    <w:snapToGrid w:val="0"/>
                    <w:jc w:val="center"/>
                    <w:textAlignment w:val="center"/>
                    <w:rPr>
                      <w:rFonts w:ascii="Times New Roman" w:hAnsi="Times New Roman"/>
                      <w:b/>
                      <w:bCs/>
                      <w:color w:val="auto"/>
                      <w:kern w:val="0"/>
                      <w:sz w:val="21"/>
                      <w:szCs w:val="21"/>
                      <w:lang w:bidi="ar"/>
                    </w:rPr>
                  </w:pPr>
                  <w:r>
                    <w:rPr>
                      <w:rFonts w:ascii="Times New Roman" w:hAnsi="Times New Roman"/>
                      <w:b/>
                      <w:bCs/>
                      <w:color w:val="auto"/>
                      <w:kern w:val="0"/>
                      <w:sz w:val="21"/>
                      <w:szCs w:val="21"/>
                      <w:lang w:bidi="ar"/>
                    </w:rPr>
                    <w:t>型号尺寸</w:t>
                  </w:r>
                </w:p>
              </w:tc>
              <w:tc>
                <w:tcPr>
                  <w:tcW w:w="1233" w:type="dxa"/>
                  <w:vAlign w:val="center"/>
                </w:tcPr>
                <w:p>
                  <w:pPr>
                    <w:widowControl/>
                    <w:adjustRightInd w:val="0"/>
                    <w:snapToGrid w:val="0"/>
                    <w:jc w:val="center"/>
                    <w:textAlignment w:val="center"/>
                    <w:rPr>
                      <w:rFonts w:ascii="Times New Roman" w:hAnsi="Times New Roman"/>
                      <w:b/>
                      <w:bCs/>
                      <w:color w:val="auto"/>
                      <w:kern w:val="0"/>
                      <w:sz w:val="21"/>
                      <w:szCs w:val="21"/>
                      <w:lang w:bidi="ar"/>
                    </w:rPr>
                  </w:pPr>
                  <w:r>
                    <w:rPr>
                      <w:rFonts w:ascii="Times New Roman" w:hAnsi="Times New Roman"/>
                      <w:b/>
                      <w:bCs/>
                      <w:color w:val="auto"/>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dxa"/>
                  <w:vAlign w:val="center"/>
                </w:tcPr>
                <w:p>
                  <w:pPr>
                    <w:widowControl/>
                    <w:adjustRightInd w:val="0"/>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1</w:t>
                  </w:r>
                </w:p>
              </w:tc>
              <w:tc>
                <w:tcPr>
                  <w:tcW w:w="1289" w:type="dxa"/>
                  <w:vAlign w:val="center"/>
                </w:tcPr>
                <w:p>
                  <w:pPr>
                    <w:widowControl/>
                    <w:adjustRightInd w:val="0"/>
                    <w:snapToGrid w:val="0"/>
                    <w:textAlignment w:val="center"/>
                    <w:rPr>
                      <w:rFonts w:ascii="Times New Roman" w:hAnsi="Times New Roman"/>
                      <w:color w:val="auto"/>
                      <w:sz w:val="21"/>
                      <w:szCs w:val="21"/>
                    </w:rPr>
                  </w:pPr>
                  <w:r>
                    <w:rPr>
                      <w:rFonts w:ascii="Times New Roman" w:hAnsi="Times New Roman"/>
                      <w:color w:val="auto"/>
                      <w:kern w:val="0"/>
                      <w:sz w:val="21"/>
                      <w:szCs w:val="21"/>
                      <w:lang w:bidi="ar"/>
                    </w:rPr>
                    <w:t>燃煤锅炉</w:t>
                  </w:r>
                </w:p>
              </w:tc>
              <w:tc>
                <w:tcPr>
                  <w:tcW w:w="702" w:type="dxa"/>
                  <w:vAlign w:val="center"/>
                </w:tcPr>
                <w:p>
                  <w:pPr>
                    <w:widowControl/>
                    <w:adjustRightInd w:val="0"/>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台</w:t>
                  </w:r>
                </w:p>
              </w:tc>
              <w:tc>
                <w:tcPr>
                  <w:tcW w:w="712" w:type="dxa"/>
                  <w:vAlign w:val="center"/>
                </w:tcPr>
                <w:p>
                  <w:pPr>
                    <w:widowControl/>
                    <w:adjustRightInd w:val="0"/>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1</w:t>
                  </w:r>
                </w:p>
              </w:tc>
              <w:tc>
                <w:tcPr>
                  <w:tcW w:w="3934"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蒸汽卧式锅炉，产能为10吨</w:t>
                  </w:r>
                  <w:r>
                    <w:rPr>
                      <w:rFonts w:ascii="Times New Roman" w:hAnsi="Times New Roman"/>
                      <w:color w:val="auto"/>
                      <w:sz w:val="21"/>
                      <w:szCs w:val="21"/>
                    </w:rPr>
                    <w:t>/小时</w:t>
                  </w:r>
                </w:p>
              </w:tc>
              <w:tc>
                <w:tcPr>
                  <w:tcW w:w="1233"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2</w:t>
                  </w:r>
                </w:p>
              </w:tc>
              <w:tc>
                <w:tcPr>
                  <w:tcW w:w="1289" w:type="dxa"/>
                  <w:vAlign w:val="center"/>
                </w:tcPr>
                <w:p>
                  <w:pPr>
                    <w:widowControl/>
                    <w:adjustRightInd w:val="0"/>
                    <w:snapToGrid w:val="0"/>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软水装置</w:t>
                  </w:r>
                </w:p>
              </w:tc>
              <w:tc>
                <w:tcPr>
                  <w:tcW w:w="70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套</w:t>
                  </w:r>
                </w:p>
              </w:tc>
              <w:tc>
                <w:tcPr>
                  <w:tcW w:w="71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1</w:t>
                  </w:r>
                </w:p>
              </w:tc>
              <w:tc>
                <w:tcPr>
                  <w:tcW w:w="3934"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工艺为砂滤+离子交换器，水处理能力为20t/h</w:t>
                  </w:r>
                </w:p>
              </w:tc>
              <w:tc>
                <w:tcPr>
                  <w:tcW w:w="1233" w:type="dxa"/>
                  <w:vMerge w:val="restart"/>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sz w:val="21"/>
                      <w:szCs w:val="21"/>
                    </w:rPr>
                    <w:t>保留沿用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3</w:t>
                  </w:r>
                </w:p>
              </w:tc>
              <w:tc>
                <w:tcPr>
                  <w:tcW w:w="1289" w:type="dxa"/>
                  <w:vAlign w:val="center"/>
                </w:tcPr>
                <w:p>
                  <w:pPr>
                    <w:widowControl/>
                    <w:adjustRightInd w:val="0"/>
                    <w:snapToGrid w:val="0"/>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排气筒</w:t>
                  </w:r>
                </w:p>
              </w:tc>
              <w:tc>
                <w:tcPr>
                  <w:tcW w:w="70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根</w:t>
                  </w:r>
                </w:p>
              </w:tc>
              <w:tc>
                <w:tcPr>
                  <w:tcW w:w="71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1</w:t>
                  </w:r>
                </w:p>
              </w:tc>
              <w:tc>
                <w:tcPr>
                  <w:tcW w:w="3934"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45m高排气筒，出口内径为0.8m</w:t>
                  </w:r>
                </w:p>
              </w:tc>
              <w:tc>
                <w:tcPr>
                  <w:tcW w:w="1233" w:type="dxa"/>
                  <w:vMerge w:val="continue"/>
                  <w:vAlign w:val="center"/>
                </w:tcPr>
                <w:p>
                  <w:pPr>
                    <w:widowControl/>
                    <w:adjustRightInd w:val="0"/>
                    <w:snapToGrid w:val="0"/>
                    <w:jc w:val="center"/>
                    <w:textAlignment w:val="center"/>
                    <w:rPr>
                      <w:rFonts w:ascii="Times New Roman" w:hAnsi="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4</w:t>
                  </w:r>
                </w:p>
              </w:tc>
              <w:tc>
                <w:tcPr>
                  <w:tcW w:w="1289" w:type="dxa"/>
                  <w:vAlign w:val="center"/>
                </w:tcPr>
                <w:p>
                  <w:pPr>
                    <w:widowControl/>
                    <w:adjustRightInd w:val="0"/>
                    <w:snapToGrid w:val="0"/>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鼓风机</w:t>
                  </w:r>
                </w:p>
              </w:tc>
              <w:tc>
                <w:tcPr>
                  <w:tcW w:w="70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台</w:t>
                  </w:r>
                </w:p>
              </w:tc>
              <w:tc>
                <w:tcPr>
                  <w:tcW w:w="71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1</w:t>
                  </w:r>
                </w:p>
              </w:tc>
              <w:tc>
                <w:tcPr>
                  <w:tcW w:w="3934"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风量：35000m</w:t>
                  </w:r>
                  <w:r>
                    <w:rPr>
                      <w:rFonts w:ascii="Times New Roman" w:hAnsi="Times New Roman"/>
                      <w:color w:val="auto"/>
                      <w:kern w:val="0"/>
                      <w:sz w:val="21"/>
                      <w:szCs w:val="21"/>
                      <w:vertAlign w:val="superscript"/>
                      <w:lang w:bidi="ar"/>
                    </w:rPr>
                    <w:t>3</w:t>
                  </w:r>
                  <w:r>
                    <w:rPr>
                      <w:rFonts w:ascii="Times New Roman" w:hAnsi="Times New Roman"/>
                      <w:color w:val="auto"/>
                      <w:kern w:val="0"/>
                      <w:sz w:val="21"/>
                      <w:szCs w:val="21"/>
                      <w:lang w:bidi="ar"/>
                    </w:rPr>
                    <w:t>/h</w:t>
                  </w:r>
                </w:p>
              </w:tc>
              <w:tc>
                <w:tcPr>
                  <w:tcW w:w="1233" w:type="dxa"/>
                  <w:vMerge w:val="restart"/>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5</w:t>
                  </w:r>
                </w:p>
              </w:tc>
              <w:tc>
                <w:tcPr>
                  <w:tcW w:w="1289" w:type="dxa"/>
                  <w:vAlign w:val="center"/>
                </w:tcPr>
                <w:p>
                  <w:pPr>
                    <w:widowControl/>
                    <w:adjustRightInd w:val="0"/>
                    <w:snapToGrid w:val="0"/>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布袋除尘器</w:t>
                  </w:r>
                </w:p>
              </w:tc>
              <w:tc>
                <w:tcPr>
                  <w:tcW w:w="70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台</w:t>
                  </w:r>
                </w:p>
              </w:tc>
              <w:tc>
                <w:tcPr>
                  <w:tcW w:w="71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1</w:t>
                  </w:r>
                </w:p>
              </w:tc>
              <w:tc>
                <w:tcPr>
                  <w:tcW w:w="3934"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除尘效率为90%</w:t>
                  </w:r>
                </w:p>
              </w:tc>
              <w:tc>
                <w:tcPr>
                  <w:tcW w:w="1233" w:type="dxa"/>
                  <w:vMerge w:val="continue"/>
                  <w:vAlign w:val="center"/>
                </w:tcPr>
                <w:p>
                  <w:pPr>
                    <w:widowControl/>
                    <w:adjustRightInd w:val="0"/>
                    <w:snapToGrid w:val="0"/>
                    <w:jc w:val="center"/>
                    <w:textAlignment w:val="center"/>
                    <w:rPr>
                      <w:rFonts w:ascii="Times New Roman" w:hAnsi="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6</w:t>
                  </w:r>
                </w:p>
              </w:tc>
              <w:tc>
                <w:tcPr>
                  <w:tcW w:w="1289" w:type="dxa"/>
                  <w:vAlign w:val="center"/>
                </w:tcPr>
                <w:p>
                  <w:pPr>
                    <w:widowControl/>
                    <w:adjustRightInd w:val="0"/>
                    <w:snapToGrid w:val="0"/>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水磨除尘器</w:t>
                  </w:r>
                </w:p>
              </w:tc>
              <w:tc>
                <w:tcPr>
                  <w:tcW w:w="70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台</w:t>
                  </w:r>
                </w:p>
              </w:tc>
              <w:tc>
                <w:tcPr>
                  <w:tcW w:w="712"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1</w:t>
                  </w:r>
                </w:p>
              </w:tc>
              <w:tc>
                <w:tcPr>
                  <w:tcW w:w="3934" w:type="dxa"/>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添加石灰，脱硫效率为</w:t>
                  </w:r>
                  <w:r>
                    <w:rPr>
                      <w:rFonts w:hint="eastAsia" w:ascii="Times New Roman" w:hAnsi="Times New Roman"/>
                      <w:color w:val="auto"/>
                      <w:kern w:val="0"/>
                      <w:sz w:val="21"/>
                      <w:szCs w:val="21"/>
                      <w:lang w:bidi="ar"/>
                    </w:rPr>
                    <w:t>6</w:t>
                  </w:r>
                  <w:r>
                    <w:rPr>
                      <w:rFonts w:ascii="Times New Roman" w:hAnsi="Times New Roman"/>
                      <w:color w:val="auto"/>
                      <w:kern w:val="0"/>
                      <w:sz w:val="21"/>
                      <w:szCs w:val="21"/>
                      <w:lang w:bidi="ar"/>
                    </w:rPr>
                    <w:t>0%</w:t>
                  </w:r>
                </w:p>
              </w:tc>
              <w:tc>
                <w:tcPr>
                  <w:tcW w:w="1233" w:type="dxa"/>
                  <w:vMerge w:val="continue"/>
                  <w:vAlign w:val="center"/>
                </w:tcPr>
                <w:p>
                  <w:pPr>
                    <w:widowControl/>
                    <w:adjustRightInd w:val="0"/>
                    <w:snapToGrid w:val="0"/>
                    <w:jc w:val="center"/>
                    <w:textAlignment w:val="center"/>
                    <w:rPr>
                      <w:rFonts w:ascii="Times New Roman" w:hAnsi="Times New Roman"/>
                      <w:color w:val="auto"/>
                      <w:kern w:val="0"/>
                      <w:sz w:val="21"/>
                      <w:szCs w:val="21"/>
                      <w:lang w:bidi="ar"/>
                    </w:rPr>
                  </w:pPr>
                </w:p>
              </w:tc>
            </w:tr>
          </w:tbl>
          <w:p>
            <w:pPr>
              <w:pStyle w:val="2"/>
              <w:adjustRightInd w:val="0"/>
              <w:snapToGrid w:val="0"/>
              <w:spacing w:before="163" w:beforeLines="50" w:line="360" w:lineRule="auto"/>
              <w:ind w:firstLine="380"/>
              <w:jc w:val="left"/>
              <w:rPr>
                <w:rFonts w:ascii="Times New Roman" w:hAnsi="Times New Roman" w:cs="Times New Roman"/>
                <w:color w:val="auto"/>
                <w:sz w:val="24"/>
                <w:szCs w:val="24"/>
              </w:rPr>
            </w:pPr>
            <w:r>
              <w:rPr>
                <w:rFonts w:ascii="Times New Roman" w:hAnsi="Times New Roman" w:cs="Times New Roman"/>
                <w:color w:val="auto"/>
                <w:sz w:val="24"/>
                <w:szCs w:val="24"/>
              </w:rPr>
              <w:t>现有锅炉房原辅料见下表</w:t>
            </w:r>
            <w:r>
              <w:rPr>
                <w:rFonts w:hint="eastAsia" w:ascii="Times New Roman" w:hAnsi="Times New Roman" w:cs="Times New Roman"/>
                <w:color w:val="auto"/>
                <w:sz w:val="24"/>
                <w:szCs w:val="24"/>
              </w:rPr>
              <w:t>：</w:t>
            </w:r>
          </w:p>
          <w:p>
            <w:pPr>
              <w:pStyle w:val="12"/>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表1-11  现有锅炉房</w:t>
            </w:r>
            <w:r>
              <w:rPr>
                <w:rFonts w:ascii="Times New Roman" w:hAnsi="Times New Roman"/>
                <w:b/>
                <w:bCs/>
                <w:color w:val="auto"/>
                <w:sz w:val="21"/>
                <w:szCs w:val="21"/>
              </w:rPr>
              <w:t>原辅料消耗一览表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1436"/>
              <w:gridCol w:w="1504"/>
              <w:gridCol w:w="1779"/>
              <w:gridCol w:w="1533"/>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产品</w:t>
                  </w:r>
                </w:p>
              </w:tc>
              <w:tc>
                <w:tcPr>
                  <w:tcW w:w="869" w:type="pct"/>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材料名称</w:t>
                  </w:r>
                </w:p>
              </w:tc>
              <w:tc>
                <w:tcPr>
                  <w:tcW w:w="846" w:type="pct"/>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原料用量</w:t>
                  </w:r>
                </w:p>
              </w:tc>
              <w:tc>
                <w:tcPr>
                  <w:tcW w:w="1074" w:type="pct"/>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输送方式</w:t>
                  </w:r>
                </w:p>
              </w:tc>
              <w:tc>
                <w:tcPr>
                  <w:tcW w:w="927" w:type="pct"/>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最大存储量</w:t>
                  </w:r>
                </w:p>
              </w:tc>
              <w:tc>
                <w:tcPr>
                  <w:tcW w:w="745" w:type="pct"/>
                  <w:vAlign w:val="center"/>
                </w:tcPr>
                <w:p>
                  <w:pPr>
                    <w:adjustRightInd w:val="0"/>
                    <w:snapToGrid w:val="0"/>
                    <w:jc w:val="center"/>
                    <w:rPr>
                      <w:rFonts w:ascii="Times New Roman" w:hAnsi="Times New Roman"/>
                      <w:b/>
                      <w:bCs/>
                      <w:color w:val="auto"/>
                      <w:sz w:val="21"/>
                      <w:szCs w:val="21"/>
                      <w:lang w:val="zh-CN"/>
                    </w:rPr>
                  </w:pPr>
                  <w:r>
                    <w:rPr>
                      <w:rFonts w:ascii="Times New Roman" w:hAnsi="Times New Roman"/>
                      <w:b/>
                      <w:bCs/>
                      <w:color w:val="auto"/>
                      <w:sz w:val="21"/>
                      <w:szCs w:val="21"/>
                      <w:lang w:val="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39" w:type="pct"/>
                  <w:vMerge w:val="restart"/>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lang w:val="zh-CN"/>
                    </w:rPr>
                    <w:t>原料</w:t>
                  </w:r>
                </w:p>
              </w:tc>
              <w:tc>
                <w:tcPr>
                  <w:tcW w:w="869"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褐煤</w:t>
                  </w:r>
                </w:p>
              </w:tc>
              <w:tc>
                <w:tcPr>
                  <w:tcW w:w="846" w:type="pct"/>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rPr>
                    <w:t>5040t</w:t>
                  </w:r>
                  <w:r>
                    <w:rPr>
                      <w:rFonts w:ascii="Times New Roman" w:hAnsi="Times New Roman"/>
                      <w:color w:val="auto"/>
                      <w:sz w:val="21"/>
                      <w:szCs w:val="21"/>
                      <w:lang w:val="zh-CN"/>
                    </w:rPr>
                    <w:t>/a（</w:t>
                  </w:r>
                  <w:r>
                    <w:rPr>
                      <w:rFonts w:ascii="Times New Roman" w:hAnsi="Times New Roman"/>
                      <w:color w:val="auto"/>
                      <w:sz w:val="21"/>
                      <w:szCs w:val="21"/>
                    </w:rPr>
                    <w:t>16.8t/d</w:t>
                  </w:r>
                  <w:r>
                    <w:rPr>
                      <w:rFonts w:ascii="Times New Roman" w:hAnsi="Times New Roman"/>
                      <w:color w:val="auto"/>
                      <w:sz w:val="21"/>
                      <w:szCs w:val="21"/>
                      <w:lang w:val="zh-CN"/>
                    </w:rPr>
                    <w:t>）</w:t>
                  </w:r>
                </w:p>
              </w:tc>
              <w:tc>
                <w:tcPr>
                  <w:tcW w:w="1074"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货运车辆</w:t>
                  </w:r>
                </w:p>
              </w:tc>
              <w:tc>
                <w:tcPr>
                  <w:tcW w:w="927"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400t</w:t>
                  </w:r>
                </w:p>
              </w:tc>
              <w:tc>
                <w:tcPr>
                  <w:tcW w:w="745" w:type="pct"/>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39" w:type="pct"/>
                  <w:vMerge w:val="continue"/>
                  <w:vAlign w:val="center"/>
                </w:tcPr>
                <w:p>
                  <w:pPr>
                    <w:adjustRightInd w:val="0"/>
                    <w:snapToGrid w:val="0"/>
                    <w:jc w:val="center"/>
                    <w:rPr>
                      <w:rFonts w:ascii="Times New Roman" w:hAnsi="Times New Roman"/>
                      <w:color w:val="auto"/>
                      <w:sz w:val="21"/>
                      <w:szCs w:val="21"/>
                      <w:lang w:val="zh-CN"/>
                    </w:rPr>
                  </w:pPr>
                </w:p>
              </w:tc>
              <w:tc>
                <w:tcPr>
                  <w:tcW w:w="869" w:type="pct"/>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水</w:t>
                  </w:r>
                </w:p>
              </w:tc>
              <w:tc>
                <w:tcPr>
                  <w:tcW w:w="846" w:type="pct"/>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1</w:t>
                  </w:r>
                  <w:r>
                    <w:rPr>
                      <w:rFonts w:ascii="Times New Roman" w:hAnsi="Times New Roman"/>
                      <w:color w:val="auto"/>
                      <w:sz w:val="21"/>
                      <w:szCs w:val="21"/>
                    </w:rPr>
                    <w:t>.48</w:t>
                  </w:r>
                  <w:r>
                    <w:rPr>
                      <w:rFonts w:hint="eastAsia" w:ascii="Times New Roman" w:hAnsi="Times New Roman"/>
                      <w:color w:val="auto"/>
                      <w:sz w:val="21"/>
                      <w:szCs w:val="21"/>
                    </w:rPr>
                    <w:t>万m</w:t>
                  </w:r>
                  <w:r>
                    <w:rPr>
                      <w:rFonts w:ascii="Times New Roman" w:hAnsi="Times New Roman"/>
                      <w:color w:val="auto"/>
                      <w:sz w:val="21"/>
                      <w:szCs w:val="21"/>
                      <w:vertAlign w:val="superscript"/>
                    </w:rPr>
                    <w:t>3</w:t>
                  </w:r>
                  <w:r>
                    <w:rPr>
                      <w:rFonts w:ascii="Times New Roman" w:hAnsi="Times New Roman"/>
                      <w:color w:val="auto"/>
                      <w:sz w:val="21"/>
                      <w:szCs w:val="21"/>
                    </w:rPr>
                    <w:t>/a</w:t>
                  </w:r>
                  <w:r>
                    <w:rPr>
                      <w:rFonts w:hint="eastAsia" w:ascii="Times New Roman" w:hAnsi="Times New Roman"/>
                      <w:color w:val="auto"/>
                      <w:sz w:val="21"/>
                      <w:szCs w:val="21"/>
                    </w:rPr>
                    <w:t>（4</w:t>
                  </w:r>
                  <w:r>
                    <w:rPr>
                      <w:rFonts w:ascii="Times New Roman" w:hAnsi="Times New Roman"/>
                      <w:color w:val="auto"/>
                      <w:sz w:val="21"/>
                      <w:szCs w:val="21"/>
                    </w:rPr>
                    <w:t>9.49m</w:t>
                  </w:r>
                  <w:r>
                    <w:rPr>
                      <w:rFonts w:ascii="Times New Roman" w:hAnsi="Times New Roman"/>
                      <w:color w:val="auto"/>
                      <w:sz w:val="21"/>
                      <w:szCs w:val="21"/>
                      <w:vertAlign w:val="superscript"/>
                    </w:rPr>
                    <w:t>3</w:t>
                  </w:r>
                  <w:r>
                    <w:rPr>
                      <w:rFonts w:ascii="Times New Roman" w:hAnsi="Times New Roman"/>
                      <w:color w:val="auto"/>
                      <w:sz w:val="21"/>
                      <w:szCs w:val="21"/>
                    </w:rPr>
                    <w:t>/d</w:t>
                  </w:r>
                  <w:r>
                    <w:rPr>
                      <w:rFonts w:hint="eastAsia" w:ascii="Times New Roman" w:hAnsi="Times New Roman"/>
                      <w:color w:val="auto"/>
                      <w:sz w:val="21"/>
                      <w:szCs w:val="21"/>
                    </w:rPr>
                    <w:t>）</w:t>
                  </w:r>
                </w:p>
              </w:tc>
              <w:tc>
                <w:tcPr>
                  <w:tcW w:w="1074"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泵提</w:t>
                  </w:r>
                </w:p>
              </w:tc>
              <w:tc>
                <w:tcPr>
                  <w:tcW w:w="927" w:type="pct"/>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w:t>
                  </w:r>
                </w:p>
              </w:tc>
              <w:tc>
                <w:tcPr>
                  <w:tcW w:w="74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南盘江老河道取水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39" w:type="pct"/>
                  <w:vAlign w:val="center"/>
                </w:tcPr>
                <w:p>
                  <w:pPr>
                    <w:adjustRightInd w:val="0"/>
                    <w:snapToGrid w:val="0"/>
                    <w:jc w:val="center"/>
                    <w:rPr>
                      <w:rFonts w:ascii="Times New Roman" w:hAnsi="Times New Roman"/>
                      <w:color w:val="auto"/>
                      <w:sz w:val="21"/>
                      <w:szCs w:val="21"/>
                      <w:lang w:val="zh-CN"/>
                    </w:rPr>
                  </w:pPr>
                  <w:r>
                    <w:rPr>
                      <w:rFonts w:ascii="Times New Roman" w:hAnsi="Times New Roman"/>
                      <w:color w:val="auto"/>
                      <w:sz w:val="21"/>
                      <w:szCs w:val="21"/>
                      <w:lang w:val="zh-CN"/>
                    </w:rPr>
                    <w:t>辅料</w:t>
                  </w:r>
                </w:p>
              </w:tc>
              <w:tc>
                <w:tcPr>
                  <w:tcW w:w="869"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石灰</w:t>
                  </w:r>
                </w:p>
              </w:tc>
              <w:tc>
                <w:tcPr>
                  <w:tcW w:w="846"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35t</w:t>
                  </w:r>
                  <w:r>
                    <w:rPr>
                      <w:rFonts w:ascii="Times New Roman" w:hAnsi="Times New Roman"/>
                      <w:color w:val="auto"/>
                      <w:sz w:val="21"/>
                      <w:szCs w:val="21"/>
                      <w:lang w:val="zh-CN"/>
                    </w:rPr>
                    <w:t>/a</w:t>
                  </w:r>
                </w:p>
              </w:tc>
              <w:tc>
                <w:tcPr>
                  <w:tcW w:w="1074"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货运车辆</w:t>
                  </w:r>
                </w:p>
              </w:tc>
              <w:tc>
                <w:tcPr>
                  <w:tcW w:w="927"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5t</w:t>
                  </w:r>
                  <w:r>
                    <w:rPr>
                      <w:rFonts w:ascii="Times New Roman" w:hAnsi="Times New Roman"/>
                      <w:color w:val="auto"/>
                      <w:sz w:val="21"/>
                      <w:szCs w:val="21"/>
                      <w:lang w:val="zh-CN"/>
                    </w:rPr>
                    <w:t>/a</w:t>
                  </w:r>
                </w:p>
              </w:tc>
              <w:tc>
                <w:tcPr>
                  <w:tcW w:w="74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外购</w:t>
                  </w:r>
                </w:p>
              </w:tc>
            </w:tr>
          </w:tbl>
          <w:p>
            <w:pPr>
              <w:pStyle w:val="6"/>
              <w:adjustRightInd w:val="0"/>
              <w:snapToGrid w:val="0"/>
              <w:spacing w:before="163" w:beforeLines="50" w:after="0" w:afterLines="0"/>
              <w:rPr>
                <w:rFonts w:eastAsia="宋体"/>
                <w:b/>
                <w:bCs/>
                <w:color w:val="auto"/>
              </w:rPr>
            </w:pPr>
            <w:r>
              <w:rPr>
                <w:rFonts w:eastAsia="宋体"/>
                <w:b/>
                <w:bCs/>
                <w:color w:val="auto"/>
              </w:rPr>
              <w:t>5、现有锅炉房</w:t>
            </w:r>
            <w:r>
              <w:rPr>
                <w:rFonts w:eastAsia="宋体"/>
                <w:b/>
                <w:bCs/>
                <w:color w:val="auto"/>
              </w:rPr>
              <w:t>工艺流程简述</w:t>
            </w:r>
          </w:p>
          <w:p>
            <w:pPr>
              <w:pStyle w:val="16"/>
              <w:adjustRightInd w:val="0"/>
              <w:snapToGrid w:val="0"/>
              <w:spacing w:line="360" w:lineRule="auto"/>
              <w:ind w:firstLine="480" w:firstLineChars="200"/>
              <w:jc w:val="both"/>
              <w:rPr>
                <w:rFonts w:ascii="Times New Roman" w:hAnsi="Times New Roman"/>
                <w:color w:val="auto"/>
              </w:rPr>
            </w:pPr>
            <w:r>
              <w:rPr>
                <w:rFonts w:ascii="Times New Roman" w:hAnsi="Times New Roman"/>
                <w:color w:val="auto"/>
              </w:rPr>
              <w:t>现有锅炉房的燃料为煤，工艺为将煤加入锅炉加热水，产生水蒸气用于现有项目造纸工段。燃煤废气通过添加石灰的水磨除尘器及布袋除尘器处理后，通过45m高排气筒排放，排放口设在线监测设备。</w:t>
            </w:r>
          </w:p>
          <w:p>
            <w:pPr>
              <w:adjustRightInd w:val="0"/>
              <w:snapToGrid w:val="0"/>
              <w:spacing w:line="360" w:lineRule="auto"/>
              <w:jc w:val="center"/>
              <w:rPr>
                <w:rFonts w:ascii="Times New Roman" w:hAnsi="Times New Roman"/>
                <w:color w:val="auto"/>
              </w:rPr>
            </w:pPr>
            <w:r>
              <w:rPr>
                <w:rFonts w:ascii="Times New Roman" w:hAnsi="Times New Roman"/>
                <w:color w:val="auto"/>
              </w:rPr>
              <w:object>
                <v:shape id="_x0000_i1025" o:spt="75" type="#_x0000_t75" style="height:162.75pt;width:382.5pt;" o:ole="t" filled="f" o:preferrelative="t" stroked="f" coordsize="21600,21600">
                  <v:path/>
                  <v:fill on="f" focussize="0,0"/>
                  <v:stroke on="f" joinstyle="miter"/>
                  <v:imagedata r:id="rId13" o:title=""/>
                  <o:lock v:ext="edit" aspectratio="f"/>
                  <w10:wrap type="none"/>
                  <w10:anchorlock/>
                </v:shape>
                <o:OLEObject Type="Embed" ProgID="Visio.Drawing.11" ShapeID="_x0000_i1025" DrawAspect="Content" ObjectID="_1468075725" r:id="rId12">
                  <o:LockedField>false</o:LockedField>
                </o:OLEObject>
              </w:object>
            </w:r>
          </w:p>
          <w:p>
            <w:pPr>
              <w:pStyle w:val="12"/>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 xml:space="preserve">图1-1 </w:t>
            </w:r>
            <w:r>
              <w:rPr>
                <w:rFonts w:hint="eastAsia" w:ascii="Times New Roman" w:hAnsi="Times New Roman"/>
                <w:b/>
                <w:bCs/>
                <w:color w:val="auto"/>
                <w:sz w:val="21"/>
                <w:szCs w:val="21"/>
              </w:rPr>
              <w:t>现有锅炉房</w:t>
            </w:r>
            <w:r>
              <w:rPr>
                <w:rFonts w:ascii="Times New Roman" w:hAnsi="Times New Roman"/>
                <w:b/>
                <w:bCs/>
                <w:color w:val="auto"/>
                <w:sz w:val="21"/>
                <w:szCs w:val="21"/>
              </w:rPr>
              <w:t>工艺流程</w:t>
            </w:r>
          </w:p>
          <w:p>
            <w:pPr>
              <w:pStyle w:val="6"/>
              <w:adjustRightInd w:val="0"/>
              <w:snapToGrid w:val="0"/>
              <w:spacing w:before="163" w:beforeLines="50" w:after="0" w:afterLines="0"/>
              <w:rPr>
                <w:rFonts w:eastAsia="宋体"/>
                <w:b/>
                <w:bCs/>
                <w:color w:val="auto"/>
              </w:rPr>
            </w:pPr>
            <w:r>
              <w:rPr>
                <w:rFonts w:eastAsia="宋体"/>
                <w:b/>
                <w:bCs/>
                <w:color w:val="auto"/>
              </w:rPr>
              <w:t>6、</w:t>
            </w:r>
            <w:r>
              <w:rPr>
                <w:rFonts w:hint="eastAsia" w:eastAsia="宋体"/>
                <w:b/>
                <w:bCs/>
                <w:color w:val="auto"/>
              </w:rPr>
              <w:t>现有锅炉房</w:t>
            </w:r>
            <w:r>
              <w:rPr>
                <w:rFonts w:eastAsia="宋体"/>
                <w:b/>
                <w:bCs/>
                <w:color w:val="auto"/>
              </w:rPr>
              <w:t>污染源排放情况</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（1）废气</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现有锅炉房的废气主要为燃煤锅炉烟气和煤渣粉尘。</w:t>
            </w:r>
          </w:p>
          <w:p>
            <w:pPr>
              <w:adjustRightInd w:val="0"/>
              <w:snapToGrid w:val="0"/>
              <w:spacing w:line="360" w:lineRule="auto"/>
              <w:ind w:firstLine="480" w:firstLineChars="200"/>
              <w:rPr>
                <w:rFonts w:ascii="Times New Roman" w:hAnsi="Times New Roman"/>
                <w:color w:val="auto"/>
              </w:rPr>
            </w:pPr>
            <w:r>
              <w:rPr>
                <w:rFonts w:hint="eastAsia" w:ascii="宋体" w:hAnsi="宋体" w:cs="宋体"/>
                <w:color w:val="auto"/>
              </w:rPr>
              <w:t>①</w:t>
            </w:r>
            <w:r>
              <w:rPr>
                <w:rFonts w:ascii="Times New Roman" w:hAnsi="Times New Roman"/>
                <w:color w:val="auto"/>
              </w:rPr>
              <w:t>锅炉烟气</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燃煤锅炉烟气经添加石灰的水磨除尘器+布袋除尘器处理后，从45m高排气筒排放。</w:t>
            </w:r>
            <w:r>
              <w:rPr>
                <w:rFonts w:ascii="Times New Roman" w:hAnsi="Times New Roman"/>
                <w:color w:val="auto"/>
              </w:rPr>
              <w:t>本项目锅炉排口污染物按照其CEMS在线监测系统试运行报告</w:t>
            </w:r>
            <w:r>
              <w:rPr>
                <w:rFonts w:hint="eastAsia" w:ascii="Times New Roman" w:hAnsi="Times New Roman"/>
                <w:color w:val="auto"/>
              </w:rPr>
              <w:t xml:space="preserve">中的数据 </w:t>
            </w:r>
            <w:r>
              <w:rPr>
                <w:rFonts w:ascii="Times New Roman" w:hAnsi="Times New Roman"/>
                <w:color w:val="auto"/>
              </w:rPr>
              <w:t>核算现有工程的污染物排放量</w:t>
            </w:r>
            <w:r>
              <w:rPr>
                <w:rFonts w:hint="eastAsia" w:ascii="Times New Roman" w:hAnsi="Times New Roman"/>
                <w:color w:val="auto"/>
              </w:rPr>
              <w:t>，</w:t>
            </w:r>
            <w:r>
              <w:rPr>
                <w:rFonts w:ascii="Times New Roman" w:hAnsi="Times New Roman"/>
                <w:color w:val="auto"/>
              </w:rPr>
              <w:t>结果见下表。</w:t>
            </w:r>
          </w:p>
          <w:p>
            <w:pPr>
              <w:pStyle w:val="12"/>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表1-12 现有锅炉</w:t>
            </w:r>
            <w:r>
              <w:rPr>
                <w:rFonts w:hint="eastAsia" w:ascii="Times New Roman" w:hAnsi="Times New Roman"/>
                <w:b/>
                <w:bCs/>
                <w:color w:val="auto"/>
                <w:sz w:val="21"/>
                <w:szCs w:val="21"/>
              </w:rPr>
              <w:t>房</w:t>
            </w:r>
            <w:r>
              <w:rPr>
                <w:rFonts w:ascii="Times New Roman" w:hAnsi="Times New Roman"/>
                <w:b/>
                <w:bCs/>
                <w:color w:val="auto"/>
                <w:sz w:val="21"/>
                <w:szCs w:val="21"/>
              </w:rPr>
              <w:t>废气排放污染物核算表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1613"/>
              <w:gridCol w:w="1835"/>
              <w:gridCol w:w="2071"/>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pPr>
                    <w:pStyle w:val="2"/>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项目</w:t>
                  </w:r>
                </w:p>
              </w:tc>
              <w:tc>
                <w:tcPr>
                  <w:tcW w:w="964" w:type="pct"/>
                  <w:vAlign w:val="center"/>
                </w:tcPr>
                <w:p>
                  <w:pPr>
                    <w:pStyle w:val="2"/>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排放标准</w:t>
                  </w:r>
                </w:p>
              </w:tc>
              <w:tc>
                <w:tcPr>
                  <w:tcW w:w="1097" w:type="pct"/>
                  <w:vAlign w:val="center"/>
                </w:tcPr>
                <w:p>
                  <w:pPr>
                    <w:pStyle w:val="2"/>
                    <w:adjustRightInd w:val="0"/>
                    <w:snapToGrid w:val="0"/>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排放</w:t>
                  </w:r>
                  <w:r>
                    <w:rPr>
                      <w:rFonts w:ascii="Times New Roman" w:hAnsi="Times New Roman" w:cs="Times New Roman"/>
                      <w:b/>
                      <w:bCs/>
                      <w:color w:val="auto"/>
                      <w:sz w:val="21"/>
                      <w:szCs w:val="21"/>
                    </w:rPr>
                    <w:t>浓度（mg/m³）</w:t>
                  </w:r>
                </w:p>
              </w:tc>
              <w:tc>
                <w:tcPr>
                  <w:tcW w:w="1238" w:type="pct"/>
                  <w:vAlign w:val="center"/>
                </w:tcPr>
                <w:p>
                  <w:pPr>
                    <w:pStyle w:val="2"/>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废气量（m³/h）</w:t>
                  </w:r>
                </w:p>
              </w:tc>
              <w:tc>
                <w:tcPr>
                  <w:tcW w:w="737" w:type="pct"/>
                  <w:vAlign w:val="center"/>
                </w:tcPr>
                <w:p>
                  <w:pPr>
                    <w:pStyle w:val="2"/>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排放总量（t/a）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二氧化硫</w:t>
                  </w:r>
                </w:p>
              </w:tc>
              <w:tc>
                <w:tcPr>
                  <w:tcW w:w="964" w:type="pct"/>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300</w:t>
                  </w:r>
                </w:p>
              </w:tc>
              <w:tc>
                <w:tcPr>
                  <w:tcW w:w="1097" w:type="pct"/>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62</w:t>
                  </w:r>
                </w:p>
              </w:tc>
              <w:tc>
                <w:tcPr>
                  <w:tcW w:w="1238" w:type="pct"/>
                  <w:vMerge w:val="restart"/>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31140</w:t>
                  </w:r>
                </w:p>
              </w:tc>
              <w:tc>
                <w:tcPr>
                  <w:tcW w:w="737" w:type="pct"/>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4" w:type="pct"/>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氮氧化物</w:t>
                  </w:r>
                </w:p>
              </w:tc>
              <w:tc>
                <w:tcPr>
                  <w:tcW w:w="964" w:type="pct"/>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300</w:t>
                  </w:r>
                </w:p>
              </w:tc>
              <w:tc>
                <w:tcPr>
                  <w:tcW w:w="1097" w:type="pct"/>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84</w:t>
                  </w:r>
                </w:p>
              </w:tc>
              <w:tc>
                <w:tcPr>
                  <w:tcW w:w="1238" w:type="pct"/>
                  <w:vMerge w:val="continue"/>
                  <w:vAlign w:val="center"/>
                </w:tcPr>
                <w:p>
                  <w:pPr>
                    <w:pStyle w:val="2"/>
                    <w:adjustRightInd w:val="0"/>
                    <w:snapToGrid w:val="0"/>
                    <w:jc w:val="center"/>
                    <w:rPr>
                      <w:rFonts w:ascii="Times New Roman" w:hAnsi="Times New Roman" w:cs="Times New Roman"/>
                      <w:color w:val="auto"/>
                      <w:sz w:val="21"/>
                      <w:szCs w:val="21"/>
                    </w:rPr>
                  </w:pPr>
                </w:p>
              </w:tc>
              <w:tc>
                <w:tcPr>
                  <w:tcW w:w="737" w:type="pct"/>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烟尘</w:t>
                  </w:r>
                </w:p>
              </w:tc>
              <w:tc>
                <w:tcPr>
                  <w:tcW w:w="964" w:type="pct"/>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50</w:t>
                  </w:r>
                </w:p>
              </w:tc>
              <w:tc>
                <w:tcPr>
                  <w:tcW w:w="1097" w:type="pct"/>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29.6</w:t>
                  </w:r>
                </w:p>
              </w:tc>
              <w:tc>
                <w:tcPr>
                  <w:tcW w:w="1238" w:type="pct"/>
                  <w:vMerge w:val="continue"/>
                  <w:vAlign w:val="center"/>
                </w:tcPr>
                <w:p>
                  <w:pPr>
                    <w:pStyle w:val="2"/>
                    <w:adjustRightInd w:val="0"/>
                    <w:snapToGrid w:val="0"/>
                    <w:jc w:val="center"/>
                    <w:rPr>
                      <w:rFonts w:ascii="Times New Roman" w:hAnsi="Times New Roman" w:cs="Times New Roman"/>
                      <w:color w:val="auto"/>
                      <w:sz w:val="21"/>
                      <w:szCs w:val="21"/>
                    </w:rPr>
                  </w:pPr>
                </w:p>
              </w:tc>
              <w:tc>
                <w:tcPr>
                  <w:tcW w:w="737" w:type="pct"/>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6.6</w:t>
                  </w:r>
                </w:p>
              </w:tc>
            </w:tr>
          </w:tbl>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根据</w:t>
            </w:r>
            <w:r>
              <w:rPr>
                <w:rFonts w:hint="eastAsia" w:ascii="Times New Roman" w:hAnsi="Times New Roman"/>
                <w:color w:val="auto"/>
              </w:rPr>
              <w:t>现有</w:t>
            </w:r>
            <w:r>
              <w:rPr>
                <w:rFonts w:ascii="Times New Roman" w:hAnsi="Times New Roman"/>
                <w:color w:val="auto"/>
              </w:rPr>
              <w:t>项目</w:t>
            </w:r>
            <w:r>
              <w:rPr>
                <w:rFonts w:hint="eastAsia" w:ascii="Times New Roman" w:hAnsi="Times New Roman"/>
                <w:color w:val="auto"/>
              </w:rPr>
              <w:t>排污许可证</w:t>
            </w:r>
            <w:r>
              <w:rPr>
                <w:rFonts w:ascii="Times New Roman" w:hAnsi="Times New Roman"/>
                <w:color w:val="auto"/>
              </w:rPr>
              <w:t>，有组织废气</w:t>
            </w:r>
            <w:r>
              <w:rPr>
                <w:rFonts w:hint="eastAsia" w:ascii="Times New Roman" w:hAnsi="Times New Roman"/>
                <w:color w:val="auto"/>
              </w:rPr>
              <w:t>排放能够</w:t>
            </w:r>
            <w:r>
              <w:rPr>
                <w:rFonts w:ascii="Times New Roman" w:hAnsi="Times New Roman"/>
                <w:color w:val="auto"/>
              </w:rPr>
              <w:t>达到《锅炉大气污染物排放标准》（GB13271-2014）中燃煤锅炉的要求。</w:t>
            </w:r>
          </w:p>
          <w:p>
            <w:pPr>
              <w:adjustRightInd w:val="0"/>
              <w:snapToGrid w:val="0"/>
              <w:spacing w:line="360" w:lineRule="auto"/>
              <w:ind w:firstLine="480" w:firstLineChars="200"/>
              <w:rPr>
                <w:rFonts w:ascii="Times New Roman" w:hAnsi="Times New Roman"/>
                <w:color w:val="auto"/>
                <w:lang w:val="zh-CN"/>
              </w:rPr>
            </w:pPr>
            <w:r>
              <w:rPr>
                <w:rFonts w:hint="eastAsia" w:ascii="宋体" w:hAnsi="宋体" w:cs="宋体"/>
                <w:color w:val="auto"/>
              </w:rPr>
              <w:t>②</w:t>
            </w:r>
            <w:r>
              <w:rPr>
                <w:rFonts w:ascii="Times New Roman" w:hAnsi="Times New Roman"/>
                <w:color w:val="auto"/>
                <w:lang w:val="zh-CN"/>
              </w:rPr>
              <w:t>煤渣粉尘</w:t>
            </w:r>
          </w:p>
          <w:p>
            <w:pPr>
              <w:adjustRightInd w:val="0"/>
              <w:snapToGrid w:val="0"/>
              <w:spacing w:line="360" w:lineRule="auto"/>
              <w:ind w:firstLine="480" w:firstLineChars="200"/>
              <w:rPr>
                <w:rFonts w:ascii="Times New Roman" w:hAnsi="Times New Roman"/>
                <w:bCs/>
                <w:color w:val="auto"/>
              </w:rPr>
            </w:pPr>
            <w:r>
              <w:rPr>
                <w:rFonts w:ascii="Times New Roman" w:hAnsi="Times New Roman"/>
                <w:bCs/>
                <w:color w:val="auto"/>
              </w:rPr>
              <w:t>项目</w:t>
            </w:r>
            <w:r>
              <w:rPr>
                <w:rFonts w:hint="eastAsia" w:ascii="Times New Roman" w:hAnsi="Times New Roman"/>
                <w:bCs/>
                <w:color w:val="auto"/>
              </w:rPr>
              <w:t>使用的燃煤及燃烧产生的炉渣、粉煤灰堆放在煤棚和渣棚</w:t>
            </w:r>
            <w:r>
              <w:rPr>
                <w:rFonts w:ascii="Times New Roman" w:hAnsi="Times New Roman"/>
                <w:bCs/>
                <w:color w:val="auto"/>
              </w:rPr>
              <w:t>内，会产生少量</w:t>
            </w:r>
            <w:r>
              <w:rPr>
                <w:rFonts w:hint="eastAsia" w:ascii="Times New Roman" w:hAnsi="Times New Roman"/>
                <w:bCs/>
                <w:color w:val="auto"/>
              </w:rPr>
              <w:t>粉尘</w:t>
            </w:r>
            <w:r>
              <w:rPr>
                <w:rFonts w:ascii="Times New Roman" w:hAnsi="Times New Roman"/>
                <w:color w:val="auto"/>
              </w:rPr>
              <w:t>。</w:t>
            </w:r>
            <w:r>
              <w:rPr>
                <w:rFonts w:hint="eastAsia" w:ascii="Times New Roman" w:hAnsi="Times New Roman"/>
                <w:color w:val="auto"/>
              </w:rPr>
              <w:t>建设单位</w:t>
            </w:r>
            <w:r>
              <w:rPr>
                <w:rFonts w:ascii="Times New Roman" w:hAnsi="Times New Roman"/>
                <w:bCs/>
                <w:color w:val="auto"/>
              </w:rPr>
              <w:t>采用洒水降尘抑制粉尘产生</w:t>
            </w:r>
            <w:r>
              <w:rPr>
                <w:rFonts w:hint="eastAsia" w:ascii="Times New Roman" w:hAnsi="Times New Roman"/>
                <w:bCs/>
                <w:color w:val="auto"/>
              </w:rPr>
              <w:t>。由于现有项目没有对无组织粉尘进行过监测，本次环评采用物料衡算法对粉尘的产排进行核算。</w:t>
            </w:r>
          </w:p>
          <w:p>
            <w:pPr>
              <w:adjustRightInd w:val="0"/>
              <w:snapToGrid w:val="0"/>
              <w:spacing w:line="360" w:lineRule="auto"/>
              <w:ind w:firstLine="480" w:firstLineChars="200"/>
              <w:rPr>
                <w:rFonts w:ascii="Times New Roman" w:hAnsi="Times New Roman"/>
                <w:bCs/>
                <w:color w:val="auto"/>
              </w:rPr>
            </w:pPr>
            <w:r>
              <w:rPr>
                <w:rFonts w:hint="eastAsia" w:ascii="Times New Roman" w:hAnsi="Times New Roman"/>
                <w:bCs/>
                <w:color w:val="auto"/>
              </w:rPr>
              <w:t>项目物料于室内堆存，受风力扰动的影响较小，主要导致扬尘产生的原因为装卸物料时的人为扰动。该部分粉尘产生量参照《扬尘源颗粒物排放清单编制技术指南（试行）》中的堆场扬尘源排放量计算方法进行估算，计算公式如下：</w:t>
            </w:r>
          </w:p>
          <w:p>
            <w:pPr>
              <w:adjustRightInd w:val="0"/>
              <w:snapToGrid w:val="0"/>
              <w:spacing w:line="360" w:lineRule="auto"/>
              <w:jc w:val="center"/>
              <w:rPr>
                <w:rFonts w:ascii="Times New Roman" w:hAnsi="Times New Roman"/>
                <w:color w:val="auto"/>
              </w:rPr>
            </w:pPr>
            <w:r>
              <w:rPr>
                <w:rFonts w:ascii="Times New Roman" w:hAnsi="Times New Roman"/>
                <w:color w:val="auto"/>
              </w:rPr>
              <w:object>
                <v:shape id="_x0000_i1026" o:spt="75" type="#_x0000_t75" style="height:33.75pt;width:186pt;" o:ole="t"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式中：</w:t>
            </w:r>
            <w:r>
              <w:rPr>
                <w:rFonts w:ascii="Times New Roman" w:hAnsi="Times New Roman"/>
                <w:color w:val="auto"/>
              </w:rPr>
              <w:t>W</w:t>
            </w:r>
            <w:r>
              <w:rPr>
                <w:rFonts w:ascii="Times New Roman" w:hAnsi="Times New Roman"/>
                <w:color w:val="auto"/>
                <w:vertAlign w:val="subscript"/>
              </w:rPr>
              <w:t>Y</w:t>
            </w:r>
            <w:r>
              <w:rPr>
                <w:rFonts w:hint="eastAsia" w:ascii="Times New Roman" w:hAnsi="Times New Roman"/>
                <w:color w:val="auto"/>
              </w:rPr>
              <w:t>为堆场扬尘源中颗粒物的排放总量，t/a。</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E</w:t>
            </w:r>
            <w:r>
              <w:rPr>
                <w:rFonts w:hint="eastAsia" w:ascii="Times New Roman" w:hAnsi="Times New Roman"/>
                <w:color w:val="auto"/>
                <w:vertAlign w:val="subscript"/>
              </w:rPr>
              <w:t>h</w:t>
            </w:r>
            <w:r>
              <w:rPr>
                <w:rFonts w:hint="eastAsia" w:ascii="Times New Roman" w:hAnsi="Times New Roman"/>
                <w:color w:val="auto"/>
              </w:rPr>
              <w:t>为堆场装卸运输过程的扬尘颗粒物排放系数，kg/t；</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m为每年料堆物料装卸总次数，次；</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G</w:t>
            </w:r>
            <w:r>
              <w:rPr>
                <w:rFonts w:hint="eastAsia" w:ascii="Times New Roman" w:hAnsi="Times New Roman"/>
                <w:color w:val="auto"/>
                <w:vertAlign w:val="subscript"/>
              </w:rPr>
              <w:t>Yi</w:t>
            </w:r>
            <w:r>
              <w:rPr>
                <w:rFonts w:hint="eastAsia" w:ascii="Times New Roman" w:hAnsi="Times New Roman"/>
                <w:color w:val="auto"/>
              </w:rPr>
              <w:t>为第i次装卸过程的物料装卸量，t；</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E</w:t>
            </w:r>
            <w:r>
              <w:rPr>
                <w:rFonts w:hint="eastAsia" w:ascii="Times New Roman" w:hAnsi="Times New Roman"/>
                <w:color w:val="auto"/>
                <w:vertAlign w:val="subscript"/>
              </w:rPr>
              <w:t>w</w:t>
            </w:r>
            <w:r>
              <w:rPr>
                <w:rFonts w:hint="eastAsia" w:ascii="Times New Roman" w:hAnsi="Times New Roman"/>
                <w:color w:val="auto"/>
              </w:rPr>
              <w:t>为料堆受到风蚀作用的颗粒物排放系数，kg/m</w:t>
            </w:r>
            <w:r>
              <w:rPr>
                <w:rFonts w:hint="eastAsia" w:ascii="Times New Roman" w:hAnsi="Times New Roman"/>
                <w:color w:val="auto"/>
                <w:vertAlign w:val="superscript"/>
              </w:rPr>
              <w:t>2</w:t>
            </w:r>
            <w:r>
              <w:rPr>
                <w:rFonts w:hint="eastAsia" w:ascii="Times New Roman" w:hAnsi="Times New Roman"/>
                <w:color w:val="auto"/>
              </w:rPr>
              <w:t>；</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A</w:t>
            </w:r>
            <w:r>
              <w:rPr>
                <w:rFonts w:hint="eastAsia" w:ascii="Times New Roman" w:hAnsi="Times New Roman"/>
                <w:color w:val="auto"/>
                <w:vertAlign w:val="subscript"/>
              </w:rPr>
              <w:t>Y</w:t>
            </w:r>
            <w:r>
              <w:rPr>
                <w:rFonts w:hint="eastAsia" w:ascii="Times New Roman" w:hAnsi="Times New Roman"/>
                <w:color w:val="auto"/>
              </w:rPr>
              <w:t>为料堆表面积，m</w:t>
            </w:r>
            <w:r>
              <w:rPr>
                <w:rFonts w:hint="eastAsia" w:ascii="Times New Roman" w:hAnsi="Times New Roman"/>
                <w:color w:val="auto"/>
                <w:vertAlign w:val="superscript"/>
              </w:rPr>
              <w:t>2</w:t>
            </w:r>
            <w:r>
              <w:rPr>
                <w:rFonts w:hint="eastAsia" w:ascii="Times New Roman" w:hAnsi="Times New Roman"/>
                <w:color w:val="auto"/>
              </w:rPr>
              <w:t>；</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本次估算过程不考虑风蚀作用，仅考虑装卸扰动，其中，装卸、运输物料过程扬尘排放系数可按下式估算：</w:t>
            </w:r>
          </w:p>
          <w:p>
            <w:pPr>
              <w:adjustRightInd w:val="0"/>
              <w:snapToGrid w:val="0"/>
              <w:spacing w:line="360" w:lineRule="auto"/>
              <w:ind w:firstLine="21" w:firstLineChars="9"/>
              <w:jc w:val="center"/>
              <w:rPr>
                <w:rFonts w:ascii="Times New Roman" w:hAnsi="Times New Roman"/>
                <w:color w:val="auto"/>
              </w:rPr>
            </w:pPr>
            <w:r>
              <w:rPr>
                <w:rFonts w:ascii="Times New Roman" w:hAnsi="Times New Roman"/>
                <w:color w:val="auto"/>
              </w:rPr>
              <w:object>
                <v:shape id="_x0000_i1027" o:spt="75" type="#_x0000_t75" style="height:72pt;width:168pt;" o:ole="t" filled="f" o:preferrelative="t" stroked="f" coordsize="21600,21600">
                  <v:path/>
                  <v:fill on="f" focussize="0,0"/>
                  <v:stroke on="f" joinstyle="miter"/>
                  <v:imagedata r:id="rId17" o:title=""/>
                  <o:lock v:ext="edit" aspectratio="t"/>
                  <w10:wrap type="none"/>
                  <w10:anchorlock/>
                </v:shape>
                <o:OLEObject Type="Embed" ProgID="Equation.3" ShapeID="_x0000_i1027" DrawAspect="Content" ObjectID="_1468075727" r:id="rId16">
                  <o:LockedField>false</o:LockedField>
                </o:OLEObject>
              </w:objec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式中：E</w:t>
            </w:r>
            <w:r>
              <w:rPr>
                <w:rFonts w:hint="eastAsia" w:ascii="Times New Roman" w:hAnsi="Times New Roman"/>
                <w:color w:val="auto"/>
                <w:vertAlign w:val="subscript"/>
              </w:rPr>
              <w:t>h</w:t>
            </w:r>
            <w:r>
              <w:rPr>
                <w:rFonts w:hint="eastAsia" w:ascii="Times New Roman" w:hAnsi="Times New Roman"/>
                <w:color w:val="auto"/>
              </w:rPr>
              <w:t>为堆场装卸运输过程的扬尘颗粒物排放系数，kg/t；</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k</w:t>
            </w:r>
            <w:r>
              <w:rPr>
                <w:rFonts w:hint="eastAsia" w:ascii="Times New Roman" w:hAnsi="Times New Roman"/>
                <w:color w:val="auto"/>
                <w:vertAlign w:val="subscript"/>
              </w:rPr>
              <w:t>i</w:t>
            </w:r>
            <w:r>
              <w:rPr>
                <w:rFonts w:hint="eastAsia" w:ascii="Times New Roman" w:hAnsi="Times New Roman"/>
                <w:color w:val="auto"/>
              </w:rPr>
              <w:t>为物料的粒度乘数，TSP取0.74；</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u为地面平均风速，m/s，取1.9；</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M为物料含水率，%，取</w:t>
            </w:r>
            <w:r>
              <w:rPr>
                <w:rFonts w:ascii="Times New Roman" w:hAnsi="Times New Roman"/>
                <w:color w:val="auto"/>
              </w:rPr>
              <w:t>5</w:t>
            </w:r>
            <w:r>
              <w:rPr>
                <w:rFonts w:hint="eastAsia" w:ascii="Times New Roman" w:hAnsi="Times New Roman"/>
                <w:color w:val="auto"/>
              </w:rPr>
              <w:t>%；</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η为污染控制技术对扬尘的去除效率，%，取60%。</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根据建设单位提供的运营经验数据，炉渣全年清运</w:t>
            </w:r>
            <w:r>
              <w:rPr>
                <w:rFonts w:ascii="Times New Roman" w:hAnsi="Times New Roman"/>
                <w:color w:val="auto"/>
              </w:rPr>
              <w:t>11</w:t>
            </w:r>
            <w:r>
              <w:rPr>
                <w:rFonts w:hint="eastAsia" w:ascii="Times New Roman" w:hAnsi="Times New Roman"/>
                <w:color w:val="auto"/>
              </w:rPr>
              <w:t>次，每次约12t；燃煤全年购置约</w:t>
            </w:r>
            <w:r>
              <w:rPr>
                <w:rFonts w:ascii="Times New Roman" w:hAnsi="Times New Roman"/>
                <w:color w:val="auto"/>
              </w:rPr>
              <w:t>13</w:t>
            </w:r>
            <w:r>
              <w:rPr>
                <w:rFonts w:hint="eastAsia" w:ascii="Times New Roman" w:hAnsi="Times New Roman"/>
                <w:color w:val="auto"/>
              </w:rPr>
              <w:t>次，每次购入量约</w:t>
            </w:r>
            <w:r>
              <w:rPr>
                <w:rFonts w:ascii="Times New Roman" w:hAnsi="Times New Roman"/>
                <w:color w:val="auto"/>
              </w:rPr>
              <w:t>40</w:t>
            </w:r>
            <w:r>
              <w:rPr>
                <w:rFonts w:hint="eastAsia" w:ascii="Times New Roman" w:hAnsi="Times New Roman"/>
                <w:color w:val="auto"/>
              </w:rPr>
              <w:t>0t。经计算，项目无组织粉尘产生量约</w:t>
            </w:r>
            <w:r>
              <w:rPr>
                <w:rFonts w:ascii="Times New Roman" w:hAnsi="Times New Roman"/>
                <w:color w:val="auto"/>
              </w:rPr>
              <w:t>0.91</w:t>
            </w:r>
            <w:r>
              <w:rPr>
                <w:rFonts w:hint="eastAsia" w:ascii="Times New Roman" w:hAnsi="Times New Roman"/>
                <w:color w:val="auto"/>
              </w:rPr>
              <w:t>t/a，采取洒水降尘措施后的排放量约</w:t>
            </w:r>
            <w:r>
              <w:rPr>
                <w:rFonts w:ascii="Times New Roman" w:hAnsi="Times New Roman"/>
                <w:color w:val="auto"/>
              </w:rPr>
              <w:t>0.37</w:t>
            </w:r>
            <w:r>
              <w:rPr>
                <w:rFonts w:hint="eastAsia" w:ascii="Times New Roman" w:hAnsi="Times New Roman"/>
                <w:color w:val="auto"/>
              </w:rPr>
              <w:t>t/a。</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（2）噪声</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现有锅炉房噪声主要来自鼓风机等设备运行产生的噪声。根据</w:t>
            </w:r>
            <w:r>
              <w:rPr>
                <w:rFonts w:hint="eastAsia" w:ascii="Times New Roman" w:hAnsi="Times New Roman"/>
                <w:color w:val="auto"/>
                <w:lang w:eastAsia="zh-CN"/>
              </w:rPr>
              <w:t>本次现状监测</w:t>
            </w:r>
            <w:r>
              <w:rPr>
                <w:rFonts w:ascii="Times New Roman" w:hAnsi="Times New Roman"/>
                <w:color w:val="auto"/>
              </w:rPr>
              <w:t>，项目</w:t>
            </w:r>
            <w:r>
              <w:rPr>
                <w:rFonts w:hint="eastAsia" w:ascii="Times New Roman" w:hAnsi="Times New Roman"/>
                <w:color w:val="auto"/>
                <w:lang w:eastAsia="zh-CN"/>
              </w:rPr>
              <w:t>厂区</w:t>
            </w:r>
            <w:r>
              <w:rPr>
                <w:rFonts w:hint="eastAsia" w:ascii="Times New Roman" w:hAnsi="Times New Roman"/>
                <w:color w:val="auto"/>
              </w:rPr>
              <w:t>北、东、南</w:t>
            </w:r>
            <w:r>
              <w:rPr>
                <w:rFonts w:ascii="Times New Roman" w:hAnsi="Times New Roman"/>
                <w:color w:val="auto"/>
              </w:rPr>
              <w:t>厂界噪声能满足GB12348-2008《工业企业厂界环境噪声排放标准》2类标准</w:t>
            </w:r>
            <w:r>
              <w:rPr>
                <w:rFonts w:hint="eastAsia" w:ascii="Times New Roman" w:hAnsi="Times New Roman"/>
                <w:color w:val="auto"/>
              </w:rPr>
              <w:t>要求，西</w:t>
            </w:r>
            <w:r>
              <w:rPr>
                <w:rFonts w:ascii="Times New Roman" w:hAnsi="Times New Roman"/>
                <w:color w:val="auto"/>
              </w:rPr>
              <w:t>厂界噪声能满足GB12348-2008《工业企业厂界环境噪声排放标准》4a类标准的要求。</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（3）固废</w:t>
            </w:r>
          </w:p>
          <w:p>
            <w:pPr>
              <w:adjustRightInd w:val="0"/>
              <w:snapToGrid w:val="0"/>
              <w:spacing w:line="360" w:lineRule="auto"/>
              <w:ind w:firstLine="480" w:firstLineChars="200"/>
              <w:rPr>
                <w:rFonts w:ascii="Times New Roman" w:hAnsi="Times New Roman"/>
                <w:color w:val="auto"/>
              </w:rPr>
            </w:pPr>
            <w:r>
              <w:rPr>
                <w:rFonts w:hint="eastAsia" w:ascii="宋体" w:hAnsi="宋体" w:cs="宋体"/>
                <w:color w:val="auto"/>
              </w:rPr>
              <w:t>①</w:t>
            </w:r>
            <w:r>
              <w:rPr>
                <w:rFonts w:ascii="Times New Roman" w:hAnsi="Times New Roman"/>
                <w:color w:val="auto"/>
              </w:rPr>
              <w:t>煤渣</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现有锅炉房锅炉燃烧产生的煤渣经过收集后由砖厂拉走制砖。</w:t>
            </w:r>
            <w:r>
              <w:rPr>
                <w:rFonts w:hint="eastAsia" w:ascii="Times New Roman" w:hAnsi="Times New Roman"/>
                <w:color w:val="auto"/>
              </w:rPr>
              <w:t>根据建设单位提供的资料，</w:t>
            </w:r>
            <w:r>
              <w:rPr>
                <w:rFonts w:ascii="Times New Roman" w:hAnsi="Times New Roman"/>
                <w:color w:val="auto"/>
              </w:rPr>
              <w:t>产生量约为130t/a。</w:t>
            </w:r>
          </w:p>
          <w:p>
            <w:pPr>
              <w:adjustRightInd w:val="0"/>
              <w:snapToGrid w:val="0"/>
              <w:spacing w:line="360" w:lineRule="auto"/>
              <w:ind w:firstLine="480" w:firstLineChars="200"/>
              <w:rPr>
                <w:rFonts w:ascii="Times New Roman" w:hAnsi="Times New Roman"/>
                <w:color w:val="auto"/>
              </w:rPr>
            </w:pPr>
            <w:r>
              <w:rPr>
                <w:rFonts w:hint="eastAsia" w:ascii="宋体" w:hAnsi="宋体" w:cs="宋体"/>
                <w:color w:val="auto"/>
              </w:rPr>
              <w:t>②</w:t>
            </w:r>
            <w:r>
              <w:rPr>
                <w:rFonts w:ascii="Times New Roman" w:hAnsi="Times New Roman"/>
                <w:color w:val="auto"/>
              </w:rPr>
              <w:t>废离子交换树脂</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软水处理装置会产生废离子交换树脂由厂家回收。</w:t>
            </w:r>
            <w:r>
              <w:rPr>
                <w:rFonts w:hint="eastAsia" w:ascii="Times New Roman" w:hAnsi="Times New Roman"/>
                <w:color w:val="auto"/>
              </w:rPr>
              <w:t>根据建设单位提供的资料，</w:t>
            </w:r>
            <w:r>
              <w:rPr>
                <w:rFonts w:ascii="Times New Roman" w:hAnsi="Times New Roman"/>
                <w:color w:val="auto"/>
              </w:rPr>
              <w:t>产生量约为0.01t/a。</w:t>
            </w:r>
          </w:p>
          <w:p>
            <w:pPr>
              <w:pStyle w:val="12"/>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表1-13   现有锅炉房</w:t>
            </w:r>
            <w:r>
              <w:rPr>
                <w:rFonts w:ascii="Times New Roman" w:hAnsi="Times New Roman"/>
                <w:b/>
                <w:bCs/>
                <w:color w:val="auto"/>
                <w:sz w:val="21"/>
                <w:szCs w:val="21"/>
              </w:rPr>
              <w:t>污染物产排汇总表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2129"/>
              <w:gridCol w:w="3165"/>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1119" w:type="dxa"/>
                  <w:vAlign w:val="center"/>
                </w:tcPr>
                <w:p>
                  <w:pPr>
                    <w:adjustRightInd w:val="0"/>
                    <w:snapToGrid w:val="0"/>
                    <w:jc w:val="center"/>
                    <w:rPr>
                      <w:rFonts w:ascii="Times New Roman" w:hAnsi="Times New Roman"/>
                      <w:b/>
                      <w:color w:val="auto"/>
                      <w:sz w:val="21"/>
                      <w:szCs w:val="21"/>
                    </w:rPr>
                  </w:pPr>
                  <w:r>
                    <w:rPr>
                      <w:rFonts w:ascii="Times New Roman" w:hAnsi="Times New Roman"/>
                      <w:b/>
                      <w:color w:val="auto"/>
                      <w:sz w:val="21"/>
                      <w:szCs w:val="21"/>
                    </w:rPr>
                    <w:t>分类</w:t>
                  </w:r>
                </w:p>
              </w:tc>
              <w:tc>
                <w:tcPr>
                  <w:tcW w:w="2129" w:type="dxa"/>
                  <w:vAlign w:val="center"/>
                </w:tcPr>
                <w:p>
                  <w:pPr>
                    <w:adjustRightInd w:val="0"/>
                    <w:snapToGrid w:val="0"/>
                    <w:jc w:val="center"/>
                    <w:rPr>
                      <w:rFonts w:ascii="Times New Roman" w:hAnsi="Times New Roman"/>
                      <w:b/>
                      <w:color w:val="auto"/>
                      <w:sz w:val="21"/>
                      <w:szCs w:val="21"/>
                    </w:rPr>
                  </w:pPr>
                  <w:r>
                    <w:rPr>
                      <w:rFonts w:ascii="Times New Roman" w:hAnsi="Times New Roman"/>
                      <w:b/>
                      <w:color w:val="auto"/>
                      <w:sz w:val="21"/>
                      <w:szCs w:val="21"/>
                    </w:rPr>
                    <w:t>污染源</w:t>
                  </w:r>
                </w:p>
              </w:tc>
              <w:tc>
                <w:tcPr>
                  <w:tcW w:w="3165" w:type="dxa"/>
                  <w:vAlign w:val="center"/>
                </w:tcPr>
                <w:p>
                  <w:pPr>
                    <w:adjustRightInd w:val="0"/>
                    <w:snapToGrid w:val="0"/>
                    <w:jc w:val="center"/>
                    <w:rPr>
                      <w:rFonts w:ascii="Times New Roman" w:hAnsi="Times New Roman"/>
                      <w:b/>
                      <w:color w:val="auto"/>
                      <w:sz w:val="21"/>
                      <w:szCs w:val="21"/>
                    </w:rPr>
                  </w:pPr>
                  <w:r>
                    <w:rPr>
                      <w:rFonts w:ascii="Times New Roman" w:hAnsi="Times New Roman"/>
                      <w:b/>
                      <w:color w:val="auto"/>
                      <w:sz w:val="21"/>
                      <w:szCs w:val="21"/>
                    </w:rPr>
                    <w:t>污染物名称</w:t>
                  </w:r>
                </w:p>
              </w:tc>
              <w:tc>
                <w:tcPr>
                  <w:tcW w:w="1881" w:type="dxa"/>
                  <w:vAlign w:val="center"/>
                </w:tcPr>
                <w:p>
                  <w:pPr>
                    <w:adjustRightInd w:val="0"/>
                    <w:snapToGrid w:val="0"/>
                    <w:jc w:val="center"/>
                    <w:rPr>
                      <w:rFonts w:ascii="Times New Roman" w:hAnsi="Times New Roman"/>
                      <w:b/>
                      <w:color w:val="auto"/>
                      <w:sz w:val="21"/>
                      <w:szCs w:val="21"/>
                    </w:rPr>
                  </w:pPr>
                  <w:r>
                    <w:rPr>
                      <w:rFonts w:ascii="Times New Roman" w:hAnsi="Times New Roman"/>
                      <w:b/>
                      <w:color w:val="auto"/>
                      <w:sz w:val="21"/>
                      <w:szCs w:val="21"/>
                    </w:rPr>
                    <w:t>排放量</w:t>
                  </w:r>
                  <w:r>
                    <w:rPr>
                      <w:rFonts w:ascii="Times New Roman" w:hAnsi="Times New Roman"/>
                      <w:bCs/>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19" w:type="dxa"/>
                  <w:vMerge w:val="restar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大气污染物</w:t>
                  </w:r>
                </w:p>
              </w:tc>
              <w:tc>
                <w:tcPr>
                  <w:tcW w:w="2129" w:type="dxa"/>
                  <w:vMerge w:val="restar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锅炉烟气</w:t>
                  </w:r>
                </w:p>
              </w:tc>
              <w:tc>
                <w:tcPr>
                  <w:tcW w:w="3165" w:type="dxa"/>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二氧化硫</w:t>
                  </w:r>
                </w:p>
              </w:tc>
              <w:tc>
                <w:tcPr>
                  <w:tcW w:w="1881" w:type="dxa"/>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1119" w:type="dxa"/>
                  <w:vMerge w:val="continue"/>
                  <w:vAlign w:val="center"/>
                </w:tcPr>
                <w:p>
                  <w:pPr>
                    <w:adjustRightInd w:val="0"/>
                    <w:snapToGrid w:val="0"/>
                    <w:jc w:val="center"/>
                    <w:rPr>
                      <w:rFonts w:ascii="Times New Roman" w:hAnsi="Times New Roman"/>
                      <w:color w:val="auto"/>
                      <w:sz w:val="21"/>
                      <w:szCs w:val="21"/>
                    </w:rPr>
                  </w:pPr>
                </w:p>
              </w:tc>
              <w:tc>
                <w:tcPr>
                  <w:tcW w:w="2129" w:type="dxa"/>
                  <w:vMerge w:val="continue"/>
                  <w:vAlign w:val="center"/>
                </w:tcPr>
                <w:p>
                  <w:pPr>
                    <w:adjustRightInd w:val="0"/>
                    <w:snapToGrid w:val="0"/>
                    <w:jc w:val="center"/>
                    <w:rPr>
                      <w:rFonts w:ascii="Times New Roman" w:hAnsi="Times New Roman"/>
                      <w:color w:val="auto"/>
                      <w:sz w:val="21"/>
                      <w:szCs w:val="21"/>
                    </w:rPr>
                  </w:pPr>
                </w:p>
              </w:tc>
              <w:tc>
                <w:tcPr>
                  <w:tcW w:w="3165" w:type="dxa"/>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氮氧化物</w:t>
                  </w:r>
                </w:p>
              </w:tc>
              <w:tc>
                <w:tcPr>
                  <w:tcW w:w="1881" w:type="dxa"/>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1119" w:type="dxa"/>
                  <w:vMerge w:val="continue"/>
                  <w:vAlign w:val="center"/>
                </w:tcPr>
                <w:p>
                  <w:pPr>
                    <w:adjustRightInd w:val="0"/>
                    <w:snapToGrid w:val="0"/>
                    <w:jc w:val="center"/>
                    <w:rPr>
                      <w:rFonts w:ascii="Times New Roman" w:hAnsi="Times New Roman"/>
                      <w:color w:val="auto"/>
                      <w:sz w:val="21"/>
                      <w:szCs w:val="21"/>
                    </w:rPr>
                  </w:pPr>
                </w:p>
              </w:tc>
              <w:tc>
                <w:tcPr>
                  <w:tcW w:w="2129" w:type="dxa"/>
                  <w:vMerge w:val="continue"/>
                  <w:vAlign w:val="center"/>
                </w:tcPr>
                <w:p>
                  <w:pPr>
                    <w:adjustRightInd w:val="0"/>
                    <w:snapToGrid w:val="0"/>
                    <w:jc w:val="center"/>
                    <w:rPr>
                      <w:rFonts w:ascii="Times New Roman" w:hAnsi="Times New Roman"/>
                      <w:color w:val="auto"/>
                      <w:sz w:val="21"/>
                      <w:szCs w:val="21"/>
                    </w:rPr>
                  </w:pPr>
                </w:p>
              </w:tc>
              <w:tc>
                <w:tcPr>
                  <w:tcW w:w="3165" w:type="dxa"/>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颗粒物</w:t>
                  </w:r>
                </w:p>
              </w:tc>
              <w:tc>
                <w:tcPr>
                  <w:tcW w:w="1881" w:type="dxa"/>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1119" w:type="dxa"/>
                  <w:vMerge w:val="continue"/>
                  <w:vAlign w:val="center"/>
                </w:tcPr>
                <w:p>
                  <w:pPr>
                    <w:adjustRightInd w:val="0"/>
                    <w:snapToGrid w:val="0"/>
                    <w:jc w:val="center"/>
                    <w:rPr>
                      <w:rFonts w:ascii="Times New Roman" w:hAnsi="Times New Roman"/>
                      <w:color w:val="auto"/>
                      <w:sz w:val="21"/>
                      <w:szCs w:val="21"/>
                    </w:rPr>
                  </w:pPr>
                </w:p>
              </w:tc>
              <w:tc>
                <w:tcPr>
                  <w:tcW w:w="2129" w:type="dxa"/>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煤渣粉尘</w:t>
                  </w:r>
                </w:p>
              </w:tc>
              <w:tc>
                <w:tcPr>
                  <w:tcW w:w="3165" w:type="dxa"/>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无组织颗粒物</w:t>
                  </w:r>
                </w:p>
              </w:tc>
              <w:tc>
                <w:tcPr>
                  <w:tcW w:w="1881" w:type="dxa"/>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0"/>
                      <w:sz w:val="21"/>
                      <w:szCs w:val="21"/>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2" w:hRule="atLeast"/>
                <w:jc w:val="center"/>
              </w:trPr>
              <w:tc>
                <w:tcPr>
                  <w:tcW w:w="1119" w:type="dxa"/>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噪声</w:t>
                  </w:r>
                </w:p>
              </w:tc>
              <w:tc>
                <w:tcPr>
                  <w:tcW w:w="2129" w:type="dxa"/>
                  <w:vAlign w:val="center"/>
                </w:tcPr>
                <w:p>
                  <w:pPr>
                    <w:tabs>
                      <w:tab w:val="left" w:pos="567"/>
                    </w:tabs>
                    <w:adjustRightInd w:val="0"/>
                    <w:snapToGrid w:val="0"/>
                    <w:jc w:val="center"/>
                    <w:rPr>
                      <w:rFonts w:ascii="Times New Roman" w:hAnsi="Times New Roman"/>
                      <w:color w:val="auto"/>
                      <w:sz w:val="21"/>
                      <w:szCs w:val="21"/>
                    </w:rPr>
                  </w:pPr>
                  <w:r>
                    <w:rPr>
                      <w:rFonts w:ascii="Times New Roman" w:hAnsi="Times New Roman"/>
                      <w:color w:val="auto"/>
                      <w:sz w:val="21"/>
                      <w:szCs w:val="21"/>
                    </w:rPr>
                    <w:t>生产车间噪声</w:t>
                  </w:r>
                </w:p>
              </w:tc>
              <w:tc>
                <w:tcPr>
                  <w:tcW w:w="3165" w:type="dxa"/>
                  <w:vAlign w:val="center"/>
                </w:tcPr>
                <w:p>
                  <w:pPr>
                    <w:tabs>
                      <w:tab w:val="left" w:pos="567"/>
                    </w:tabs>
                    <w:adjustRightInd w:val="0"/>
                    <w:snapToGrid w:val="0"/>
                    <w:jc w:val="center"/>
                    <w:rPr>
                      <w:rFonts w:ascii="Times New Roman" w:hAnsi="Times New Roman"/>
                      <w:color w:val="auto"/>
                      <w:sz w:val="21"/>
                      <w:szCs w:val="21"/>
                    </w:rPr>
                  </w:pPr>
                  <w:r>
                    <w:rPr>
                      <w:rFonts w:ascii="Times New Roman" w:hAnsi="Times New Roman"/>
                      <w:color w:val="auto"/>
                      <w:sz w:val="21"/>
                      <w:szCs w:val="21"/>
                    </w:rPr>
                    <w:t>鼓风机等噪声设备</w:t>
                  </w:r>
                </w:p>
              </w:tc>
              <w:tc>
                <w:tcPr>
                  <w:tcW w:w="1881" w:type="dxa"/>
                  <w:vAlign w:val="center"/>
                </w:tcPr>
                <w:p>
                  <w:pPr>
                    <w:tabs>
                      <w:tab w:val="left" w:pos="567"/>
                    </w:tabs>
                    <w:adjustRightInd w:val="0"/>
                    <w:snapToGrid w:val="0"/>
                    <w:jc w:val="center"/>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1119" w:type="dxa"/>
                  <w:vMerge w:val="restar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固废</w:t>
                  </w:r>
                </w:p>
              </w:tc>
              <w:tc>
                <w:tcPr>
                  <w:tcW w:w="2129" w:type="dxa"/>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煤渣</w:t>
                  </w:r>
                </w:p>
              </w:tc>
              <w:tc>
                <w:tcPr>
                  <w:tcW w:w="3165" w:type="dxa"/>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煤渣（一般工业固废）</w:t>
                  </w:r>
                </w:p>
              </w:tc>
              <w:tc>
                <w:tcPr>
                  <w:tcW w:w="1881" w:type="dxa"/>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130（产生量）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1119" w:type="dxa"/>
                  <w:vMerge w:val="continue"/>
                  <w:vAlign w:val="center"/>
                </w:tcPr>
                <w:p>
                  <w:pPr>
                    <w:adjustRightInd w:val="0"/>
                    <w:snapToGrid w:val="0"/>
                    <w:jc w:val="center"/>
                    <w:rPr>
                      <w:rFonts w:ascii="Times New Roman" w:hAnsi="Times New Roman"/>
                      <w:color w:val="auto"/>
                      <w:sz w:val="21"/>
                      <w:szCs w:val="21"/>
                    </w:rPr>
                  </w:pPr>
                </w:p>
              </w:tc>
              <w:tc>
                <w:tcPr>
                  <w:tcW w:w="2129" w:type="dxa"/>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离子交换树脂</w:t>
                  </w:r>
                </w:p>
              </w:tc>
              <w:tc>
                <w:tcPr>
                  <w:tcW w:w="3165" w:type="dxa"/>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废离子交换树脂（一般工业固废）</w:t>
                  </w:r>
                </w:p>
              </w:tc>
              <w:tc>
                <w:tcPr>
                  <w:tcW w:w="1881" w:type="dxa"/>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0.01（产生量）</w:t>
                  </w:r>
                </w:p>
              </w:tc>
            </w:tr>
          </w:tbl>
          <w:p>
            <w:pPr>
              <w:adjustRightInd w:val="0"/>
              <w:snapToGrid w:val="0"/>
              <w:spacing w:before="163" w:beforeLines="50" w:line="360" w:lineRule="auto"/>
              <w:ind w:firstLine="480" w:firstLineChars="200"/>
              <w:rPr>
                <w:rFonts w:ascii="Times New Roman" w:hAnsi="Times New Roman"/>
                <w:color w:val="auto"/>
              </w:rPr>
            </w:pPr>
            <w:r>
              <w:rPr>
                <w:rFonts w:hint="eastAsia" w:ascii="Times New Roman" w:hAnsi="Times New Roman"/>
                <w:color w:val="auto"/>
              </w:rPr>
              <w:t>（4）废水</w:t>
            </w:r>
          </w:p>
          <w:p>
            <w:pPr>
              <w:adjustRightInd w:val="0"/>
              <w:snapToGrid w:val="0"/>
              <w:spacing w:line="360" w:lineRule="auto"/>
              <w:ind w:firstLine="440"/>
              <w:rPr>
                <w:rFonts w:ascii="Times New Roman" w:hAnsi="Times New Roman"/>
                <w:color w:val="auto"/>
                <w:kern w:val="0"/>
              </w:rPr>
            </w:pPr>
            <w:r>
              <w:rPr>
                <w:rFonts w:ascii="Times New Roman" w:hAnsi="Times New Roman"/>
                <w:color w:val="auto"/>
                <w:kern w:val="0"/>
              </w:rPr>
              <w:t>锅炉软水处理</w:t>
            </w:r>
            <w:r>
              <w:rPr>
                <w:rFonts w:hint="eastAsia" w:ascii="Times New Roman" w:hAnsi="Times New Roman"/>
                <w:color w:val="auto"/>
                <w:kern w:val="0"/>
              </w:rPr>
              <w:t>设备的处理工艺为</w:t>
            </w:r>
            <w:r>
              <w:rPr>
                <w:rFonts w:ascii="Times New Roman" w:hAnsi="Times New Roman"/>
                <w:color w:val="auto"/>
                <w:kern w:val="0"/>
              </w:rPr>
              <w:t>砂滤+离子交换</w:t>
            </w:r>
            <w:r>
              <w:rPr>
                <w:rFonts w:hint="eastAsia" w:ascii="Times New Roman" w:hAnsi="Times New Roman"/>
                <w:color w:val="auto"/>
                <w:kern w:val="0"/>
              </w:rPr>
              <w:t>，</w:t>
            </w:r>
            <w:r>
              <w:rPr>
                <w:rFonts w:ascii="Times New Roman" w:hAnsi="Times New Roman"/>
                <w:color w:val="auto"/>
                <w:kern w:val="0"/>
              </w:rPr>
              <w:t>产生的软水进入锅炉转化为水蒸汽</w:t>
            </w:r>
            <w:r>
              <w:rPr>
                <w:rFonts w:hint="eastAsia" w:ascii="Times New Roman" w:hAnsi="Times New Roman"/>
                <w:color w:val="auto"/>
                <w:kern w:val="0"/>
              </w:rPr>
              <w:t>后全部供</w:t>
            </w:r>
            <w:r>
              <w:rPr>
                <w:rFonts w:ascii="Times New Roman" w:hAnsi="Times New Roman"/>
                <w:color w:val="auto"/>
                <w:kern w:val="0"/>
              </w:rPr>
              <w:t>造纸工段的烘干工</w:t>
            </w:r>
            <w:r>
              <w:rPr>
                <w:rFonts w:hint="eastAsia" w:ascii="Times New Roman" w:hAnsi="Times New Roman"/>
                <w:color w:val="auto"/>
                <w:kern w:val="0"/>
              </w:rPr>
              <w:t>段使用。</w:t>
            </w:r>
          </w:p>
          <w:p>
            <w:pPr>
              <w:adjustRightInd w:val="0"/>
              <w:snapToGrid w:val="0"/>
              <w:spacing w:line="360" w:lineRule="auto"/>
              <w:ind w:firstLine="440"/>
              <w:rPr>
                <w:rFonts w:ascii="Times New Roman" w:hAnsi="Times New Roman"/>
                <w:color w:val="auto"/>
                <w:kern w:val="0"/>
              </w:rPr>
            </w:pPr>
            <w:r>
              <w:rPr>
                <w:rFonts w:hint="eastAsia" w:ascii="Times New Roman" w:hAnsi="Times New Roman"/>
                <w:color w:val="auto"/>
                <w:kern w:val="0"/>
              </w:rPr>
              <w:t>根据建设单位提供的数据，现有项目锅炉新鲜水耗用水量为</w:t>
            </w:r>
            <w:r>
              <w:rPr>
                <w:rFonts w:ascii="Times New Roman" w:hAnsi="Times New Roman"/>
                <w:color w:val="auto"/>
                <w:kern w:val="0"/>
              </w:rPr>
              <w:t>49.49m</w:t>
            </w:r>
            <w:r>
              <w:rPr>
                <w:rFonts w:ascii="Times New Roman" w:hAnsi="Times New Roman"/>
                <w:color w:val="auto"/>
                <w:kern w:val="0"/>
                <w:vertAlign w:val="superscript"/>
              </w:rPr>
              <w:t>3</w:t>
            </w:r>
            <w:r>
              <w:rPr>
                <w:rFonts w:ascii="Times New Roman" w:hAnsi="Times New Roman"/>
                <w:color w:val="auto"/>
                <w:kern w:val="0"/>
              </w:rPr>
              <w:t>/d</w:t>
            </w:r>
            <w:r>
              <w:rPr>
                <w:rFonts w:hint="eastAsia" w:ascii="Times New Roman" w:hAnsi="Times New Roman"/>
                <w:color w:val="auto"/>
                <w:kern w:val="0"/>
              </w:rPr>
              <w:t>，</w:t>
            </w:r>
            <w:r>
              <w:rPr>
                <w:rFonts w:ascii="Times New Roman" w:hAnsi="Times New Roman"/>
                <w:color w:val="auto"/>
                <w:kern w:val="0"/>
              </w:rPr>
              <w:t>1.48</w:t>
            </w:r>
            <w:r>
              <w:rPr>
                <w:rFonts w:hint="eastAsia" w:ascii="Times New Roman" w:hAnsi="Times New Roman"/>
                <w:color w:val="auto"/>
                <w:kern w:val="0"/>
              </w:rPr>
              <w:t>万</w:t>
            </w:r>
            <w:r>
              <w:rPr>
                <w:rFonts w:ascii="Times New Roman" w:hAnsi="Times New Roman"/>
                <w:color w:val="auto"/>
                <w:kern w:val="0"/>
              </w:rPr>
              <w:t>m</w:t>
            </w:r>
            <w:r>
              <w:rPr>
                <w:rFonts w:ascii="Times New Roman" w:hAnsi="Times New Roman"/>
                <w:color w:val="auto"/>
                <w:kern w:val="0"/>
                <w:vertAlign w:val="superscript"/>
              </w:rPr>
              <w:t>3</w:t>
            </w:r>
            <w:r>
              <w:rPr>
                <w:rFonts w:ascii="Times New Roman" w:hAnsi="Times New Roman"/>
                <w:color w:val="auto"/>
                <w:kern w:val="0"/>
              </w:rPr>
              <w:t>/a</w:t>
            </w:r>
            <w:r>
              <w:rPr>
                <w:rFonts w:hint="eastAsia" w:ascii="Times New Roman" w:hAnsi="Times New Roman"/>
                <w:color w:val="auto"/>
                <w:kern w:val="0"/>
              </w:rPr>
              <w:t>，锅炉蒸汽回收利用率为9</w:t>
            </w:r>
            <w:r>
              <w:rPr>
                <w:rFonts w:ascii="Times New Roman" w:hAnsi="Times New Roman"/>
                <w:color w:val="auto"/>
                <w:kern w:val="0"/>
              </w:rPr>
              <w:t>0%</w:t>
            </w:r>
            <w:r>
              <w:rPr>
                <w:rFonts w:hint="eastAsia" w:ascii="Times New Roman" w:hAnsi="Times New Roman"/>
                <w:color w:val="auto"/>
                <w:kern w:val="0"/>
              </w:rPr>
              <w:t>，锅炉废水产生量为2</w:t>
            </w:r>
            <w:r>
              <w:rPr>
                <w:rFonts w:ascii="Times New Roman" w:hAnsi="Times New Roman"/>
                <w:color w:val="auto"/>
                <w:kern w:val="0"/>
              </w:rPr>
              <w:t>0.69</w:t>
            </w:r>
            <w:r>
              <w:rPr>
                <w:rFonts w:hint="eastAsia" w:ascii="Times New Roman" w:hAnsi="Times New Roman"/>
                <w:color w:val="auto"/>
                <w:kern w:val="0"/>
              </w:rPr>
              <w:t>m</w:t>
            </w:r>
            <w:r>
              <w:rPr>
                <w:rFonts w:ascii="Times New Roman" w:hAnsi="Times New Roman"/>
                <w:color w:val="auto"/>
                <w:kern w:val="0"/>
                <w:vertAlign w:val="superscript"/>
              </w:rPr>
              <w:t>3</w:t>
            </w:r>
            <w:r>
              <w:rPr>
                <w:rFonts w:hint="eastAsia" w:ascii="Times New Roman" w:hAnsi="Times New Roman"/>
                <w:color w:val="auto"/>
                <w:kern w:val="0"/>
              </w:rPr>
              <w:t>/d，6</w:t>
            </w:r>
            <w:r>
              <w:rPr>
                <w:rFonts w:ascii="Times New Roman" w:hAnsi="Times New Roman"/>
                <w:color w:val="auto"/>
                <w:kern w:val="0"/>
              </w:rPr>
              <w:t>207.3</w:t>
            </w:r>
            <w:r>
              <w:rPr>
                <w:rFonts w:hint="eastAsia" w:ascii="Times New Roman" w:hAnsi="Times New Roman"/>
                <w:color w:val="auto"/>
                <w:kern w:val="0"/>
              </w:rPr>
              <w:t>m</w:t>
            </w:r>
            <w:r>
              <w:rPr>
                <w:rFonts w:ascii="Times New Roman" w:hAnsi="Times New Roman"/>
                <w:color w:val="auto"/>
                <w:kern w:val="0"/>
                <w:vertAlign w:val="superscript"/>
              </w:rPr>
              <w:t>3</w:t>
            </w:r>
            <w:r>
              <w:rPr>
                <w:rFonts w:hint="eastAsia" w:ascii="Times New Roman" w:hAnsi="Times New Roman"/>
                <w:color w:val="auto"/>
                <w:kern w:val="0"/>
              </w:rPr>
              <w:t>/a。锅炉废水中主要污染物</w:t>
            </w:r>
            <w:r>
              <w:rPr>
                <w:rFonts w:ascii="Times New Roman" w:hAnsi="Times New Roman"/>
                <w:color w:val="auto"/>
                <w:kern w:val="0"/>
              </w:rPr>
              <w:t>为COD</w:t>
            </w:r>
            <w:r>
              <w:rPr>
                <w:rFonts w:hint="eastAsia" w:ascii="Times New Roman" w:hAnsi="Times New Roman"/>
                <w:color w:val="auto"/>
                <w:kern w:val="0"/>
              </w:rPr>
              <w:t>，产生浓度约为</w:t>
            </w:r>
            <w:r>
              <w:rPr>
                <w:rFonts w:ascii="Times New Roman" w:hAnsi="Times New Roman"/>
                <w:color w:val="auto"/>
                <w:kern w:val="0"/>
              </w:rPr>
              <w:t>148.8mg/L</w:t>
            </w:r>
            <w:r>
              <w:rPr>
                <w:rFonts w:hint="eastAsia" w:ascii="Times New Roman" w:hAnsi="Times New Roman"/>
                <w:color w:val="auto"/>
                <w:kern w:val="0"/>
              </w:rPr>
              <w:t>，产生浓度低。锅炉废水全部回用于造纸厂现有项目造纸工段，不外排。</w:t>
            </w:r>
          </w:p>
          <w:p>
            <w:pPr>
              <w:pStyle w:val="37"/>
              <w:adjustRightInd w:val="0"/>
              <w:snapToGrid w:val="0"/>
              <w:ind w:firstLine="0" w:firstLineChars="0"/>
              <w:jc w:val="center"/>
              <w:rPr>
                <w:rFonts w:ascii="Times New Roman" w:hAnsi="Times New Roman"/>
                <w:color w:val="auto"/>
              </w:rPr>
            </w:pPr>
            <w:r>
              <w:rPr>
                <w:color w:val="auto"/>
              </w:rPr>
              <w:object>
                <v:shape id="_x0000_i1028" o:spt="75" type="#_x0000_t75" style="height:121.5pt;width:369.75pt;" o:ole="t" filled="f" o:preferrelative="t" stroked="f" coordsize="21600,21600">
                  <v:path/>
                  <v:fill on="f" focussize="0,0"/>
                  <v:stroke on="f" joinstyle="miter"/>
                  <v:imagedata r:id="rId19" o:title=""/>
                  <o:lock v:ext="edit" aspectratio="t"/>
                  <w10:wrap type="none"/>
                  <w10:anchorlock/>
                </v:shape>
                <o:OLEObject Type="Embed" ProgID="Visio.Drawing.11" ShapeID="_x0000_i1028" DrawAspect="Content" ObjectID="_1468075728" r:id="rId18">
                  <o:LockedField>false</o:LockedField>
                </o:OLEObject>
              </w:object>
            </w:r>
          </w:p>
          <w:p>
            <w:pPr>
              <w:pStyle w:val="36"/>
              <w:adjustRightInd w:val="0"/>
              <w:snapToGrid w:val="0"/>
              <w:ind w:firstLine="241"/>
              <w:rPr>
                <w:rFonts w:ascii="Times New Roman" w:hAnsi="Times New Roman"/>
                <w:b/>
                <w:bCs/>
                <w:color w:val="auto"/>
              </w:rPr>
            </w:pPr>
            <w:r>
              <w:rPr>
                <w:rFonts w:ascii="Times New Roman" w:hAnsi="Times New Roman"/>
                <w:b/>
                <w:bCs/>
                <w:color w:val="auto"/>
              </w:rPr>
              <w:t xml:space="preserve">图1-2   </w:t>
            </w:r>
            <w:r>
              <w:rPr>
                <w:rFonts w:hint="eastAsia" w:ascii="Times New Roman" w:hAnsi="Times New Roman"/>
                <w:b/>
                <w:bCs/>
                <w:color w:val="auto"/>
              </w:rPr>
              <w:t>现有</w:t>
            </w:r>
            <w:r>
              <w:rPr>
                <w:rFonts w:ascii="Times New Roman" w:hAnsi="Times New Roman"/>
                <w:b/>
                <w:bCs/>
                <w:color w:val="auto"/>
              </w:rPr>
              <w:t>项目</w:t>
            </w:r>
            <w:r>
              <w:rPr>
                <w:rFonts w:hint="eastAsia" w:ascii="Times New Roman" w:hAnsi="Times New Roman"/>
                <w:b/>
                <w:bCs/>
                <w:color w:val="auto"/>
              </w:rPr>
              <w:t>锅炉房</w:t>
            </w:r>
            <w:r>
              <w:rPr>
                <w:rFonts w:ascii="Times New Roman" w:hAnsi="Times New Roman"/>
                <w:b/>
                <w:bCs/>
                <w:color w:val="auto"/>
              </w:rPr>
              <w:t>水平衡图(</w:t>
            </w:r>
            <w:r>
              <w:rPr>
                <w:rFonts w:hint="eastAsia" w:ascii="Times New Roman" w:hAnsi="Times New Roman"/>
                <w:b/>
                <w:bCs/>
                <w:color w:val="auto"/>
              </w:rPr>
              <w:t>m</w:t>
            </w:r>
            <w:r>
              <w:rPr>
                <w:rFonts w:ascii="Times New Roman" w:hAnsi="Times New Roman"/>
                <w:b/>
                <w:bCs/>
                <w:color w:val="auto"/>
                <w:vertAlign w:val="superscript"/>
              </w:rPr>
              <w:t>3</w:t>
            </w:r>
            <w:r>
              <w:rPr>
                <w:rFonts w:ascii="Times New Roman" w:hAnsi="Times New Roman"/>
                <w:b/>
                <w:bCs/>
                <w:color w:val="auto"/>
              </w:rPr>
              <w:t>/d)</w:t>
            </w:r>
          </w:p>
          <w:p>
            <w:pPr>
              <w:pStyle w:val="6"/>
              <w:adjustRightInd w:val="0"/>
              <w:snapToGrid w:val="0"/>
              <w:spacing w:before="163" w:beforeLines="50" w:after="0" w:afterLines="0"/>
              <w:rPr>
                <w:rFonts w:eastAsia="宋体"/>
                <w:b/>
                <w:bCs/>
                <w:color w:val="auto"/>
              </w:rPr>
            </w:pPr>
            <w:r>
              <w:rPr>
                <w:rFonts w:eastAsia="宋体"/>
                <w:b/>
                <w:bCs/>
                <w:color w:val="auto"/>
              </w:rPr>
              <w:t>7、现有</w:t>
            </w:r>
            <w:r>
              <w:rPr>
                <w:rFonts w:hint="eastAsia" w:eastAsia="宋体"/>
                <w:b/>
                <w:bCs/>
                <w:color w:val="auto"/>
              </w:rPr>
              <w:t>锅炉房</w:t>
            </w:r>
            <w:r>
              <w:rPr>
                <w:rFonts w:eastAsia="宋体"/>
                <w:b/>
                <w:bCs/>
                <w:color w:val="auto"/>
              </w:rPr>
              <w:t>存在</w:t>
            </w:r>
            <w:r>
              <w:rPr>
                <w:rFonts w:hint="eastAsia" w:eastAsia="宋体"/>
                <w:b/>
                <w:bCs/>
                <w:color w:val="auto"/>
              </w:rPr>
              <w:t>的</w:t>
            </w:r>
            <w:r>
              <w:rPr>
                <w:rFonts w:eastAsia="宋体"/>
                <w:b/>
                <w:bCs/>
                <w:color w:val="auto"/>
              </w:rPr>
              <w:t>环保问题及解决方案</w:t>
            </w:r>
          </w:p>
          <w:p>
            <w:pPr>
              <w:pStyle w:val="12"/>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 xml:space="preserve">表1-14   </w:t>
            </w:r>
            <w:r>
              <w:rPr>
                <w:rFonts w:hint="eastAsia" w:ascii="Times New Roman" w:hAnsi="Times New Roman"/>
                <w:b/>
                <w:bCs/>
                <w:color w:val="auto"/>
                <w:sz w:val="21"/>
                <w:szCs w:val="21"/>
              </w:rPr>
              <w:t>现有锅炉房存在的环保问题及“以新带老”措施一览表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3459"/>
              <w:gridCol w:w="4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0" w:type="auto"/>
                </w:tcPr>
                <w:p>
                  <w:pPr>
                    <w:adjustRightInd w:val="0"/>
                    <w:snapToGrid w:val="0"/>
                    <w:jc w:val="center"/>
                    <w:rPr>
                      <w:rFonts w:ascii="Times New Roman" w:hAnsi="Times New Roman"/>
                      <w:b/>
                      <w:color w:val="auto"/>
                      <w:sz w:val="21"/>
                      <w:szCs w:val="21"/>
                    </w:rPr>
                  </w:pPr>
                  <w:r>
                    <w:rPr>
                      <w:rFonts w:hint="eastAsia" w:ascii="Times New Roman" w:hAnsi="Times New Roman"/>
                      <w:b/>
                      <w:color w:val="auto"/>
                      <w:sz w:val="21"/>
                      <w:szCs w:val="21"/>
                    </w:rPr>
                    <w:t>序号</w:t>
                  </w:r>
                </w:p>
              </w:tc>
              <w:tc>
                <w:tcPr>
                  <w:tcW w:w="0" w:type="auto"/>
                  <w:vAlign w:val="center"/>
                </w:tcPr>
                <w:p>
                  <w:pPr>
                    <w:adjustRightInd w:val="0"/>
                    <w:snapToGrid w:val="0"/>
                    <w:jc w:val="center"/>
                    <w:rPr>
                      <w:rFonts w:ascii="Times New Roman" w:hAnsi="Times New Roman"/>
                      <w:b/>
                      <w:color w:val="auto"/>
                      <w:sz w:val="21"/>
                      <w:szCs w:val="21"/>
                    </w:rPr>
                  </w:pPr>
                  <w:r>
                    <w:rPr>
                      <w:rFonts w:ascii="Times New Roman" w:hAnsi="Times New Roman"/>
                      <w:b/>
                      <w:color w:val="auto"/>
                      <w:sz w:val="21"/>
                      <w:szCs w:val="21"/>
                    </w:rPr>
                    <w:t>存在</w:t>
                  </w:r>
                  <w:r>
                    <w:rPr>
                      <w:rFonts w:hint="eastAsia" w:ascii="Times New Roman" w:hAnsi="Times New Roman"/>
                      <w:b/>
                      <w:color w:val="auto"/>
                      <w:sz w:val="21"/>
                      <w:szCs w:val="21"/>
                    </w:rPr>
                    <w:t>的</w:t>
                  </w:r>
                  <w:r>
                    <w:rPr>
                      <w:rFonts w:ascii="Times New Roman" w:hAnsi="Times New Roman"/>
                      <w:b/>
                      <w:color w:val="auto"/>
                      <w:sz w:val="21"/>
                      <w:szCs w:val="21"/>
                    </w:rPr>
                    <w:t>问题</w:t>
                  </w:r>
                </w:p>
              </w:tc>
              <w:tc>
                <w:tcPr>
                  <w:tcW w:w="0" w:type="auto"/>
                  <w:vAlign w:val="center"/>
                </w:tcPr>
                <w:p>
                  <w:pPr>
                    <w:adjustRightInd w:val="0"/>
                    <w:snapToGrid w:val="0"/>
                    <w:jc w:val="center"/>
                    <w:rPr>
                      <w:rFonts w:ascii="Times New Roman" w:hAnsi="Times New Roman"/>
                      <w:b/>
                      <w:color w:val="auto"/>
                      <w:sz w:val="21"/>
                      <w:szCs w:val="21"/>
                    </w:rPr>
                  </w:pPr>
                  <w:r>
                    <w:rPr>
                      <w:rFonts w:hint="eastAsia" w:ascii="Times New Roman" w:hAnsi="Times New Roman"/>
                      <w:b/>
                      <w:bCs/>
                      <w:color w:val="auto"/>
                      <w:sz w:val="21"/>
                      <w:szCs w:val="21"/>
                    </w:rPr>
                    <w:t>“以新带老”措施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0" w:type="auto"/>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1</w:t>
                  </w:r>
                </w:p>
              </w:tc>
              <w:tc>
                <w:tcPr>
                  <w:tcW w:w="0" w:type="auto"/>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燃煤锅炉</w:t>
                  </w:r>
                  <w:r>
                    <w:rPr>
                      <w:rFonts w:hint="eastAsia" w:ascii="Times New Roman" w:hAnsi="Times New Roman"/>
                      <w:color w:val="auto"/>
                      <w:sz w:val="21"/>
                      <w:szCs w:val="21"/>
                    </w:rPr>
                    <w:t>的建设规模</w:t>
                  </w:r>
                  <w:r>
                    <w:rPr>
                      <w:rFonts w:ascii="Times New Roman" w:hAnsi="Times New Roman"/>
                      <w:color w:val="auto"/>
                      <w:sz w:val="21"/>
                      <w:szCs w:val="21"/>
                    </w:rPr>
                    <w:t>不符合现行环保管理要求</w:t>
                  </w:r>
                </w:p>
              </w:tc>
              <w:tc>
                <w:tcPr>
                  <w:tcW w:w="0" w:type="auto"/>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10t/h</w:t>
                  </w:r>
                  <w:r>
                    <w:rPr>
                      <w:rFonts w:hint="eastAsia" w:ascii="Times New Roman" w:hAnsi="Times New Roman" w:cs="Times New Roman"/>
                      <w:color w:val="auto"/>
                      <w:sz w:val="21"/>
                      <w:szCs w:val="21"/>
                    </w:rPr>
                    <w:t>燃煤</w:t>
                  </w:r>
                  <w:r>
                    <w:rPr>
                      <w:rFonts w:ascii="Times New Roman" w:hAnsi="Times New Roman" w:cs="Times New Roman"/>
                      <w:color w:val="auto"/>
                      <w:sz w:val="21"/>
                      <w:szCs w:val="21"/>
                    </w:rPr>
                    <w:t>锅炉</w:t>
                  </w:r>
                  <w:r>
                    <w:rPr>
                      <w:rFonts w:hint="eastAsia" w:ascii="Times New Roman" w:hAnsi="Times New Roman" w:cs="Times New Roman"/>
                      <w:color w:val="auto"/>
                      <w:sz w:val="21"/>
                      <w:szCs w:val="21"/>
                    </w:rPr>
                    <w:t>拆除，新建1</w:t>
                  </w:r>
                  <w:r>
                    <w:rPr>
                      <w:rFonts w:ascii="Times New Roman" w:hAnsi="Times New Roman" w:cs="Times New Roman"/>
                      <w:color w:val="auto"/>
                      <w:sz w:val="21"/>
                      <w:szCs w:val="21"/>
                    </w:rPr>
                    <w:t>5t/h生物质锅炉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0" w:type="auto"/>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2</w:t>
                  </w:r>
                </w:p>
              </w:tc>
              <w:tc>
                <w:tcPr>
                  <w:tcW w:w="0" w:type="auto"/>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锅炉烟气处理设施老化，不能保证锅炉烟气长期稳定达标排放</w:t>
                  </w:r>
                </w:p>
              </w:tc>
              <w:tc>
                <w:tcPr>
                  <w:tcW w:w="0" w:type="auto"/>
                  <w:vAlign w:val="center"/>
                </w:tcPr>
                <w:p>
                  <w:pPr>
                    <w:pStyle w:val="2"/>
                    <w:adjustRightInd w:val="0"/>
                    <w:snapToGrid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拆除除排气筒外的所有烟气处理设施，每台生物质锅炉新建一套袋式除尘器系统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0" w:type="auto"/>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3</w:t>
                  </w:r>
                </w:p>
              </w:tc>
              <w:tc>
                <w:tcPr>
                  <w:tcW w:w="0" w:type="auto"/>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煤棚为半封闭建筑，产生一定的无组织粉尘污染</w:t>
                  </w:r>
                </w:p>
              </w:tc>
              <w:tc>
                <w:tcPr>
                  <w:tcW w:w="0" w:type="auto"/>
                  <w:vAlign w:val="center"/>
                </w:tcPr>
                <w:p>
                  <w:pPr>
                    <w:pStyle w:val="2"/>
                    <w:adjustRightInd w:val="0"/>
                    <w:snapToGrid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将原有燃煤堆棚</w:t>
                  </w:r>
                  <w:r>
                    <w:rPr>
                      <w:rFonts w:hint="eastAsia" w:ascii="Times New Roman" w:hAnsi="Times New Roman"/>
                      <w:color w:val="auto"/>
                      <w:sz w:val="21"/>
                      <w:szCs w:val="21"/>
                    </w:rPr>
                    <w:t>除进出口外改为封闭厂房</w:t>
                  </w:r>
                </w:p>
              </w:tc>
            </w:tr>
          </w:tbl>
          <w:p>
            <w:pPr>
              <w:pStyle w:val="6"/>
              <w:adjustRightInd w:val="0"/>
              <w:snapToGrid w:val="0"/>
              <w:spacing w:before="163" w:beforeLines="50" w:after="0" w:afterLines="0"/>
              <w:rPr>
                <w:rFonts w:eastAsia="宋体"/>
                <w:b/>
                <w:bCs/>
                <w:color w:val="auto"/>
              </w:rPr>
            </w:pPr>
            <w:r>
              <w:rPr>
                <w:rFonts w:eastAsia="宋体"/>
                <w:b/>
                <w:bCs/>
                <w:color w:val="auto"/>
              </w:rPr>
              <w:t>8、现有</w:t>
            </w:r>
            <w:r>
              <w:rPr>
                <w:rFonts w:hint="eastAsia" w:eastAsia="宋体"/>
                <w:b/>
                <w:bCs/>
                <w:color w:val="auto"/>
              </w:rPr>
              <w:t>锅炉房</w:t>
            </w:r>
            <w:r>
              <w:rPr>
                <w:rFonts w:eastAsia="宋体"/>
                <w:b/>
                <w:bCs/>
                <w:color w:val="auto"/>
              </w:rPr>
              <w:t>产排污汇总</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现有锅炉房</w:t>
            </w:r>
            <w:r>
              <w:rPr>
                <w:rFonts w:ascii="Times New Roman" w:hAnsi="Times New Roman"/>
                <w:color w:val="auto"/>
              </w:rPr>
              <w:t>主要污染物排放情况详见表1-15。</w:t>
            </w:r>
          </w:p>
          <w:p>
            <w:pPr>
              <w:pStyle w:val="2"/>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Pr>
              <w:pStyle w:val="12"/>
              <w:adjustRightInd w:val="0"/>
              <w:snapToGrid w:val="0"/>
              <w:jc w:val="center"/>
              <w:rPr>
                <w:rFonts w:ascii="Times New Roman" w:hAnsi="Times New Roman"/>
                <w:b/>
                <w:bCs/>
                <w:color w:val="auto"/>
                <w:sz w:val="21"/>
                <w:szCs w:val="21"/>
              </w:rPr>
            </w:pPr>
            <w:bookmarkStart w:id="8" w:name="_Ref365390277"/>
          </w:p>
          <w:p>
            <w:pPr>
              <w:pStyle w:val="12"/>
              <w:adjustRightInd w:val="0"/>
              <w:snapToGrid w:val="0"/>
              <w:jc w:val="center"/>
              <w:rPr>
                <w:rFonts w:ascii="Times New Roman" w:hAnsi="Times New Roman"/>
                <w:b/>
                <w:bCs/>
                <w:color w:val="auto"/>
                <w:sz w:val="21"/>
                <w:szCs w:val="21"/>
              </w:rPr>
            </w:pPr>
          </w:p>
          <w:p>
            <w:pPr>
              <w:pStyle w:val="12"/>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 xml:space="preserve">表1-15   </w:t>
            </w:r>
            <w:r>
              <w:rPr>
                <w:rFonts w:hint="eastAsia" w:ascii="Times New Roman" w:hAnsi="Times New Roman"/>
                <w:b/>
                <w:bCs/>
                <w:color w:val="auto"/>
                <w:sz w:val="21"/>
                <w:szCs w:val="21"/>
              </w:rPr>
              <w:t>现有锅炉房</w:t>
            </w:r>
            <w:r>
              <w:rPr>
                <w:rFonts w:ascii="Times New Roman" w:hAnsi="Times New Roman"/>
                <w:b/>
                <w:bCs/>
                <w:color w:val="auto"/>
                <w:sz w:val="21"/>
                <w:szCs w:val="21"/>
              </w:rPr>
              <w:t>主要污染物排放</w:t>
            </w:r>
            <w:bookmarkEnd w:id="8"/>
            <w:r>
              <w:rPr>
                <w:rFonts w:ascii="Times New Roman" w:hAnsi="Times New Roman"/>
                <w:b/>
                <w:bCs/>
                <w:color w:val="auto"/>
                <w:sz w:val="21"/>
                <w:szCs w:val="21"/>
              </w:rPr>
              <w:t>及</w:t>
            </w:r>
            <w:r>
              <w:rPr>
                <w:rFonts w:hint="eastAsia" w:ascii="Times New Roman" w:hAnsi="Times New Roman"/>
                <w:b/>
                <w:bCs/>
                <w:color w:val="auto"/>
                <w:sz w:val="21"/>
                <w:szCs w:val="21"/>
              </w:rPr>
              <w:t>治理</w:t>
            </w:r>
            <w:r>
              <w:rPr>
                <w:rFonts w:ascii="Times New Roman" w:hAnsi="Times New Roman"/>
                <w:b/>
                <w:bCs/>
                <w:color w:val="auto"/>
                <w:sz w:val="21"/>
                <w:szCs w:val="21"/>
              </w:rPr>
              <w:t>方案情况汇总</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468"/>
              <w:gridCol w:w="2693"/>
              <w:gridCol w:w="3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Align w:val="center"/>
                </w:tcPr>
                <w:p>
                  <w:pPr>
                    <w:adjustRightInd w:val="0"/>
                    <w:snapToGrid w:val="0"/>
                    <w:spacing w:line="276" w:lineRule="auto"/>
                    <w:jc w:val="center"/>
                    <w:rPr>
                      <w:rFonts w:ascii="Times New Roman" w:hAnsi="Times New Roman"/>
                      <w:b/>
                      <w:color w:val="auto"/>
                      <w:sz w:val="21"/>
                      <w:szCs w:val="21"/>
                    </w:rPr>
                  </w:pPr>
                  <w:r>
                    <w:rPr>
                      <w:rFonts w:ascii="Times New Roman" w:hAnsi="Times New Roman"/>
                      <w:b/>
                      <w:color w:val="auto"/>
                      <w:sz w:val="21"/>
                      <w:szCs w:val="21"/>
                    </w:rPr>
                    <w:t>分类</w:t>
                  </w:r>
                </w:p>
              </w:tc>
              <w:tc>
                <w:tcPr>
                  <w:tcW w:w="1468" w:type="dxa"/>
                  <w:vAlign w:val="center"/>
                </w:tcPr>
                <w:p>
                  <w:pPr>
                    <w:adjustRightInd w:val="0"/>
                    <w:snapToGrid w:val="0"/>
                    <w:spacing w:line="276" w:lineRule="auto"/>
                    <w:jc w:val="center"/>
                    <w:rPr>
                      <w:rFonts w:ascii="Times New Roman" w:hAnsi="Times New Roman"/>
                      <w:b/>
                      <w:color w:val="auto"/>
                      <w:sz w:val="21"/>
                      <w:szCs w:val="21"/>
                    </w:rPr>
                  </w:pPr>
                  <w:r>
                    <w:rPr>
                      <w:rFonts w:ascii="Times New Roman" w:hAnsi="Times New Roman"/>
                      <w:b/>
                      <w:color w:val="auto"/>
                      <w:sz w:val="21"/>
                      <w:szCs w:val="21"/>
                    </w:rPr>
                    <w:t>污染源</w:t>
                  </w:r>
                </w:p>
              </w:tc>
              <w:tc>
                <w:tcPr>
                  <w:tcW w:w="2693" w:type="dxa"/>
                  <w:vAlign w:val="center"/>
                </w:tcPr>
                <w:p>
                  <w:pPr>
                    <w:adjustRightInd w:val="0"/>
                    <w:snapToGrid w:val="0"/>
                    <w:spacing w:line="276" w:lineRule="auto"/>
                    <w:jc w:val="center"/>
                    <w:rPr>
                      <w:rFonts w:ascii="Times New Roman" w:hAnsi="Times New Roman"/>
                      <w:b/>
                      <w:color w:val="auto"/>
                      <w:sz w:val="21"/>
                      <w:szCs w:val="21"/>
                    </w:rPr>
                  </w:pPr>
                  <w:r>
                    <w:rPr>
                      <w:rFonts w:ascii="Times New Roman" w:hAnsi="Times New Roman"/>
                      <w:b/>
                      <w:color w:val="auto"/>
                      <w:sz w:val="21"/>
                      <w:szCs w:val="21"/>
                    </w:rPr>
                    <w:t>污染物名称</w:t>
                  </w:r>
                </w:p>
              </w:tc>
              <w:tc>
                <w:tcPr>
                  <w:tcW w:w="3395" w:type="dxa"/>
                  <w:vAlign w:val="center"/>
                </w:tcPr>
                <w:p>
                  <w:pPr>
                    <w:adjustRightInd w:val="0"/>
                    <w:snapToGrid w:val="0"/>
                    <w:spacing w:line="276" w:lineRule="auto"/>
                    <w:jc w:val="center"/>
                    <w:rPr>
                      <w:rFonts w:ascii="Times New Roman" w:hAnsi="Times New Roman"/>
                      <w:b/>
                      <w:color w:val="auto"/>
                      <w:sz w:val="21"/>
                      <w:szCs w:val="21"/>
                    </w:rPr>
                  </w:pPr>
                  <w:r>
                    <w:rPr>
                      <w:rFonts w:ascii="Times New Roman" w:hAnsi="Times New Roman"/>
                      <w:b/>
                      <w:color w:val="auto"/>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废气</w:t>
                  </w:r>
                </w:p>
              </w:tc>
              <w:tc>
                <w:tcPr>
                  <w:tcW w:w="1468" w:type="dxa"/>
                  <w:vMerge w:val="restar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锅炉</w:t>
                  </w:r>
                </w:p>
              </w:tc>
              <w:tc>
                <w:tcPr>
                  <w:tcW w:w="2693" w:type="dxa"/>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二氧化硫</w:t>
                  </w:r>
                </w:p>
              </w:tc>
              <w:tc>
                <w:tcPr>
                  <w:tcW w:w="3395" w:type="dxa"/>
                  <w:vMerge w:val="restar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添加石灰的水磨除尘器脱硫+</w:t>
                  </w:r>
                  <w:r>
                    <w:rPr>
                      <w:rFonts w:ascii="Times New Roman" w:hAnsi="Times New Roman"/>
                      <w:color w:val="auto"/>
                      <w:sz w:val="21"/>
                      <w:szCs w:val="21"/>
                      <w:lang w:val="zh-CN"/>
                    </w:rPr>
                    <w:t>布袋除尘</w:t>
                  </w:r>
                  <w:r>
                    <w:rPr>
                      <w:rFonts w:ascii="Times New Roman" w:hAnsi="Times New Roman"/>
                      <w:color w:val="auto"/>
                      <w:sz w:val="21"/>
                      <w:szCs w:val="21"/>
                    </w:rPr>
                    <w:t>工艺处理</w:t>
                  </w:r>
                  <w:r>
                    <w:rPr>
                      <w:rFonts w:hint="eastAsia" w:ascii="Times New Roman" w:hAnsi="Times New Roman"/>
                      <w:color w:val="auto"/>
                      <w:sz w:val="21"/>
                      <w:szCs w:val="21"/>
                      <w:lang w:val="zh-CN"/>
                    </w:rPr>
                    <w:t>后由</w:t>
                  </w:r>
                  <w:r>
                    <w:rPr>
                      <w:rFonts w:ascii="Times New Roman" w:hAnsi="Times New Roman"/>
                      <w:color w:val="auto"/>
                      <w:sz w:val="21"/>
                      <w:szCs w:val="21"/>
                      <w:lang w:val="zh-CN"/>
                    </w:rPr>
                    <w:t>高度为</w:t>
                  </w:r>
                  <w:r>
                    <w:rPr>
                      <w:rFonts w:ascii="Times New Roman" w:hAnsi="Times New Roman"/>
                      <w:color w:val="auto"/>
                      <w:sz w:val="21"/>
                      <w:szCs w:val="21"/>
                    </w:rPr>
                    <w:t>45m</w:t>
                  </w:r>
                  <w:r>
                    <w:rPr>
                      <w:rFonts w:ascii="Times New Roman" w:hAnsi="Times New Roman"/>
                      <w:color w:val="auto"/>
                      <w:sz w:val="21"/>
                      <w:szCs w:val="21"/>
                      <w:lang w:val="zh-CN"/>
                    </w:rPr>
                    <w:t>，出口内径为0.8m</w:t>
                  </w:r>
                  <w:r>
                    <w:rPr>
                      <w:rFonts w:hint="eastAsia" w:ascii="Times New Roman" w:hAnsi="Times New Roman"/>
                      <w:color w:val="auto"/>
                      <w:sz w:val="21"/>
                      <w:szCs w:val="21"/>
                      <w:lang w:val="zh-CN"/>
                    </w:rPr>
                    <w:t>的</w:t>
                  </w:r>
                  <w:r>
                    <w:rPr>
                      <w:rFonts w:ascii="Times New Roman" w:hAnsi="Times New Roman"/>
                      <w:color w:val="auto"/>
                      <w:sz w:val="21"/>
                      <w:szCs w:val="21"/>
                      <w:lang w:val="zh-CN"/>
                    </w:rPr>
                    <w:t>排气筒</w:t>
                  </w:r>
                  <w:r>
                    <w:rPr>
                      <w:rFonts w:hint="eastAsia" w:ascii="Times New Roman" w:hAnsi="Times New Roman"/>
                      <w:color w:val="auto"/>
                      <w:sz w:val="21"/>
                      <w:szCs w:val="21"/>
                      <w:lang w:val="zh-C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vAlign w:val="center"/>
                </w:tcPr>
                <w:p>
                  <w:pPr>
                    <w:adjustRightInd w:val="0"/>
                    <w:snapToGrid w:val="0"/>
                    <w:spacing w:line="276" w:lineRule="auto"/>
                    <w:jc w:val="center"/>
                    <w:rPr>
                      <w:rFonts w:ascii="Times New Roman" w:hAnsi="Times New Roman"/>
                      <w:color w:val="auto"/>
                      <w:sz w:val="21"/>
                      <w:szCs w:val="21"/>
                    </w:rPr>
                  </w:pPr>
                </w:p>
              </w:tc>
              <w:tc>
                <w:tcPr>
                  <w:tcW w:w="1468" w:type="dxa"/>
                  <w:vMerge w:val="continue"/>
                  <w:vAlign w:val="center"/>
                </w:tcPr>
                <w:p>
                  <w:pPr>
                    <w:adjustRightInd w:val="0"/>
                    <w:snapToGrid w:val="0"/>
                    <w:spacing w:line="276" w:lineRule="auto"/>
                    <w:jc w:val="center"/>
                    <w:rPr>
                      <w:rFonts w:ascii="Times New Roman" w:hAnsi="Times New Roman"/>
                      <w:color w:val="auto"/>
                      <w:sz w:val="21"/>
                      <w:szCs w:val="21"/>
                    </w:rPr>
                  </w:pPr>
                </w:p>
              </w:tc>
              <w:tc>
                <w:tcPr>
                  <w:tcW w:w="2693" w:type="dxa"/>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氮氧化物</w:t>
                  </w:r>
                </w:p>
              </w:tc>
              <w:tc>
                <w:tcPr>
                  <w:tcW w:w="3395" w:type="dxa"/>
                  <w:vMerge w:val="continue"/>
                  <w:vAlign w:val="center"/>
                </w:tcPr>
                <w:p>
                  <w:pPr>
                    <w:adjustRightInd w:val="0"/>
                    <w:snapToGrid w:val="0"/>
                    <w:spacing w:line="276" w:lineRule="auto"/>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vAlign w:val="center"/>
                </w:tcPr>
                <w:p>
                  <w:pPr>
                    <w:adjustRightInd w:val="0"/>
                    <w:snapToGrid w:val="0"/>
                    <w:spacing w:line="276" w:lineRule="auto"/>
                    <w:jc w:val="center"/>
                    <w:rPr>
                      <w:rFonts w:ascii="Times New Roman" w:hAnsi="Times New Roman"/>
                      <w:color w:val="auto"/>
                      <w:sz w:val="21"/>
                      <w:szCs w:val="21"/>
                    </w:rPr>
                  </w:pPr>
                </w:p>
              </w:tc>
              <w:tc>
                <w:tcPr>
                  <w:tcW w:w="1468" w:type="dxa"/>
                  <w:vMerge w:val="continue"/>
                  <w:vAlign w:val="center"/>
                </w:tcPr>
                <w:p>
                  <w:pPr>
                    <w:adjustRightInd w:val="0"/>
                    <w:snapToGrid w:val="0"/>
                    <w:spacing w:line="276" w:lineRule="auto"/>
                    <w:jc w:val="center"/>
                    <w:rPr>
                      <w:rFonts w:ascii="Times New Roman" w:hAnsi="Times New Roman"/>
                      <w:color w:val="auto"/>
                      <w:sz w:val="21"/>
                      <w:szCs w:val="21"/>
                    </w:rPr>
                  </w:pPr>
                </w:p>
              </w:tc>
              <w:tc>
                <w:tcPr>
                  <w:tcW w:w="2693" w:type="dxa"/>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颗粒物</w:t>
                  </w:r>
                </w:p>
              </w:tc>
              <w:tc>
                <w:tcPr>
                  <w:tcW w:w="3395" w:type="dxa"/>
                  <w:vMerge w:val="continue"/>
                  <w:vAlign w:val="center"/>
                </w:tcPr>
                <w:p>
                  <w:pPr>
                    <w:adjustRightInd w:val="0"/>
                    <w:snapToGrid w:val="0"/>
                    <w:spacing w:line="276" w:lineRule="auto"/>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0" w:type="auto"/>
                  <w:vMerge w:val="continue"/>
                  <w:vAlign w:val="center"/>
                </w:tcPr>
                <w:p>
                  <w:pPr>
                    <w:adjustRightInd w:val="0"/>
                    <w:snapToGrid w:val="0"/>
                    <w:spacing w:line="276" w:lineRule="auto"/>
                    <w:jc w:val="center"/>
                    <w:rPr>
                      <w:rFonts w:ascii="Times New Roman" w:hAnsi="Times New Roman"/>
                      <w:color w:val="auto"/>
                      <w:sz w:val="21"/>
                      <w:szCs w:val="21"/>
                    </w:rPr>
                  </w:pPr>
                </w:p>
              </w:tc>
              <w:tc>
                <w:tcPr>
                  <w:tcW w:w="1468" w:type="dxa"/>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煤棚、渣棚</w:t>
                  </w:r>
                </w:p>
              </w:tc>
              <w:tc>
                <w:tcPr>
                  <w:tcW w:w="2693" w:type="dxa"/>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颗粒物</w:t>
                  </w:r>
                </w:p>
              </w:tc>
              <w:tc>
                <w:tcPr>
                  <w:tcW w:w="3395" w:type="dxa"/>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及时清运，洒水降尘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噪声</w:t>
                  </w:r>
                </w:p>
              </w:tc>
              <w:tc>
                <w:tcPr>
                  <w:tcW w:w="1468" w:type="dxa"/>
                  <w:vAlign w:val="center"/>
                </w:tcPr>
                <w:p>
                  <w:pPr>
                    <w:tabs>
                      <w:tab w:val="left" w:pos="567"/>
                    </w:tabs>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鼓风机</w:t>
                  </w:r>
                </w:p>
              </w:tc>
              <w:tc>
                <w:tcPr>
                  <w:tcW w:w="2693" w:type="dxa"/>
                  <w:vAlign w:val="center"/>
                </w:tcPr>
                <w:p>
                  <w:pPr>
                    <w:tabs>
                      <w:tab w:val="left" w:pos="567"/>
                    </w:tabs>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设备噪声</w:t>
                  </w:r>
                </w:p>
              </w:tc>
              <w:tc>
                <w:tcPr>
                  <w:tcW w:w="3395" w:type="dxa"/>
                  <w:vAlign w:val="center"/>
                </w:tcPr>
                <w:p>
                  <w:pPr>
                    <w:tabs>
                      <w:tab w:val="left" w:pos="567"/>
                    </w:tabs>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厂房隔声、加装消声器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废水</w:t>
                  </w:r>
                </w:p>
              </w:tc>
              <w:tc>
                <w:tcPr>
                  <w:tcW w:w="1468" w:type="dxa"/>
                  <w:vAlign w:val="center"/>
                </w:tcPr>
                <w:p>
                  <w:pPr>
                    <w:tabs>
                      <w:tab w:val="left" w:pos="567"/>
                    </w:tabs>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软水处理设备、锅炉</w:t>
                  </w:r>
                </w:p>
              </w:tc>
              <w:tc>
                <w:tcPr>
                  <w:tcW w:w="2693" w:type="dxa"/>
                  <w:vAlign w:val="center"/>
                </w:tcPr>
                <w:p>
                  <w:pPr>
                    <w:tabs>
                      <w:tab w:val="left" w:pos="567"/>
                    </w:tabs>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锅炉废水</w:t>
                  </w:r>
                </w:p>
              </w:tc>
              <w:tc>
                <w:tcPr>
                  <w:tcW w:w="3395" w:type="dxa"/>
                  <w:vAlign w:val="center"/>
                </w:tcPr>
                <w:p>
                  <w:pPr>
                    <w:tabs>
                      <w:tab w:val="left" w:pos="567"/>
                    </w:tabs>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Cs w:val="21"/>
                    </w:rPr>
                    <w:t>全部回用于造纸工段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固废（一般工业固废）</w:t>
                  </w:r>
                </w:p>
              </w:tc>
              <w:tc>
                <w:tcPr>
                  <w:tcW w:w="1468" w:type="dxa"/>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锅炉</w:t>
                  </w:r>
                </w:p>
              </w:tc>
              <w:tc>
                <w:tcPr>
                  <w:tcW w:w="2693" w:type="dxa"/>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炉渣</w:t>
                  </w:r>
                </w:p>
              </w:tc>
              <w:tc>
                <w:tcPr>
                  <w:tcW w:w="3395" w:type="dxa"/>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vAlign w:val="center"/>
                </w:tcPr>
                <w:p>
                  <w:pPr>
                    <w:adjustRightInd w:val="0"/>
                    <w:snapToGrid w:val="0"/>
                    <w:spacing w:line="276" w:lineRule="auto"/>
                    <w:jc w:val="center"/>
                    <w:rPr>
                      <w:rFonts w:ascii="Times New Roman" w:hAnsi="Times New Roman"/>
                      <w:color w:val="auto"/>
                      <w:sz w:val="21"/>
                      <w:szCs w:val="21"/>
                    </w:rPr>
                  </w:pPr>
                </w:p>
              </w:tc>
              <w:tc>
                <w:tcPr>
                  <w:tcW w:w="1468" w:type="dxa"/>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布袋除尘器</w:t>
                  </w:r>
                </w:p>
              </w:tc>
              <w:tc>
                <w:tcPr>
                  <w:tcW w:w="2693" w:type="dxa"/>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粉煤灰</w:t>
                  </w:r>
                </w:p>
              </w:tc>
              <w:tc>
                <w:tcPr>
                  <w:tcW w:w="3395" w:type="dxa"/>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0" w:type="auto"/>
                  <w:vMerge w:val="continue"/>
                  <w:vAlign w:val="center"/>
                </w:tcPr>
                <w:p>
                  <w:pPr>
                    <w:adjustRightInd w:val="0"/>
                    <w:snapToGrid w:val="0"/>
                    <w:spacing w:line="276" w:lineRule="auto"/>
                    <w:jc w:val="center"/>
                    <w:rPr>
                      <w:rFonts w:ascii="Times New Roman" w:hAnsi="Times New Roman"/>
                      <w:color w:val="auto"/>
                      <w:sz w:val="21"/>
                      <w:szCs w:val="21"/>
                    </w:rPr>
                  </w:pPr>
                </w:p>
              </w:tc>
              <w:tc>
                <w:tcPr>
                  <w:tcW w:w="1468" w:type="dxa"/>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水膜除尘器</w:t>
                  </w:r>
                </w:p>
              </w:tc>
              <w:tc>
                <w:tcPr>
                  <w:tcW w:w="2693" w:type="dxa"/>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脱硫石膏</w:t>
                  </w:r>
                </w:p>
              </w:tc>
              <w:tc>
                <w:tcPr>
                  <w:tcW w:w="3395" w:type="dxa"/>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vAlign w:val="center"/>
                </w:tcPr>
                <w:p>
                  <w:pPr>
                    <w:adjustRightInd w:val="0"/>
                    <w:snapToGrid w:val="0"/>
                    <w:spacing w:line="276" w:lineRule="auto"/>
                    <w:jc w:val="center"/>
                    <w:rPr>
                      <w:rFonts w:ascii="Times New Roman" w:hAnsi="Times New Roman"/>
                      <w:color w:val="auto"/>
                      <w:sz w:val="21"/>
                      <w:szCs w:val="21"/>
                    </w:rPr>
                  </w:pPr>
                </w:p>
              </w:tc>
              <w:tc>
                <w:tcPr>
                  <w:tcW w:w="1468" w:type="dxa"/>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软水处理设备</w:t>
                  </w:r>
                </w:p>
              </w:tc>
              <w:tc>
                <w:tcPr>
                  <w:tcW w:w="2693" w:type="dxa"/>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废离子交换树脂</w:t>
                  </w:r>
                </w:p>
              </w:tc>
              <w:tc>
                <w:tcPr>
                  <w:tcW w:w="3395" w:type="dxa"/>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厂家回收</w:t>
                  </w:r>
                </w:p>
              </w:tc>
            </w:tr>
          </w:tbl>
          <w:p>
            <w:pPr>
              <w:pStyle w:val="2"/>
              <w:adjustRightInd w:val="0"/>
              <w:snapToGrid w:val="0"/>
              <w:rPr>
                <w:rFonts w:ascii="Times New Roman" w:hAnsi="Times New Roman" w:cs="Times New Roman"/>
                <w:color w:val="auto"/>
              </w:rPr>
            </w:pPr>
          </w:p>
        </w:tc>
      </w:tr>
    </w:tbl>
    <w:p>
      <w:pPr>
        <w:adjustRightInd w:val="0"/>
        <w:snapToGrid w:val="0"/>
        <w:spacing w:after="120" w:line="320" w:lineRule="atLeast"/>
        <w:outlineLvl w:val="0"/>
        <w:rPr>
          <w:rFonts w:ascii="Times New Roman" w:hAnsi="Times New Roman"/>
          <w:b/>
          <w:bCs/>
          <w:color w:val="auto"/>
          <w:sz w:val="30"/>
          <w:szCs w:val="30"/>
        </w:rPr>
      </w:pPr>
      <w:bookmarkStart w:id="9" w:name="_Toc21781"/>
      <w:r>
        <w:rPr>
          <w:rFonts w:ascii="Times New Roman" w:hAnsi="Times New Roman"/>
          <w:b/>
          <w:bCs/>
          <w:color w:val="auto"/>
          <w:sz w:val="30"/>
          <w:szCs w:val="30"/>
        </w:rPr>
        <w:br w:type="page"/>
      </w:r>
    </w:p>
    <w:p>
      <w:pPr>
        <w:adjustRightInd w:val="0"/>
        <w:snapToGrid w:val="0"/>
        <w:spacing w:after="120" w:line="320" w:lineRule="atLeast"/>
        <w:outlineLvl w:val="0"/>
        <w:rPr>
          <w:rFonts w:ascii="Times New Roman" w:hAnsi="Times New Roman"/>
          <w:b/>
          <w:bCs/>
          <w:color w:val="auto"/>
          <w:sz w:val="30"/>
          <w:szCs w:val="30"/>
        </w:rPr>
      </w:pPr>
      <w:r>
        <w:rPr>
          <w:rFonts w:ascii="Times New Roman" w:hAnsi="Times New Roman"/>
          <w:b/>
          <w:bCs/>
          <w:color w:val="auto"/>
          <w:sz w:val="30"/>
          <w:szCs w:val="30"/>
        </w:rPr>
        <w:t>表二、建设项目所在地自然环境社会环境简况</w:t>
      </w:r>
      <w:bookmarkEnd w:id="9"/>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atLeast"/>
              <w:ind w:left="113"/>
              <w:rPr>
                <w:rFonts w:ascii="Times New Roman" w:hAnsi="Times New Roman"/>
                <w:b/>
                <w:bCs/>
                <w:color w:val="auto"/>
              </w:rPr>
            </w:pPr>
            <w:r>
              <w:rPr>
                <w:rFonts w:ascii="Times New Roman" w:hAnsi="Times New Roman"/>
                <w:b/>
                <w:bCs/>
                <w:color w:val="auto"/>
              </w:rPr>
              <w:t>自然环境简况（地形、地貌、地质、气候、水文、植被、生物多样性等）：</w:t>
            </w:r>
          </w:p>
          <w:p>
            <w:pPr>
              <w:pStyle w:val="6"/>
              <w:adjustRightInd w:val="0"/>
              <w:snapToGrid w:val="0"/>
              <w:spacing w:before="163" w:beforeLines="50" w:after="0" w:afterLines="0"/>
              <w:rPr>
                <w:rFonts w:eastAsia="宋体"/>
                <w:b/>
                <w:bCs/>
                <w:color w:val="auto"/>
              </w:rPr>
            </w:pPr>
            <w:r>
              <w:rPr>
                <w:rFonts w:eastAsia="宋体"/>
                <w:b/>
                <w:bCs/>
                <w:color w:val="auto"/>
              </w:rPr>
              <w:t>1、地理位置</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宜良县隶属于昆明市，地处云南省中部、昆明市东南，据昆明市54km，地理坐标为东经102°58′~103°29′，北纬24°31′~25°17′。东临陆良县、石林县，南接弥勒县、华宁县，西与澄江、呈贡县及昆明市官渡区毗邻，北与嵩明县、马龙县相连。</w:t>
            </w:r>
          </w:p>
          <w:p>
            <w:pPr>
              <w:adjustRightInd w:val="0"/>
              <w:snapToGrid w:val="0"/>
              <w:spacing w:line="360" w:lineRule="auto"/>
              <w:ind w:firstLine="480" w:firstLineChars="200"/>
              <w:rPr>
                <w:rFonts w:ascii="Times New Roman" w:hAnsi="Times New Roman"/>
                <w:color w:val="auto"/>
                <w:lang w:val="zh-CN"/>
              </w:rPr>
            </w:pPr>
            <w:r>
              <w:rPr>
                <w:rFonts w:ascii="Times New Roman" w:hAnsi="Times New Roman"/>
                <w:color w:val="auto"/>
              </w:rPr>
              <w:t>项目东临南盘江支流南盘江老河道，南临农田，西临207省道（入厂道路），北临闲置厂房。项目周边200m范围内无居民集中居住区，主要为废品收购站、汽车销售、保养及维修商铺、宜良·滇中汽车文化产业园。距离项目最近的居民集中居住区为项目东北方向230m处的大唐营村。项目周边交通方便，进出物料均可依托现有道路运输。</w:t>
            </w:r>
          </w:p>
          <w:p>
            <w:pPr>
              <w:adjustRightInd w:val="0"/>
              <w:snapToGrid w:val="0"/>
              <w:spacing w:line="360" w:lineRule="auto"/>
              <w:ind w:firstLine="480" w:firstLineChars="200"/>
              <w:rPr>
                <w:rFonts w:ascii="Times New Roman" w:hAnsi="Times New Roman"/>
                <w:color w:val="auto"/>
              </w:rPr>
            </w:pPr>
            <w:bookmarkStart w:id="10" w:name="_Toc246404471"/>
            <w:r>
              <w:rPr>
                <w:rFonts w:ascii="Times New Roman" w:hAnsi="Times New Roman"/>
                <w:color w:val="auto"/>
              </w:rPr>
              <w:t>项目地理</w:t>
            </w:r>
            <w:bookmarkEnd w:id="10"/>
            <w:r>
              <w:rPr>
                <w:rFonts w:ascii="Times New Roman" w:hAnsi="Times New Roman"/>
                <w:color w:val="auto"/>
              </w:rPr>
              <w:t>位置图见附图1，项目周边关系示意图见附图2。</w:t>
            </w:r>
          </w:p>
          <w:p>
            <w:pPr>
              <w:pStyle w:val="6"/>
              <w:adjustRightInd w:val="0"/>
              <w:snapToGrid w:val="0"/>
              <w:spacing w:before="163" w:beforeLines="50" w:after="0" w:afterLines="0"/>
              <w:rPr>
                <w:rFonts w:eastAsia="宋体"/>
                <w:b/>
                <w:bCs/>
                <w:color w:val="auto"/>
              </w:rPr>
            </w:pPr>
            <w:r>
              <w:rPr>
                <w:rFonts w:eastAsia="宋体"/>
                <w:b/>
                <w:bCs/>
                <w:color w:val="auto"/>
              </w:rPr>
              <w:t>2、地形、地貌、地质</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宜良县的地势可称为“带水环山，平畴广野”。地貌以山地为主，盆地、谷地、湖泊地貌次之，山地与小盆地相间为总的地貌特点。东北部为牛头山系西坡南延，其中九乡磨盘山为最高点，海拔为2262米。西部为梁王山系，以汤池老爷山主峰为最高点，海拔2730米，为全县的最高点。南部以竹山总山神为最高点，海拔为2584米，南部的南盘江与巴江汇合处的老熊箐尾巴，海拔1270米，为全县的最低点。县城海拔1536米，全县海拔一般为1500～1800米，最高点与最低点的高差为1460米。较大的坝子有宜良、汤池、马街、草甸四个，与四周山脉丘陵错落相间，全县坝子面积占总面积的11%；较宽的谷地有北羊街、耿家营、竹山三个。据第三次土地普查结果，全县山地面积占总土地面积的88%，坝区（盆地）面积仅占11%，水域占1%。</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受区域构造环境控制，宜良县地质构造较复杂，褶皱和断裂构造发育，构造线走向以南北向和北东向为主。小江断裂和嵩明——华宁断裂为县域境内主干断裂。</w:t>
            </w:r>
          </w:p>
          <w:p>
            <w:pPr>
              <w:pStyle w:val="6"/>
              <w:adjustRightInd w:val="0"/>
              <w:snapToGrid w:val="0"/>
              <w:spacing w:before="163" w:beforeLines="50" w:after="0" w:afterLines="0"/>
              <w:rPr>
                <w:rFonts w:eastAsia="宋体"/>
                <w:b/>
                <w:bCs/>
                <w:color w:val="auto"/>
              </w:rPr>
            </w:pPr>
            <w:r>
              <w:rPr>
                <w:rFonts w:eastAsia="宋体"/>
                <w:b/>
                <w:bCs/>
                <w:color w:val="auto"/>
              </w:rPr>
              <w:t>3、气候、气象</w:t>
            </w:r>
          </w:p>
          <w:p>
            <w:pPr>
              <w:adjustRightInd w:val="0"/>
              <w:snapToGrid w:val="0"/>
              <w:spacing w:line="360" w:lineRule="auto"/>
              <w:ind w:firstLine="480" w:firstLineChars="200"/>
              <w:rPr>
                <w:rFonts w:ascii="Times New Roman" w:hAnsi="Times New Roman"/>
                <w:color w:val="auto"/>
              </w:rPr>
            </w:pPr>
            <w:bookmarkStart w:id="11" w:name="_Toc173617026"/>
            <w:r>
              <w:rPr>
                <w:rFonts w:ascii="Times New Roman" w:hAnsi="Times New Roman"/>
                <w:color w:val="auto"/>
              </w:rPr>
              <w:t>宜良县内气候温和，气候属中亚热带高原季风型气候，具有冬无严寒、夏无酷暑、四季如春、干湿季节分明的气候特点。每年冬季11月至次年4月，因受南亚大陆偏西干暖气流控制，天气晴朗，空气干燥形成旱季，5～10月受孟加拉湾海洋西南季风影响，空气潮湿温暖，形成雨季，雨量显著增加，降雨占全年总降雨量的80～85%。降雨量最大的7、8月。</w:t>
            </w:r>
            <w:r>
              <w:rPr>
                <w:rFonts w:hint="eastAsia" w:ascii="Times New Roman" w:hAnsi="Times New Roman"/>
                <w:color w:val="auto"/>
              </w:rPr>
              <w:t>根据宜良气象站近20年（1998~2018年）的主要地面气象统计资料，各常规气象要素统计见下表。</w:t>
            </w:r>
          </w:p>
          <w:p>
            <w:pPr>
              <w:adjustRightInd w:val="0"/>
              <w:snapToGrid w:val="0"/>
              <w:jc w:val="center"/>
              <w:rPr>
                <w:rFonts w:ascii="Times New Roman" w:hAnsi="Times New Roman"/>
                <w:b/>
                <w:bCs/>
                <w:color w:val="auto"/>
                <w:sz w:val="21"/>
                <w:szCs w:val="21"/>
              </w:rPr>
            </w:pPr>
            <w:r>
              <w:rPr>
                <w:rFonts w:ascii="Times New Roman" w:hAnsi="Times New Roman"/>
                <w:b/>
                <w:color w:val="auto"/>
                <w:sz w:val="21"/>
                <w:szCs w:val="21"/>
              </w:rPr>
              <w:t xml:space="preserve">表2-1 </w:t>
            </w:r>
            <w:r>
              <w:rPr>
                <w:rFonts w:hint="eastAsia" w:ascii="Times New Roman" w:hAnsi="Times New Roman"/>
                <w:b/>
                <w:color w:val="auto"/>
                <w:sz w:val="21"/>
                <w:szCs w:val="21"/>
              </w:rPr>
              <w:t>宜良县</w:t>
            </w:r>
            <w:r>
              <w:rPr>
                <w:rFonts w:ascii="Times New Roman" w:hAnsi="Times New Roman"/>
                <w:b/>
                <w:color w:val="auto"/>
                <w:sz w:val="21"/>
                <w:szCs w:val="21"/>
              </w:rPr>
              <w:t>近20年主要气候特征统计表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1784"/>
              <w:gridCol w:w="1382"/>
              <w:gridCol w:w="863"/>
              <w:gridCol w:w="1927"/>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gridSpan w:val="2"/>
                  <w:vAlign w:val="center"/>
                </w:tcPr>
                <w:p>
                  <w:pPr>
                    <w:adjustRightInd w:val="0"/>
                    <w:snapToGrid w:val="0"/>
                    <w:spacing w:line="360" w:lineRule="exact"/>
                    <w:ind w:left="240"/>
                    <w:jc w:val="center"/>
                    <w:rPr>
                      <w:rFonts w:ascii="Times New Roman" w:hAnsi="Times New Roman"/>
                      <w:b/>
                      <w:bCs/>
                      <w:color w:val="auto"/>
                      <w:sz w:val="21"/>
                      <w:szCs w:val="21"/>
                    </w:rPr>
                  </w:pPr>
                  <w:r>
                    <w:rPr>
                      <w:rFonts w:ascii="Times New Roman" w:hAnsi="Times New Roman"/>
                      <w:b/>
                      <w:bCs/>
                      <w:color w:val="auto"/>
                      <w:sz w:val="21"/>
                      <w:szCs w:val="21"/>
                    </w:rPr>
                    <w:t>项目</w:t>
                  </w:r>
                </w:p>
              </w:tc>
              <w:tc>
                <w:tcPr>
                  <w:tcW w:w="833" w:type="pct"/>
                  <w:vAlign w:val="center"/>
                </w:tcPr>
                <w:p>
                  <w:pPr>
                    <w:adjustRightInd w:val="0"/>
                    <w:snapToGrid w:val="0"/>
                    <w:spacing w:line="360" w:lineRule="exact"/>
                    <w:jc w:val="center"/>
                    <w:rPr>
                      <w:rFonts w:ascii="Times New Roman" w:hAnsi="Times New Roman"/>
                      <w:b/>
                      <w:bCs/>
                      <w:color w:val="auto"/>
                      <w:sz w:val="21"/>
                      <w:szCs w:val="21"/>
                    </w:rPr>
                  </w:pPr>
                  <w:r>
                    <w:rPr>
                      <w:rFonts w:ascii="Times New Roman" w:hAnsi="Times New Roman"/>
                      <w:b/>
                      <w:bCs/>
                      <w:color w:val="auto"/>
                      <w:sz w:val="21"/>
                      <w:szCs w:val="21"/>
                    </w:rPr>
                    <w:t>数量及单位</w:t>
                  </w:r>
                </w:p>
              </w:tc>
              <w:tc>
                <w:tcPr>
                  <w:tcW w:w="1681" w:type="pct"/>
                  <w:gridSpan w:val="2"/>
                  <w:vAlign w:val="center"/>
                </w:tcPr>
                <w:p>
                  <w:pPr>
                    <w:adjustRightInd w:val="0"/>
                    <w:snapToGrid w:val="0"/>
                    <w:spacing w:line="360" w:lineRule="exact"/>
                    <w:ind w:left="240"/>
                    <w:jc w:val="center"/>
                    <w:rPr>
                      <w:rFonts w:ascii="Times New Roman" w:hAnsi="Times New Roman"/>
                      <w:b/>
                      <w:bCs/>
                      <w:color w:val="auto"/>
                      <w:sz w:val="21"/>
                      <w:szCs w:val="21"/>
                    </w:rPr>
                  </w:pPr>
                  <w:r>
                    <w:rPr>
                      <w:rFonts w:ascii="Times New Roman" w:hAnsi="Times New Roman"/>
                      <w:b/>
                      <w:bCs/>
                      <w:color w:val="auto"/>
                      <w:sz w:val="21"/>
                      <w:szCs w:val="21"/>
                    </w:rPr>
                    <w:t>项目</w:t>
                  </w:r>
                </w:p>
              </w:tc>
              <w:tc>
                <w:tcPr>
                  <w:tcW w:w="821" w:type="pct"/>
                  <w:vAlign w:val="center"/>
                </w:tcPr>
                <w:p>
                  <w:pPr>
                    <w:adjustRightInd w:val="0"/>
                    <w:snapToGrid w:val="0"/>
                    <w:spacing w:line="360" w:lineRule="exact"/>
                    <w:jc w:val="center"/>
                    <w:rPr>
                      <w:rFonts w:ascii="Times New Roman" w:hAnsi="Times New Roman"/>
                      <w:b/>
                      <w:bCs/>
                      <w:color w:val="auto"/>
                      <w:sz w:val="21"/>
                      <w:szCs w:val="21"/>
                    </w:rPr>
                  </w:pPr>
                  <w:r>
                    <w:rPr>
                      <w:rFonts w:ascii="Times New Roman" w:hAnsi="Times New Roman"/>
                      <w:b/>
                      <w:bCs/>
                      <w:color w:val="auto"/>
                      <w:sz w:val="21"/>
                      <w:szCs w:val="21"/>
                    </w:rPr>
                    <w:t>数量及单位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Merge w:val="restar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气温</w:t>
                  </w:r>
                </w:p>
              </w:tc>
              <w:tc>
                <w:tcPr>
                  <w:tcW w:w="1075"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年平均气温</w:t>
                  </w:r>
                </w:p>
              </w:tc>
              <w:tc>
                <w:tcPr>
                  <w:tcW w:w="833" w:type="pct"/>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17.4</w:t>
                  </w:r>
                  <w:r>
                    <w:rPr>
                      <w:rFonts w:hint="eastAsia" w:ascii="Times New Roman" w:hAnsi="Times New Roman" w:cs="宋体"/>
                      <w:color w:val="auto"/>
                      <w:sz w:val="21"/>
                      <w:szCs w:val="21"/>
                    </w:rPr>
                    <w:t>℃</w:t>
                  </w:r>
                </w:p>
              </w:tc>
              <w:tc>
                <w:tcPr>
                  <w:tcW w:w="520" w:type="pct"/>
                  <w:vMerge w:val="restar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降雨量</w:t>
                  </w:r>
                </w:p>
              </w:tc>
              <w:tc>
                <w:tcPr>
                  <w:tcW w:w="1161"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年平均降雨量</w:t>
                  </w:r>
                </w:p>
              </w:tc>
              <w:tc>
                <w:tcPr>
                  <w:tcW w:w="821" w:type="pct"/>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847.9</w:t>
                  </w:r>
                  <w:r>
                    <w:rPr>
                      <w:rFonts w:ascii="Times New Roman" w:hAnsi="Times New Roman"/>
                      <w:color w:val="auto"/>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Merge w:val="continue"/>
                  <w:vAlign w:val="center"/>
                </w:tcPr>
                <w:p>
                  <w:pPr>
                    <w:adjustRightInd w:val="0"/>
                    <w:snapToGrid w:val="0"/>
                    <w:spacing w:line="360" w:lineRule="exact"/>
                    <w:jc w:val="center"/>
                    <w:rPr>
                      <w:rFonts w:ascii="Times New Roman" w:hAnsi="Times New Roman"/>
                      <w:color w:val="auto"/>
                      <w:sz w:val="21"/>
                      <w:szCs w:val="21"/>
                    </w:rPr>
                  </w:pPr>
                </w:p>
              </w:tc>
              <w:tc>
                <w:tcPr>
                  <w:tcW w:w="1075"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极端最低气温</w:t>
                  </w:r>
                </w:p>
              </w:tc>
              <w:tc>
                <w:tcPr>
                  <w:tcW w:w="833"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w:t>
                  </w:r>
                  <w:r>
                    <w:rPr>
                      <w:rFonts w:hint="eastAsia" w:ascii="Times New Roman" w:hAnsi="Times New Roman"/>
                      <w:color w:val="auto"/>
                      <w:sz w:val="21"/>
                      <w:szCs w:val="21"/>
                    </w:rPr>
                    <w:t>3.7</w:t>
                  </w:r>
                  <w:r>
                    <w:rPr>
                      <w:rFonts w:hint="eastAsia" w:ascii="Times New Roman" w:hAnsi="Times New Roman" w:cs="宋体"/>
                      <w:color w:val="auto"/>
                      <w:sz w:val="21"/>
                      <w:szCs w:val="21"/>
                    </w:rPr>
                    <w:t>℃</w:t>
                  </w:r>
                </w:p>
              </w:tc>
              <w:tc>
                <w:tcPr>
                  <w:tcW w:w="520" w:type="pct"/>
                  <w:vMerge w:val="continue"/>
                  <w:vAlign w:val="center"/>
                </w:tcPr>
                <w:p>
                  <w:pPr>
                    <w:adjustRightInd w:val="0"/>
                    <w:snapToGrid w:val="0"/>
                    <w:spacing w:line="360" w:lineRule="exact"/>
                    <w:jc w:val="center"/>
                    <w:rPr>
                      <w:rFonts w:ascii="Times New Roman" w:hAnsi="Times New Roman"/>
                      <w:color w:val="auto"/>
                      <w:sz w:val="21"/>
                      <w:szCs w:val="21"/>
                    </w:rPr>
                  </w:pPr>
                </w:p>
              </w:tc>
              <w:tc>
                <w:tcPr>
                  <w:tcW w:w="1161"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最大</w:t>
                  </w:r>
                  <w:r>
                    <w:rPr>
                      <w:rFonts w:hint="eastAsia" w:ascii="Times New Roman" w:hAnsi="Times New Roman"/>
                      <w:color w:val="auto"/>
                      <w:sz w:val="21"/>
                      <w:szCs w:val="21"/>
                    </w:rPr>
                    <w:t>年降雨</w:t>
                  </w:r>
                  <w:r>
                    <w:rPr>
                      <w:rFonts w:ascii="Times New Roman" w:hAnsi="Times New Roman"/>
                      <w:color w:val="auto"/>
                      <w:sz w:val="21"/>
                      <w:szCs w:val="21"/>
                    </w:rPr>
                    <w:t>强度</w:t>
                  </w:r>
                </w:p>
              </w:tc>
              <w:tc>
                <w:tcPr>
                  <w:tcW w:w="821" w:type="pct"/>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1274.7</w:t>
                  </w:r>
                  <w:r>
                    <w:rPr>
                      <w:rFonts w:ascii="Times New Roman" w:hAnsi="Times New Roman"/>
                      <w:color w:val="auto"/>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Merge w:val="continue"/>
                  <w:vAlign w:val="center"/>
                </w:tcPr>
                <w:p>
                  <w:pPr>
                    <w:adjustRightInd w:val="0"/>
                    <w:snapToGrid w:val="0"/>
                    <w:spacing w:line="360" w:lineRule="exact"/>
                    <w:jc w:val="center"/>
                    <w:rPr>
                      <w:rFonts w:ascii="Times New Roman" w:hAnsi="Times New Roman"/>
                      <w:color w:val="auto"/>
                      <w:sz w:val="21"/>
                      <w:szCs w:val="21"/>
                    </w:rPr>
                  </w:pPr>
                </w:p>
              </w:tc>
              <w:tc>
                <w:tcPr>
                  <w:tcW w:w="1075"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极端最高气温</w:t>
                  </w:r>
                </w:p>
              </w:tc>
              <w:tc>
                <w:tcPr>
                  <w:tcW w:w="833" w:type="pct"/>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35.5</w:t>
                  </w:r>
                  <w:r>
                    <w:rPr>
                      <w:rFonts w:hint="eastAsia" w:ascii="Times New Roman" w:hAnsi="Times New Roman" w:cs="宋体"/>
                      <w:color w:val="auto"/>
                      <w:sz w:val="21"/>
                      <w:szCs w:val="21"/>
                    </w:rPr>
                    <w:t>℃</w:t>
                  </w:r>
                </w:p>
              </w:tc>
              <w:tc>
                <w:tcPr>
                  <w:tcW w:w="520" w:type="pct"/>
                  <w:vMerge w:val="restar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日照</w:t>
                  </w:r>
                </w:p>
              </w:tc>
              <w:tc>
                <w:tcPr>
                  <w:tcW w:w="1161"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年平均日照时数</w:t>
                  </w:r>
                </w:p>
              </w:tc>
              <w:tc>
                <w:tcPr>
                  <w:tcW w:w="821" w:type="pct"/>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2129.5</w:t>
                  </w:r>
                  <w:r>
                    <w:rPr>
                      <w:rFonts w:ascii="Times New Roman" w:hAnsi="Times New Roman"/>
                      <w:color w:val="auto"/>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Merge w:val="continue"/>
                  <w:vAlign w:val="center"/>
                </w:tcPr>
                <w:p>
                  <w:pPr>
                    <w:adjustRightInd w:val="0"/>
                    <w:snapToGrid w:val="0"/>
                    <w:spacing w:line="360" w:lineRule="exact"/>
                    <w:jc w:val="center"/>
                    <w:rPr>
                      <w:rFonts w:ascii="Times New Roman" w:hAnsi="Times New Roman"/>
                      <w:color w:val="auto"/>
                      <w:sz w:val="21"/>
                      <w:szCs w:val="21"/>
                    </w:rPr>
                  </w:pPr>
                </w:p>
              </w:tc>
              <w:tc>
                <w:tcPr>
                  <w:tcW w:w="1075"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最冷月平均气温</w:t>
                  </w:r>
                </w:p>
              </w:tc>
              <w:tc>
                <w:tcPr>
                  <w:tcW w:w="833" w:type="pct"/>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10.1</w:t>
                  </w:r>
                  <w:r>
                    <w:rPr>
                      <w:rFonts w:hint="eastAsia" w:ascii="Times New Roman" w:hAnsi="Times New Roman" w:cs="宋体"/>
                      <w:color w:val="auto"/>
                      <w:sz w:val="21"/>
                      <w:szCs w:val="21"/>
                    </w:rPr>
                    <w:t>℃</w:t>
                  </w:r>
                </w:p>
              </w:tc>
              <w:tc>
                <w:tcPr>
                  <w:tcW w:w="520" w:type="pct"/>
                  <w:vMerge w:val="continue"/>
                  <w:vAlign w:val="center"/>
                </w:tcPr>
                <w:p>
                  <w:pPr>
                    <w:adjustRightInd w:val="0"/>
                    <w:snapToGrid w:val="0"/>
                    <w:spacing w:line="360" w:lineRule="exact"/>
                    <w:jc w:val="center"/>
                    <w:rPr>
                      <w:rFonts w:ascii="Times New Roman" w:hAnsi="Times New Roman"/>
                      <w:color w:val="auto"/>
                      <w:sz w:val="21"/>
                      <w:szCs w:val="21"/>
                    </w:rPr>
                  </w:pPr>
                </w:p>
              </w:tc>
              <w:tc>
                <w:tcPr>
                  <w:tcW w:w="1161"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日照时数最多</w:t>
                  </w:r>
                  <w:r>
                    <w:rPr>
                      <w:rFonts w:hint="eastAsia" w:ascii="Times New Roman" w:hAnsi="Times New Roman"/>
                      <w:color w:val="auto"/>
                      <w:sz w:val="21"/>
                      <w:szCs w:val="21"/>
                    </w:rPr>
                    <w:t>四</w:t>
                  </w:r>
                  <w:r>
                    <w:rPr>
                      <w:rFonts w:ascii="Times New Roman" w:hAnsi="Times New Roman"/>
                      <w:color w:val="auto"/>
                      <w:sz w:val="21"/>
                      <w:szCs w:val="21"/>
                    </w:rPr>
                    <w:t>月</w:t>
                  </w:r>
                </w:p>
              </w:tc>
              <w:tc>
                <w:tcPr>
                  <w:tcW w:w="821" w:type="pct"/>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241.9</w:t>
                  </w:r>
                  <w:r>
                    <w:rPr>
                      <w:rFonts w:ascii="Times New Roman" w:hAnsi="Times New Roman"/>
                      <w:color w:val="auto"/>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0" w:type="pct"/>
                  <w:vMerge w:val="continue"/>
                  <w:vAlign w:val="center"/>
                </w:tcPr>
                <w:p>
                  <w:pPr>
                    <w:adjustRightInd w:val="0"/>
                    <w:snapToGrid w:val="0"/>
                    <w:spacing w:line="360" w:lineRule="exact"/>
                    <w:jc w:val="center"/>
                    <w:rPr>
                      <w:rFonts w:ascii="Times New Roman" w:hAnsi="Times New Roman"/>
                      <w:color w:val="auto"/>
                      <w:sz w:val="21"/>
                      <w:szCs w:val="21"/>
                    </w:rPr>
                  </w:pPr>
                </w:p>
              </w:tc>
              <w:tc>
                <w:tcPr>
                  <w:tcW w:w="1075"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最热月平均气温</w:t>
                  </w:r>
                </w:p>
              </w:tc>
              <w:tc>
                <w:tcPr>
                  <w:tcW w:w="833" w:type="pct"/>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22.3</w:t>
                  </w:r>
                  <w:r>
                    <w:rPr>
                      <w:rFonts w:hint="eastAsia" w:ascii="Times New Roman" w:hAnsi="Times New Roman" w:cs="宋体"/>
                      <w:color w:val="auto"/>
                      <w:sz w:val="21"/>
                      <w:szCs w:val="21"/>
                    </w:rPr>
                    <w:t>℃</w:t>
                  </w:r>
                </w:p>
              </w:tc>
              <w:tc>
                <w:tcPr>
                  <w:tcW w:w="520" w:type="pct"/>
                  <w:vMerge w:val="continue"/>
                  <w:vAlign w:val="center"/>
                </w:tcPr>
                <w:p>
                  <w:pPr>
                    <w:adjustRightInd w:val="0"/>
                    <w:snapToGrid w:val="0"/>
                    <w:spacing w:line="360" w:lineRule="exact"/>
                    <w:jc w:val="center"/>
                    <w:rPr>
                      <w:rFonts w:ascii="Times New Roman" w:hAnsi="Times New Roman"/>
                      <w:color w:val="auto"/>
                      <w:sz w:val="21"/>
                      <w:szCs w:val="21"/>
                    </w:rPr>
                  </w:pPr>
                </w:p>
              </w:tc>
              <w:tc>
                <w:tcPr>
                  <w:tcW w:w="1161"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日照时数最少</w:t>
                  </w:r>
                  <w:r>
                    <w:rPr>
                      <w:rFonts w:hint="eastAsia" w:ascii="Times New Roman" w:hAnsi="Times New Roman"/>
                      <w:color w:val="auto"/>
                      <w:sz w:val="21"/>
                      <w:szCs w:val="21"/>
                    </w:rPr>
                    <w:t>九</w:t>
                  </w:r>
                  <w:r>
                    <w:rPr>
                      <w:rFonts w:ascii="Times New Roman" w:hAnsi="Times New Roman"/>
                      <w:color w:val="auto"/>
                      <w:sz w:val="21"/>
                      <w:szCs w:val="21"/>
                    </w:rPr>
                    <w:t>月</w:t>
                  </w:r>
                </w:p>
              </w:tc>
              <w:tc>
                <w:tcPr>
                  <w:tcW w:w="821" w:type="pct"/>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128.3</w:t>
                  </w:r>
                  <w:r>
                    <w:rPr>
                      <w:rFonts w:ascii="Times New Roman" w:hAnsi="Times New Roman"/>
                      <w:color w:val="auto"/>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Merge w:val="restar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风速</w:t>
                  </w:r>
                </w:p>
              </w:tc>
              <w:tc>
                <w:tcPr>
                  <w:tcW w:w="1075" w:type="pct"/>
                  <w:vAlign w:val="center"/>
                </w:tcPr>
                <w:p>
                  <w:pPr>
                    <w:adjustRightInd w:val="0"/>
                    <w:snapToGrid w:val="0"/>
                    <w:spacing w:line="360" w:lineRule="exact"/>
                    <w:ind w:left="240"/>
                    <w:jc w:val="center"/>
                    <w:rPr>
                      <w:rFonts w:ascii="Times New Roman" w:hAnsi="Times New Roman"/>
                      <w:color w:val="auto"/>
                      <w:sz w:val="21"/>
                      <w:szCs w:val="21"/>
                    </w:rPr>
                  </w:pPr>
                  <w:r>
                    <w:rPr>
                      <w:rFonts w:ascii="Times New Roman" w:hAnsi="Times New Roman"/>
                      <w:color w:val="auto"/>
                      <w:sz w:val="21"/>
                      <w:szCs w:val="21"/>
                    </w:rPr>
                    <w:t>年平均风速</w:t>
                  </w:r>
                </w:p>
              </w:tc>
              <w:tc>
                <w:tcPr>
                  <w:tcW w:w="833" w:type="pct"/>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1.9</w:t>
                  </w:r>
                  <w:r>
                    <w:rPr>
                      <w:rFonts w:ascii="Times New Roman" w:hAnsi="Times New Roman"/>
                      <w:color w:val="auto"/>
                      <w:sz w:val="21"/>
                      <w:szCs w:val="21"/>
                    </w:rPr>
                    <w:t>m/s</w:t>
                  </w:r>
                </w:p>
              </w:tc>
              <w:tc>
                <w:tcPr>
                  <w:tcW w:w="520" w:type="pct"/>
                  <w:vMerge w:val="restar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风向</w:t>
                  </w:r>
                </w:p>
              </w:tc>
              <w:tc>
                <w:tcPr>
                  <w:tcW w:w="1161"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全年最多风向</w:t>
                  </w:r>
                </w:p>
              </w:tc>
              <w:tc>
                <w:tcPr>
                  <w:tcW w:w="821" w:type="pct"/>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SS</w:t>
                  </w:r>
                  <w:r>
                    <w:rPr>
                      <w:rFonts w:ascii="Times New Roman" w:hAnsi="Times New Roman"/>
                      <w:color w:val="auto"/>
                      <w:sz w:val="21"/>
                      <w:szCs w:val="21"/>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Merge w:val="continue"/>
                  <w:vAlign w:val="center"/>
                </w:tcPr>
                <w:p>
                  <w:pPr>
                    <w:adjustRightInd w:val="0"/>
                    <w:snapToGrid w:val="0"/>
                    <w:spacing w:line="360" w:lineRule="exact"/>
                    <w:jc w:val="center"/>
                    <w:rPr>
                      <w:rFonts w:ascii="Times New Roman" w:hAnsi="Times New Roman"/>
                      <w:color w:val="auto"/>
                      <w:sz w:val="21"/>
                      <w:szCs w:val="21"/>
                    </w:rPr>
                  </w:pPr>
                </w:p>
              </w:tc>
              <w:tc>
                <w:tcPr>
                  <w:tcW w:w="1075"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瞬时极大风速</w:t>
                  </w:r>
                </w:p>
              </w:tc>
              <w:tc>
                <w:tcPr>
                  <w:tcW w:w="833" w:type="pct"/>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31.2</w:t>
                  </w:r>
                  <w:r>
                    <w:rPr>
                      <w:rFonts w:ascii="Times New Roman" w:hAnsi="Times New Roman"/>
                      <w:color w:val="auto"/>
                      <w:sz w:val="21"/>
                      <w:szCs w:val="21"/>
                    </w:rPr>
                    <w:t>m/s</w:t>
                  </w:r>
                </w:p>
              </w:tc>
              <w:tc>
                <w:tcPr>
                  <w:tcW w:w="520" w:type="pct"/>
                  <w:vMerge w:val="continue"/>
                  <w:vAlign w:val="center"/>
                </w:tcPr>
                <w:p>
                  <w:pPr>
                    <w:adjustRightInd w:val="0"/>
                    <w:snapToGrid w:val="0"/>
                    <w:spacing w:line="360" w:lineRule="exact"/>
                    <w:jc w:val="center"/>
                    <w:rPr>
                      <w:rFonts w:ascii="Times New Roman" w:hAnsi="Times New Roman"/>
                      <w:color w:val="auto"/>
                      <w:sz w:val="21"/>
                      <w:szCs w:val="21"/>
                    </w:rPr>
                  </w:pPr>
                </w:p>
              </w:tc>
              <w:tc>
                <w:tcPr>
                  <w:tcW w:w="1161"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全年次多风向</w:t>
                  </w:r>
                </w:p>
              </w:tc>
              <w:tc>
                <w:tcPr>
                  <w:tcW w:w="821" w:type="pct"/>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气压</w:t>
                  </w:r>
                </w:p>
              </w:tc>
              <w:tc>
                <w:tcPr>
                  <w:tcW w:w="1075"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年平均气压</w:t>
                  </w:r>
                </w:p>
              </w:tc>
              <w:tc>
                <w:tcPr>
                  <w:tcW w:w="833" w:type="pct"/>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845.7</w:t>
                  </w:r>
                  <w:r>
                    <w:rPr>
                      <w:rFonts w:ascii="Times New Roman" w:hAnsi="Times New Roman"/>
                      <w:color w:val="auto"/>
                      <w:sz w:val="21"/>
                      <w:szCs w:val="21"/>
                    </w:rPr>
                    <w:t>hPa</w:t>
                  </w:r>
                </w:p>
              </w:tc>
              <w:tc>
                <w:tcPr>
                  <w:tcW w:w="520" w:type="pct"/>
                  <w:vMerge w:val="continue"/>
                  <w:vAlign w:val="center"/>
                </w:tcPr>
                <w:p>
                  <w:pPr>
                    <w:adjustRightInd w:val="0"/>
                    <w:snapToGrid w:val="0"/>
                    <w:spacing w:line="360" w:lineRule="exact"/>
                    <w:jc w:val="center"/>
                    <w:rPr>
                      <w:rFonts w:ascii="Times New Roman" w:hAnsi="Times New Roman"/>
                      <w:color w:val="auto"/>
                      <w:sz w:val="21"/>
                      <w:szCs w:val="21"/>
                    </w:rPr>
                  </w:pPr>
                </w:p>
              </w:tc>
              <w:tc>
                <w:tcPr>
                  <w:tcW w:w="1161" w:type="pct"/>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全年静风频率</w:t>
                  </w:r>
                </w:p>
              </w:tc>
              <w:tc>
                <w:tcPr>
                  <w:tcW w:w="821" w:type="pct"/>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19.7</w:t>
                  </w:r>
                  <w:r>
                    <w:rPr>
                      <w:rFonts w:ascii="Times New Roman" w:hAnsi="Times New Roman"/>
                      <w:color w:val="auto"/>
                      <w:sz w:val="21"/>
                      <w:szCs w:val="21"/>
                    </w:rPr>
                    <w:t>%</w:t>
                  </w:r>
                </w:p>
              </w:tc>
            </w:tr>
            <w:bookmarkEnd w:id="11"/>
          </w:tbl>
          <w:p>
            <w:pPr>
              <w:pStyle w:val="6"/>
              <w:adjustRightInd w:val="0"/>
              <w:snapToGrid w:val="0"/>
              <w:spacing w:before="163" w:beforeLines="50" w:after="0" w:afterLines="0"/>
              <w:rPr>
                <w:rFonts w:eastAsia="宋体"/>
                <w:b/>
                <w:bCs/>
                <w:color w:val="auto"/>
              </w:rPr>
            </w:pPr>
            <w:r>
              <w:rPr>
                <w:rFonts w:eastAsia="宋体"/>
                <w:b/>
                <w:bCs/>
                <w:color w:val="auto"/>
              </w:rPr>
              <w:t>4、河流水系</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宜良县水资源丰富，全县年产水5.73亿立方，其中地表水4.68亿立方，地下水1.05亿立方，年入境窖水19.96亿立方，年水资源总重量达25.64亿立方。县境内有大小河流36条，属珠江流域水系，经流面积在100平方公里以上的南盘江、贾龙河、麦田河、獐子坝河，摆衣河、巴江等。水能蕴藏量达25.2万千瓦，可开发利用约10万千瓦。境内还有丰富的地下热水资源。另有天然湖泊阳宗海，总面积31.9平方公里，蓄水6亿多立方米；塘坝水库500多个，年蓄水5亿立方米；南盘江龙头水库—柴石滩水库可蓄水5亿立方米。</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南盘江属于</w:t>
            </w:r>
            <w:r>
              <w:rPr>
                <w:color w:val="auto"/>
              </w:rPr>
              <w:fldChar w:fldCharType="begin"/>
            </w:r>
            <w:r>
              <w:rPr>
                <w:color w:val="auto"/>
              </w:rPr>
              <w:instrText xml:space="preserve"> HYPERLINK "http://baike.baidu.com/view/32449.htm" \t "_blank" </w:instrText>
            </w:r>
            <w:r>
              <w:rPr>
                <w:color w:val="auto"/>
              </w:rPr>
              <w:fldChar w:fldCharType="separate"/>
            </w:r>
            <w:r>
              <w:rPr>
                <w:rFonts w:ascii="Times New Roman" w:hAnsi="Times New Roman"/>
                <w:color w:val="auto"/>
              </w:rPr>
              <w:t>珠江</w:t>
            </w:r>
            <w:r>
              <w:rPr>
                <w:rFonts w:ascii="Times New Roman" w:hAnsi="Times New Roman"/>
                <w:color w:val="auto"/>
              </w:rPr>
              <w:fldChar w:fldCharType="end"/>
            </w:r>
            <w:r>
              <w:rPr>
                <w:rFonts w:ascii="Times New Roman" w:hAnsi="Times New Roman"/>
                <w:color w:val="auto"/>
              </w:rPr>
              <w:t>流域干流河段，是珠江的源头河段，1985年被确定为“珠江源”，发源于云南省</w:t>
            </w:r>
            <w:r>
              <w:rPr>
                <w:color w:val="auto"/>
              </w:rPr>
              <w:fldChar w:fldCharType="begin"/>
            </w:r>
            <w:r>
              <w:rPr>
                <w:color w:val="auto"/>
              </w:rPr>
              <w:instrText xml:space="preserve"> HYPERLINK "http://baike.baidu.com/view/613966.htm" \t "_blank" </w:instrText>
            </w:r>
            <w:r>
              <w:rPr>
                <w:color w:val="auto"/>
              </w:rPr>
              <w:fldChar w:fldCharType="separate"/>
            </w:r>
            <w:r>
              <w:rPr>
                <w:rFonts w:ascii="Times New Roman" w:hAnsi="Times New Roman"/>
                <w:color w:val="auto"/>
              </w:rPr>
              <w:t>曲靖市</w:t>
            </w:r>
            <w:r>
              <w:rPr>
                <w:rFonts w:ascii="Times New Roman" w:hAnsi="Times New Roman"/>
                <w:color w:val="auto"/>
              </w:rPr>
              <w:fldChar w:fldCharType="end"/>
            </w:r>
            <w:r>
              <w:rPr>
                <w:color w:val="auto"/>
              </w:rPr>
              <w:fldChar w:fldCharType="begin"/>
            </w:r>
            <w:r>
              <w:rPr>
                <w:color w:val="auto"/>
              </w:rPr>
              <w:instrText xml:space="preserve"> HYPERLINK "http://baike.baidu.com/view/152026.htm" \t "_blank" </w:instrText>
            </w:r>
            <w:r>
              <w:rPr>
                <w:color w:val="auto"/>
              </w:rPr>
              <w:fldChar w:fldCharType="separate"/>
            </w:r>
            <w:r>
              <w:rPr>
                <w:rFonts w:ascii="Times New Roman" w:hAnsi="Times New Roman"/>
                <w:color w:val="auto"/>
              </w:rPr>
              <w:t>乌蒙山</w:t>
            </w:r>
            <w:r>
              <w:rPr>
                <w:rFonts w:ascii="Times New Roman" w:hAnsi="Times New Roman"/>
                <w:color w:val="auto"/>
              </w:rPr>
              <w:fldChar w:fldCharType="end"/>
            </w:r>
            <w:r>
              <w:rPr>
                <w:rFonts w:ascii="Times New Roman" w:hAnsi="Times New Roman"/>
                <w:color w:val="auto"/>
              </w:rPr>
              <w:t>余脉马雄山东麓。南盘江在云南境内43548平方公里。南盘江出源头后，由北往南流经云南省沾益、曲靖、至陆良上折西流，至宜良上折南流，至开远折东北流，至八大河（清水江口）南岸进入广西境，南盘江位于东经102°—106°，北纬23—26°，西北部与金沙江和乌江的分水岭乌蒙山脉，东北与北盘江为邻，南部与郁江的分水岭为都阳山脉，西南与红河的分水岭为横断山脉。省内为三江口至双江口北岸，长264公里，落差425米，平均比降千分之1.61，河口多年平均流量688m³/s，流域面积7831平方公里。南盘江有流域面积在100平方公里以上的一级支流44条</w:t>
            </w:r>
            <w:bookmarkStart w:id="12" w:name="ref_[1]_281329"/>
            <w:bookmarkEnd w:id="12"/>
            <w:r>
              <w:rPr>
                <w:rFonts w:ascii="Times New Roman" w:hAnsi="Times New Roman"/>
                <w:color w:val="auto"/>
              </w:rPr>
              <w:t>，其中，在云南省境内流域大于4411平方公里的一级支流有7条，于左右两岸相间汇入干流。</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项目周边</w:t>
            </w:r>
            <w:r>
              <w:rPr>
                <w:rFonts w:hint="eastAsia" w:ascii="Times New Roman" w:hAnsi="Times New Roman"/>
                <w:color w:val="auto"/>
              </w:rPr>
              <w:t>距离最近</w:t>
            </w:r>
            <w:r>
              <w:rPr>
                <w:rFonts w:ascii="Times New Roman" w:hAnsi="Times New Roman"/>
                <w:color w:val="auto"/>
              </w:rPr>
              <w:t>的河道主要为项目东侧距离100m的南盘江支流南盘江老河道，主要功能为周边农灌和工业取水。环境功能为工业用水、农业用水，属于</w:t>
            </w:r>
            <w:r>
              <w:rPr>
                <w:rFonts w:hint="eastAsia" w:ascii="宋体" w:hAnsi="宋体" w:cs="宋体"/>
                <w:color w:val="auto"/>
              </w:rPr>
              <w:t>Ⅳ</w:t>
            </w:r>
            <w:r>
              <w:rPr>
                <w:rFonts w:ascii="Times New Roman" w:hAnsi="Times New Roman"/>
                <w:color w:val="auto"/>
              </w:rPr>
              <w:t>类水体。</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项目区水系图见附图4。</w:t>
            </w:r>
          </w:p>
          <w:p>
            <w:pPr>
              <w:pStyle w:val="6"/>
              <w:adjustRightInd w:val="0"/>
              <w:snapToGrid w:val="0"/>
              <w:spacing w:before="163" w:beforeLines="50" w:after="0" w:afterLines="0"/>
              <w:rPr>
                <w:rFonts w:eastAsia="宋体"/>
                <w:b/>
                <w:bCs/>
                <w:color w:val="auto"/>
              </w:rPr>
            </w:pPr>
            <w:r>
              <w:rPr>
                <w:rFonts w:eastAsia="宋体"/>
                <w:b/>
                <w:bCs/>
                <w:color w:val="auto"/>
              </w:rPr>
              <w:t>5、土壤、植被</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lang w:val="zh-CN"/>
              </w:rPr>
              <w:t>宜良属云贵高原亚热带植被区，境内森林植被类型为半湿性常绿阔叶林与针叶林。近代自然植被遭到破坏，动植物种群减少。目前，森林类型多为次生云南松和栎类阔叶林组成的混交林。主要植被类型有：</w:t>
            </w:r>
            <w:r>
              <w:rPr>
                <w:rFonts w:hint="eastAsia" w:ascii="宋体" w:hAnsi="宋体" w:cs="宋体"/>
                <w:color w:val="auto"/>
                <w:lang w:val="zh-CN"/>
              </w:rPr>
              <w:t>①</w:t>
            </w:r>
            <w:r>
              <w:rPr>
                <w:rFonts w:ascii="Times New Roman" w:hAnsi="Times New Roman"/>
                <w:color w:val="auto"/>
                <w:lang w:val="zh-CN"/>
              </w:rPr>
              <w:t>分布在海拔</w:t>
            </w:r>
            <w:r>
              <w:rPr>
                <w:rFonts w:ascii="Times New Roman" w:hAnsi="Times New Roman"/>
                <w:color w:val="auto"/>
              </w:rPr>
              <w:t>1600</w:t>
            </w:r>
            <w:r>
              <w:rPr>
                <w:rFonts w:ascii="Times New Roman" w:hAnsi="Times New Roman"/>
                <w:color w:val="auto"/>
                <w:lang w:val="zh-CN"/>
              </w:rPr>
              <w:t>～</w:t>
            </w:r>
            <w:r>
              <w:rPr>
                <w:rFonts w:ascii="Times New Roman" w:hAnsi="Times New Roman"/>
                <w:color w:val="auto"/>
              </w:rPr>
              <w:t>2300</w:t>
            </w:r>
            <w:r>
              <w:rPr>
                <w:rFonts w:ascii="Times New Roman" w:hAnsi="Times New Roman"/>
                <w:color w:val="auto"/>
                <w:lang w:val="zh-CN"/>
              </w:rPr>
              <w:t>米地带的次生云南松和华山松林；</w:t>
            </w:r>
            <w:r>
              <w:rPr>
                <w:rFonts w:hint="eastAsia" w:ascii="宋体" w:hAnsi="宋体" w:cs="宋体"/>
                <w:color w:val="auto"/>
                <w:lang w:val="zh-CN"/>
              </w:rPr>
              <w:t>②</w:t>
            </w:r>
            <w:r>
              <w:rPr>
                <w:rFonts w:ascii="Times New Roman" w:hAnsi="Times New Roman"/>
                <w:color w:val="auto"/>
                <w:lang w:val="zh-CN"/>
              </w:rPr>
              <w:t>河谷灌丛和中山、低中山灌丛；</w:t>
            </w:r>
            <w:r>
              <w:rPr>
                <w:rFonts w:hint="eastAsia" w:ascii="宋体" w:hAnsi="宋体" w:cs="宋体"/>
                <w:color w:val="auto"/>
                <w:lang w:val="zh-CN"/>
              </w:rPr>
              <w:t>③</w:t>
            </w:r>
            <w:r>
              <w:rPr>
                <w:rFonts w:ascii="Times New Roman" w:hAnsi="Times New Roman"/>
                <w:color w:val="auto"/>
                <w:lang w:val="zh-CN"/>
              </w:rPr>
              <w:t>禾本科为主的荒草地；</w:t>
            </w:r>
            <w:r>
              <w:rPr>
                <w:rFonts w:hint="eastAsia" w:ascii="宋体" w:hAnsi="宋体" w:cs="宋体"/>
                <w:color w:val="auto"/>
                <w:lang w:val="zh-CN"/>
              </w:rPr>
              <w:t>④</w:t>
            </w:r>
            <w:r>
              <w:rPr>
                <w:rFonts w:ascii="Times New Roman" w:hAnsi="Times New Roman"/>
                <w:color w:val="auto"/>
                <w:lang w:val="zh-CN"/>
              </w:rPr>
              <w:t>粮食和经济作物为主的农耕地。现有树木主要有云南松、华山松、栎类、桤木、油杉等，灌木主要有楠烛、乌饭、杜鹃、野山茶、山刺槐等。全县森林覆盖率</w:t>
            </w:r>
            <w:r>
              <w:rPr>
                <w:rFonts w:ascii="Times New Roman" w:hAnsi="Times New Roman"/>
                <w:color w:val="auto"/>
              </w:rPr>
              <w:t>46%</w:t>
            </w:r>
            <w:r>
              <w:rPr>
                <w:rFonts w:ascii="Times New Roman" w:hAnsi="Times New Roman"/>
                <w:color w:val="auto"/>
                <w:lang w:val="zh-CN"/>
              </w:rPr>
              <w:t>。</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lang w:val="zh-CN"/>
              </w:rPr>
              <w:t>全县土壤类型有红壤、黄棕壤、紫色土、冲积土、水稻土</w:t>
            </w:r>
            <w:r>
              <w:rPr>
                <w:rFonts w:ascii="Times New Roman" w:hAnsi="Times New Roman"/>
                <w:color w:val="auto"/>
              </w:rPr>
              <w:t>5</w:t>
            </w:r>
            <w:r>
              <w:rPr>
                <w:rFonts w:ascii="Times New Roman" w:hAnsi="Times New Roman"/>
                <w:color w:val="auto"/>
                <w:lang w:val="zh-CN"/>
              </w:rPr>
              <w:t>个土类，以红壤为主，占土壤总面积的</w:t>
            </w:r>
            <w:r>
              <w:rPr>
                <w:rFonts w:ascii="Times New Roman" w:hAnsi="Times New Roman"/>
                <w:color w:val="auto"/>
              </w:rPr>
              <w:t>85.1%</w:t>
            </w:r>
            <w:r>
              <w:rPr>
                <w:rFonts w:ascii="Times New Roman" w:hAnsi="Times New Roman"/>
                <w:color w:val="auto"/>
                <w:lang w:val="zh-CN"/>
              </w:rPr>
              <w:t>，作物宜种性广。县域金属矿藏主要有铁、铜、铅、锌、钴，储量以铁矿石居首位，铅锌次之，铜、钴最少。非金属矿藏主要有煤、磷、石灰石、建筑沙、石膏和重晶石等，煤、石灰石储量最多，其次是磷。铁矿主要分布在九乡兑冲村委会，属堆积残余矿床，赤铁矿为主，其次是褐铁矿，储量</w:t>
            </w:r>
            <w:r>
              <w:rPr>
                <w:rFonts w:ascii="Times New Roman" w:hAnsi="Times New Roman"/>
                <w:color w:val="auto"/>
              </w:rPr>
              <w:t>364</w:t>
            </w:r>
            <w:r>
              <w:rPr>
                <w:rFonts w:ascii="Times New Roman" w:hAnsi="Times New Roman"/>
                <w:color w:val="auto"/>
                <w:lang w:val="zh-CN"/>
              </w:rPr>
              <w:t>万吨，品位</w:t>
            </w:r>
            <w:r>
              <w:rPr>
                <w:rFonts w:ascii="Times New Roman" w:hAnsi="Times New Roman"/>
                <w:color w:val="auto"/>
              </w:rPr>
              <w:t>51.07%</w:t>
            </w:r>
            <w:r>
              <w:rPr>
                <w:rFonts w:ascii="Times New Roman" w:hAnsi="Times New Roman"/>
                <w:color w:val="auto"/>
                <w:lang w:val="zh-CN"/>
              </w:rPr>
              <w:t>，另在狗街镇新村有矿点，以褐铁矿为主，品位</w:t>
            </w:r>
            <w:r>
              <w:rPr>
                <w:rFonts w:ascii="Times New Roman" w:hAnsi="Times New Roman"/>
                <w:color w:val="auto"/>
              </w:rPr>
              <w:t>30%</w:t>
            </w:r>
            <w:r>
              <w:rPr>
                <w:rFonts w:ascii="Times New Roman" w:hAnsi="Times New Roman"/>
                <w:color w:val="auto"/>
                <w:lang w:val="zh-CN"/>
              </w:rPr>
              <w:t>左右。铅锌主要分布在九乡兑冲村一带，属小型铅锌矿，铅储量</w:t>
            </w:r>
            <w:r>
              <w:rPr>
                <w:rFonts w:ascii="Times New Roman" w:hAnsi="Times New Roman"/>
                <w:color w:val="auto"/>
              </w:rPr>
              <w:t>5.75</w:t>
            </w:r>
            <w:r>
              <w:rPr>
                <w:rFonts w:ascii="Times New Roman" w:hAnsi="Times New Roman"/>
                <w:color w:val="auto"/>
                <w:lang w:val="zh-CN"/>
              </w:rPr>
              <w:t>万吨，锌</w:t>
            </w:r>
            <w:r>
              <w:rPr>
                <w:rFonts w:ascii="Times New Roman" w:hAnsi="Times New Roman"/>
                <w:color w:val="auto"/>
              </w:rPr>
              <w:t>6.85</w:t>
            </w:r>
            <w:r>
              <w:rPr>
                <w:rFonts w:ascii="Times New Roman" w:hAnsi="Times New Roman"/>
                <w:color w:val="auto"/>
                <w:lang w:val="zh-CN"/>
              </w:rPr>
              <w:t>万吨。铅平均品位</w:t>
            </w:r>
            <w:r>
              <w:rPr>
                <w:rFonts w:ascii="Times New Roman" w:hAnsi="Times New Roman"/>
                <w:color w:val="auto"/>
              </w:rPr>
              <w:t>1.53%</w:t>
            </w:r>
            <w:r>
              <w:rPr>
                <w:rFonts w:ascii="Times New Roman" w:hAnsi="Times New Roman"/>
                <w:color w:val="auto"/>
                <w:lang w:val="zh-CN"/>
              </w:rPr>
              <w:t>，锌平均品位</w:t>
            </w:r>
            <w:r>
              <w:rPr>
                <w:rFonts w:ascii="Times New Roman" w:hAnsi="Times New Roman"/>
                <w:color w:val="auto"/>
              </w:rPr>
              <w:t>1.42%</w:t>
            </w:r>
            <w:r>
              <w:rPr>
                <w:rFonts w:ascii="Times New Roman" w:hAnsi="Times New Roman"/>
                <w:color w:val="auto"/>
                <w:lang w:val="zh-CN"/>
              </w:rPr>
              <w:t>。另在草甸镇、南羊镇、狗街镇亦有小型矿点。煤炭资源丰富，全县地质储量</w:t>
            </w:r>
            <w:r>
              <w:rPr>
                <w:rFonts w:ascii="Times New Roman" w:hAnsi="Times New Roman"/>
                <w:color w:val="auto"/>
              </w:rPr>
              <w:t>4.49</w:t>
            </w:r>
            <w:r>
              <w:rPr>
                <w:rFonts w:ascii="Times New Roman" w:hAnsi="Times New Roman"/>
                <w:color w:val="auto"/>
                <w:lang w:val="zh-CN"/>
              </w:rPr>
              <w:t>亿吨，工业储量</w:t>
            </w:r>
            <w:r>
              <w:rPr>
                <w:rFonts w:ascii="Times New Roman" w:hAnsi="Times New Roman"/>
                <w:color w:val="auto"/>
              </w:rPr>
              <w:t>3.43</w:t>
            </w:r>
            <w:r>
              <w:rPr>
                <w:rFonts w:ascii="Times New Roman" w:hAnsi="Times New Roman"/>
                <w:color w:val="auto"/>
                <w:lang w:val="zh-CN"/>
              </w:rPr>
              <w:t>亿吨。汤池镇褐煤地质储量</w:t>
            </w:r>
            <w:r>
              <w:rPr>
                <w:rFonts w:ascii="Times New Roman" w:hAnsi="Times New Roman"/>
                <w:color w:val="auto"/>
              </w:rPr>
              <w:t>2.85</w:t>
            </w:r>
            <w:r>
              <w:rPr>
                <w:rFonts w:ascii="Times New Roman" w:hAnsi="Times New Roman"/>
                <w:color w:val="auto"/>
                <w:lang w:val="zh-CN"/>
              </w:rPr>
              <w:t>亿吨，由云南省凤鸣、可保煤矿开采，马街乡褐煤地质储量</w:t>
            </w:r>
            <w:r>
              <w:rPr>
                <w:rFonts w:ascii="Times New Roman" w:hAnsi="Times New Roman"/>
                <w:color w:val="auto"/>
              </w:rPr>
              <w:t>0.5</w:t>
            </w:r>
            <w:r>
              <w:rPr>
                <w:rFonts w:ascii="Times New Roman" w:hAnsi="Times New Roman"/>
                <w:color w:val="auto"/>
                <w:lang w:val="zh-CN"/>
              </w:rPr>
              <w:t>亿吨，南羊镇褐煤地质储量</w:t>
            </w:r>
            <w:r>
              <w:rPr>
                <w:rFonts w:ascii="Times New Roman" w:hAnsi="Times New Roman"/>
                <w:color w:val="auto"/>
              </w:rPr>
              <w:t>414</w:t>
            </w:r>
            <w:r>
              <w:rPr>
                <w:rFonts w:ascii="Times New Roman" w:hAnsi="Times New Roman"/>
                <w:color w:val="auto"/>
                <w:lang w:val="zh-CN"/>
              </w:rPr>
              <w:t>万吨。石灰石分布较广，九乡、耿家营、汤池、北古城、狗街、竹山等乡镇均有矿床。磷矿分布面积约</w:t>
            </w:r>
            <w:r>
              <w:rPr>
                <w:rFonts w:ascii="Times New Roman" w:hAnsi="Times New Roman"/>
                <w:color w:val="auto"/>
              </w:rPr>
              <w:t>15</w:t>
            </w:r>
            <w:r>
              <w:rPr>
                <w:rFonts w:ascii="Times New Roman" w:hAnsi="Times New Roman"/>
                <w:color w:val="auto"/>
                <w:lang w:val="zh-CN"/>
              </w:rPr>
              <w:t>平方千米，主要在九乡、竹山，其次在汤池、狗街、草甸等处，品位一般为</w:t>
            </w:r>
            <w:r>
              <w:rPr>
                <w:rFonts w:ascii="Times New Roman" w:hAnsi="Times New Roman"/>
                <w:color w:val="auto"/>
              </w:rPr>
              <w:t>24%</w:t>
            </w:r>
            <w:r>
              <w:rPr>
                <w:rFonts w:ascii="Times New Roman" w:hAnsi="Times New Roman"/>
                <w:color w:val="auto"/>
                <w:lang w:val="zh-CN"/>
              </w:rPr>
              <w:t>左右，个别矿段品位达</w:t>
            </w:r>
            <w:r>
              <w:rPr>
                <w:rFonts w:ascii="Times New Roman" w:hAnsi="Times New Roman"/>
                <w:color w:val="auto"/>
              </w:rPr>
              <w:t>30%。</w:t>
            </w:r>
          </w:p>
          <w:p>
            <w:pPr>
              <w:pStyle w:val="6"/>
              <w:adjustRightInd w:val="0"/>
              <w:snapToGrid w:val="0"/>
              <w:spacing w:before="163" w:beforeLines="50" w:after="0" w:afterLines="0"/>
              <w:rPr>
                <w:rFonts w:eastAsia="宋体"/>
                <w:b/>
                <w:bCs/>
                <w:color w:val="auto"/>
              </w:rPr>
            </w:pPr>
            <w:r>
              <w:rPr>
                <w:rFonts w:eastAsia="宋体"/>
                <w:b/>
                <w:bCs/>
                <w:color w:val="auto"/>
              </w:rPr>
              <w:t>6、风景名胜及文物保护单位</w:t>
            </w:r>
          </w:p>
          <w:p>
            <w:pPr>
              <w:adjustRightInd w:val="0"/>
              <w:snapToGrid w:val="0"/>
              <w:spacing w:line="360" w:lineRule="auto"/>
              <w:ind w:firstLine="480" w:firstLineChars="200"/>
              <w:rPr>
                <w:rFonts w:ascii="Times New Roman" w:hAnsi="Times New Roman"/>
                <w:color w:val="auto"/>
                <w:lang w:val="zh-CN"/>
              </w:rPr>
            </w:pPr>
            <w:r>
              <w:rPr>
                <w:rFonts w:hint="eastAsia" w:ascii="Times New Roman" w:hAnsi="Times New Roman"/>
                <w:color w:val="auto"/>
                <w:lang w:val="zh-CN"/>
              </w:rPr>
              <w:t>根据</w:t>
            </w:r>
            <w:r>
              <w:rPr>
                <w:rFonts w:ascii="Times New Roman" w:hAnsi="Times New Roman"/>
                <w:color w:val="auto"/>
                <w:lang w:val="zh-CN"/>
              </w:rPr>
              <w:t>现场踏勘</w:t>
            </w:r>
            <w:r>
              <w:rPr>
                <w:rFonts w:hint="eastAsia" w:ascii="Times New Roman" w:hAnsi="Times New Roman"/>
                <w:color w:val="auto"/>
                <w:lang w:val="zh-CN"/>
              </w:rPr>
              <w:t>和资料收集</w:t>
            </w:r>
            <w:r>
              <w:rPr>
                <w:rFonts w:ascii="Times New Roman" w:hAnsi="Times New Roman"/>
                <w:color w:val="auto"/>
                <w:lang w:val="zh-CN"/>
              </w:rPr>
              <w:t>，本项目</w:t>
            </w:r>
            <w:r>
              <w:rPr>
                <w:rFonts w:hint="eastAsia" w:ascii="Times New Roman" w:hAnsi="Times New Roman"/>
                <w:color w:val="auto"/>
                <w:lang w:val="zh-CN"/>
              </w:rPr>
              <w:t>评价范围内不涉及</w:t>
            </w:r>
            <w:r>
              <w:rPr>
                <w:rFonts w:ascii="Times New Roman" w:hAnsi="Times New Roman"/>
                <w:color w:val="auto"/>
                <w:lang w:val="zh-CN"/>
              </w:rPr>
              <w:t>文物保护单位、自然保护区、风景名胜区等</w:t>
            </w:r>
            <w:r>
              <w:rPr>
                <w:rFonts w:hint="eastAsia" w:ascii="Times New Roman" w:hAnsi="Times New Roman"/>
                <w:color w:val="auto"/>
                <w:lang w:val="zh-CN"/>
              </w:rPr>
              <w:t>需要特殊保护的区域</w:t>
            </w:r>
            <w:r>
              <w:rPr>
                <w:rFonts w:ascii="Times New Roman" w:hAnsi="Times New Roman"/>
                <w:color w:val="auto"/>
                <w:lang w:val="zh-CN"/>
              </w:rPr>
              <w:t>。</w:t>
            </w:r>
          </w:p>
          <w:p>
            <w:pPr>
              <w:adjustRightInd w:val="0"/>
              <w:snapToGrid w:val="0"/>
              <w:spacing w:line="360" w:lineRule="auto"/>
              <w:ind w:firstLine="480" w:firstLineChars="200"/>
              <w:rPr>
                <w:rFonts w:ascii="Times New Roman" w:hAnsi="Times New Roman"/>
                <w:color w:val="auto"/>
                <w:lang w:val="zh-CN"/>
              </w:rPr>
            </w:pPr>
          </w:p>
          <w:p>
            <w:pPr>
              <w:adjustRightInd w:val="0"/>
              <w:snapToGrid w:val="0"/>
              <w:spacing w:line="360" w:lineRule="auto"/>
              <w:ind w:firstLine="480" w:firstLineChars="200"/>
              <w:rPr>
                <w:rFonts w:ascii="Times New Roman" w:hAnsi="Times New Roman"/>
                <w:color w:val="auto"/>
                <w:lang w:val="zh-CN"/>
              </w:rPr>
            </w:pPr>
          </w:p>
          <w:p>
            <w:pPr>
              <w:adjustRightInd w:val="0"/>
              <w:snapToGrid w:val="0"/>
              <w:spacing w:line="360" w:lineRule="auto"/>
              <w:ind w:firstLine="480" w:firstLineChars="200"/>
              <w:rPr>
                <w:rFonts w:ascii="Times New Roman" w:hAnsi="Times New Roman"/>
                <w:color w:val="auto"/>
                <w:lang w:val="zh-CN"/>
              </w:rPr>
            </w:pPr>
          </w:p>
          <w:p>
            <w:pPr>
              <w:adjustRightInd w:val="0"/>
              <w:snapToGrid w:val="0"/>
              <w:spacing w:line="360" w:lineRule="auto"/>
              <w:ind w:firstLine="480" w:firstLineChars="200"/>
              <w:rPr>
                <w:rFonts w:ascii="Times New Roman" w:hAnsi="Times New Roman"/>
                <w:color w:val="auto"/>
                <w:lang w:val="zh-CN"/>
              </w:rPr>
            </w:pPr>
          </w:p>
          <w:p>
            <w:pPr>
              <w:adjustRightInd w:val="0"/>
              <w:snapToGrid w:val="0"/>
              <w:spacing w:line="360" w:lineRule="auto"/>
              <w:ind w:firstLine="480" w:firstLineChars="200"/>
              <w:rPr>
                <w:rFonts w:ascii="Times New Roman" w:hAnsi="Times New Roman"/>
                <w:color w:val="auto"/>
                <w:lang w:val="zh-CN"/>
              </w:rPr>
            </w:pPr>
          </w:p>
          <w:p>
            <w:pPr>
              <w:adjustRightInd w:val="0"/>
              <w:snapToGrid w:val="0"/>
              <w:spacing w:line="360" w:lineRule="auto"/>
              <w:ind w:firstLine="480" w:firstLineChars="200"/>
              <w:rPr>
                <w:rFonts w:ascii="Times New Roman" w:hAnsi="Times New Roman"/>
                <w:color w:val="auto"/>
                <w:lang w:val="zh-CN"/>
              </w:rPr>
            </w:pPr>
          </w:p>
          <w:p>
            <w:pPr>
              <w:adjustRightInd w:val="0"/>
              <w:snapToGrid w:val="0"/>
              <w:spacing w:line="360" w:lineRule="auto"/>
              <w:ind w:firstLine="480" w:firstLineChars="200"/>
              <w:rPr>
                <w:rFonts w:ascii="Times New Roman" w:hAnsi="Times New Roman"/>
                <w:color w:val="auto"/>
                <w:lang w:val="zh-CN"/>
              </w:rPr>
            </w:pPr>
          </w:p>
          <w:p>
            <w:pPr>
              <w:pStyle w:val="16"/>
              <w:adjustRightInd w:val="0"/>
              <w:snapToGrid w:val="0"/>
              <w:rPr>
                <w:rFonts w:ascii="Times New Roman" w:hAnsi="Times New Roman"/>
                <w:color w:val="auto"/>
                <w:lang w:val="zh-CN"/>
              </w:rPr>
            </w:pPr>
          </w:p>
          <w:p>
            <w:pPr>
              <w:adjustRightInd w:val="0"/>
              <w:snapToGrid w:val="0"/>
              <w:spacing w:line="360" w:lineRule="auto"/>
              <w:ind w:firstLine="480" w:firstLineChars="200"/>
              <w:rPr>
                <w:rFonts w:ascii="Times New Roman" w:hAnsi="Times New Roman"/>
                <w:color w:val="auto"/>
                <w:lang w:val="zh-CN"/>
              </w:rPr>
            </w:pPr>
          </w:p>
          <w:p>
            <w:pPr>
              <w:adjustRightInd w:val="0"/>
              <w:snapToGrid w:val="0"/>
              <w:spacing w:line="360" w:lineRule="auto"/>
              <w:ind w:firstLine="480" w:firstLineChars="200"/>
              <w:rPr>
                <w:rFonts w:ascii="Times New Roman" w:hAnsi="Times New Roman"/>
                <w:color w:val="auto"/>
                <w:lang w:val="zh-CN"/>
              </w:rPr>
            </w:pPr>
          </w:p>
          <w:p>
            <w:pPr>
              <w:adjustRightInd w:val="0"/>
              <w:snapToGrid w:val="0"/>
              <w:spacing w:line="360" w:lineRule="auto"/>
              <w:ind w:firstLine="480" w:firstLineChars="200"/>
              <w:rPr>
                <w:rFonts w:ascii="Times New Roman" w:hAnsi="Times New Roman"/>
                <w:color w:val="auto"/>
                <w:lang w:val="zh-CN"/>
              </w:rPr>
            </w:pPr>
          </w:p>
          <w:p>
            <w:pPr>
              <w:adjustRightInd w:val="0"/>
              <w:snapToGrid w:val="0"/>
              <w:spacing w:line="360" w:lineRule="auto"/>
              <w:ind w:firstLine="480" w:firstLineChars="200"/>
              <w:rPr>
                <w:rFonts w:ascii="Times New Roman" w:hAnsi="Times New Roman"/>
                <w:color w:val="auto"/>
                <w:lang w:val="zh-CN"/>
              </w:rPr>
            </w:pPr>
          </w:p>
          <w:p>
            <w:pPr>
              <w:adjustRightInd w:val="0"/>
              <w:snapToGrid w:val="0"/>
              <w:rPr>
                <w:rFonts w:ascii="Times New Roman" w:hAnsi="Times New Roman"/>
                <w:color w:val="auto"/>
                <w:lang w:val="zh-CN"/>
              </w:rPr>
            </w:pPr>
          </w:p>
          <w:p>
            <w:pPr>
              <w:pStyle w:val="2"/>
              <w:adjustRightInd w:val="0"/>
              <w:snapToGrid w:val="0"/>
              <w:rPr>
                <w:rFonts w:ascii="Times New Roman" w:hAnsi="Times New Roman" w:cs="Times New Roman"/>
                <w:color w:val="auto"/>
                <w:lang w:val="zh-CN"/>
              </w:rPr>
            </w:pPr>
          </w:p>
          <w:p>
            <w:pPr>
              <w:rPr>
                <w:color w:val="auto"/>
                <w:lang w:val="zh-CN"/>
              </w:rPr>
            </w:pPr>
          </w:p>
          <w:p>
            <w:pPr>
              <w:pStyle w:val="37"/>
              <w:ind w:firstLine="480"/>
              <w:rPr>
                <w:color w:val="auto"/>
                <w:lang w:val="zh-CN"/>
              </w:rPr>
            </w:pPr>
          </w:p>
          <w:p>
            <w:pPr>
              <w:pStyle w:val="36"/>
              <w:ind w:firstLine="240"/>
              <w:rPr>
                <w:color w:val="auto"/>
                <w:lang w:val="zh-CN"/>
              </w:rPr>
            </w:pPr>
          </w:p>
          <w:p>
            <w:pPr>
              <w:rPr>
                <w:color w:val="auto"/>
                <w:lang w:val="zh-CN"/>
              </w:rPr>
            </w:pPr>
          </w:p>
          <w:p>
            <w:pPr>
              <w:pStyle w:val="37"/>
              <w:ind w:firstLine="480"/>
              <w:rPr>
                <w:color w:val="auto"/>
                <w:lang w:val="zh-CN"/>
              </w:rPr>
            </w:pPr>
          </w:p>
          <w:p>
            <w:pPr>
              <w:pStyle w:val="36"/>
              <w:ind w:firstLine="240"/>
              <w:rPr>
                <w:color w:val="auto"/>
                <w:lang w:val="zh-CN"/>
              </w:rPr>
            </w:pPr>
          </w:p>
          <w:p>
            <w:pPr>
              <w:rPr>
                <w:color w:val="auto"/>
                <w:lang w:val="zh-CN"/>
              </w:rPr>
            </w:pPr>
          </w:p>
          <w:p>
            <w:pPr>
              <w:pStyle w:val="37"/>
              <w:ind w:firstLine="480"/>
              <w:rPr>
                <w:color w:val="auto"/>
                <w:lang w:val="zh-CN"/>
              </w:rPr>
            </w:pPr>
          </w:p>
          <w:p>
            <w:pPr>
              <w:pStyle w:val="36"/>
              <w:ind w:firstLine="240"/>
              <w:rPr>
                <w:color w:val="auto"/>
                <w:lang w:val="zh-CN"/>
              </w:rPr>
            </w:pPr>
          </w:p>
          <w:p>
            <w:pPr>
              <w:adjustRightInd w:val="0"/>
              <w:snapToGrid w:val="0"/>
              <w:spacing w:line="360" w:lineRule="auto"/>
              <w:rPr>
                <w:rFonts w:ascii="Times New Roman" w:hAnsi="Times New Roman"/>
                <w:color w:val="auto"/>
              </w:rPr>
            </w:pPr>
          </w:p>
          <w:p>
            <w:pPr>
              <w:pStyle w:val="2"/>
              <w:adjustRightInd w:val="0"/>
              <w:snapToGrid w:val="0"/>
              <w:rPr>
                <w:rFonts w:ascii="Times New Roman" w:hAnsi="Times New Roman" w:cs="Times New Roman"/>
                <w:color w:val="auto"/>
              </w:rPr>
            </w:pPr>
          </w:p>
        </w:tc>
      </w:tr>
    </w:tbl>
    <w:p>
      <w:pPr>
        <w:adjustRightInd w:val="0"/>
        <w:snapToGrid w:val="0"/>
        <w:spacing w:after="120" w:line="320" w:lineRule="atLeast"/>
        <w:outlineLvl w:val="0"/>
        <w:rPr>
          <w:rFonts w:ascii="Times New Roman" w:hAnsi="Times New Roman"/>
          <w:b/>
          <w:bCs/>
          <w:color w:val="auto"/>
          <w:sz w:val="30"/>
          <w:szCs w:val="30"/>
        </w:rPr>
      </w:pPr>
      <w:bookmarkStart w:id="13" w:name="_Toc7075"/>
      <w:r>
        <w:rPr>
          <w:rFonts w:ascii="Times New Roman" w:hAnsi="Times New Roman"/>
          <w:b/>
          <w:bCs/>
          <w:color w:val="auto"/>
          <w:sz w:val="30"/>
          <w:szCs w:val="30"/>
        </w:rPr>
        <w:br w:type="page"/>
      </w:r>
    </w:p>
    <w:p>
      <w:pPr>
        <w:adjustRightInd w:val="0"/>
        <w:snapToGrid w:val="0"/>
        <w:spacing w:after="120" w:line="320" w:lineRule="atLeast"/>
        <w:outlineLvl w:val="0"/>
        <w:rPr>
          <w:rFonts w:ascii="Times New Roman" w:hAnsi="Times New Roman"/>
          <w:b/>
          <w:bCs/>
          <w:color w:val="auto"/>
          <w:sz w:val="30"/>
          <w:szCs w:val="30"/>
        </w:rPr>
      </w:pPr>
      <w:r>
        <w:rPr>
          <w:rFonts w:ascii="Times New Roman" w:hAnsi="Times New Roman"/>
          <w:b/>
          <w:bCs/>
          <w:color w:val="auto"/>
          <w:sz w:val="30"/>
          <w:szCs w:val="30"/>
        </w:rPr>
        <w:t>表三、环境质量状况</w:t>
      </w:r>
      <w:bookmarkEnd w:id="13"/>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line="360" w:lineRule="auto"/>
              <w:rPr>
                <w:rFonts w:ascii="Times New Roman" w:hAnsi="Times New Roman"/>
                <w:b/>
                <w:bCs/>
                <w:color w:val="auto"/>
                <w:sz w:val="28"/>
                <w:szCs w:val="28"/>
              </w:rPr>
            </w:pPr>
            <w:r>
              <w:rPr>
                <w:rFonts w:ascii="Times New Roman" w:hAnsi="Times New Roman"/>
                <w:b/>
                <w:bCs/>
                <w:color w:val="auto"/>
                <w:sz w:val="28"/>
                <w:szCs w:val="28"/>
              </w:rPr>
              <w:t xml:space="preserve">建设项目所在地区域环境质量现状及主要环境问题（环境空气、地面水、地下水、声环境、生态环境等） </w:t>
            </w:r>
          </w:p>
          <w:p>
            <w:pPr>
              <w:adjustRightInd w:val="0"/>
              <w:snapToGrid w:val="0"/>
              <w:spacing w:line="360" w:lineRule="auto"/>
              <w:rPr>
                <w:rFonts w:ascii="Times New Roman" w:hAnsi="Times New Roman"/>
                <w:color w:val="auto"/>
                <w:sz w:val="28"/>
                <w:szCs w:val="28"/>
                <w:vertAlign w:val="superscript"/>
              </w:rPr>
            </w:pPr>
            <w:r>
              <w:rPr>
                <w:rFonts w:ascii="Times New Roman" w:hAnsi="Times New Roman"/>
                <w:b/>
                <w:bCs/>
                <w:color w:val="auto"/>
              </w:rPr>
              <w:t>1、环境空气质量</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（1）</w:t>
            </w:r>
            <w:r>
              <w:rPr>
                <w:rFonts w:hint="eastAsia" w:ascii="Times New Roman" w:hAnsi="Times New Roman"/>
                <w:color w:val="auto"/>
              </w:rPr>
              <w:t>达标区判断</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①</w:t>
            </w:r>
            <w:r>
              <w:rPr>
                <w:rFonts w:ascii="Times New Roman" w:hAnsi="Times New Roman"/>
                <w:color w:val="auto"/>
              </w:rPr>
              <w:t>环境质量公报</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本次区域达标判断以2019年为基准年，</w:t>
            </w:r>
            <w:r>
              <w:rPr>
                <w:rFonts w:hint="eastAsia" w:ascii="Times New Roman" w:hAnsi="Times New Roman"/>
                <w:color w:val="auto"/>
              </w:rPr>
              <w:t>根据</w:t>
            </w:r>
            <w:r>
              <w:rPr>
                <w:rFonts w:ascii="Times New Roman" w:hAnsi="Times New Roman"/>
                <w:color w:val="auto"/>
              </w:rPr>
              <w:t>《2019年昆明市环境状况公报》2019年宜良空气可吸入颗粒物（PM</w:t>
            </w:r>
            <w:r>
              <w:rPr>
                <w:rFonts w:ascii="Times New Roman" w:hAnsi="Times New Roman"/>
                <w:color w:val="auto"/>
                <w:vertAlign w:val="subscript"/>
              </w:rPr>
              <w:t>10</w:t>
            </w:r>
            <w:r>
              <w:rPr>
                <w:rFonts w:ascii="Times New Roman" w:hAnsi="Times New Roman"/>
                <w:color w:val="auto"/>
              </w:rPr>
              <w:t>）、细颗粒物（PM</w:t>
            </w:r>
            <w:r>
              <w:rPr>
                <w:rFonts w:ascii="Times New Roman" w:hAnsi="Times New Roman"/>
                <w:color w:val="auto"/>
                <w:vertAlign w:val="subscript"/>
              </w:rPr>
              <w:t>2.5</w:t>
            </w:r>
            <w:r>
              <w:rPr>
                <w:rFonts w:ascii="Times New Roman" w:hAnsi="Times New Roman"/>
                <w:color w:val="auto"/>
              </w:rPr>
              <w:t>）、二氧化硫（SO</w:t>
            </w:r>
            <w:r>
              <w:rPr>
                <w:rFonts w:ascii="Times New Roman" w:hAnsi="Times New Roman"/>
                <w:color w:val="auto"/>
                <w:vertAlign w:val="subscript"/>
              </w:rPr>
              <w:t>2</w:t>
            </w:r>
            <w:r>
              <w:rPr>
                <w:rFonts w:ascii="Times New Roman" w:hAnsi="Times New Roman"/>
                <w:color w:val="auto"/>
              </w:rPr>
              <w:t>）、二氧化氮（NO</w:t>
            </w:r>
            <w:r>
              <w:rPr>
                <w:rFonts w:ascii="Times New Roman" w:hAnsi="Times New Roman"/>
                <w:color w:val="auto"/>
                <w:vertAlign w:val="subscript"/>
              </w:rPr>
              <w:t>2</w:t>
            </w:r>
            <w:r>
              <w:rPr>
                <w:rFonts w:ascii="Times New Roman" w:hAnsi="Times New Roman"/>
                <w:color w:val="auto"/>
              </w:rPr>
              <w:t>）、一氧化碳（CO）、臭氧（O</w:t>
            </w:r>
            <w:r>
              <w:rPr>
                <w:rFonts w:ascii="Times New Roman" w:hAnsi="Times New Roman"/>
                <w:color w:val="auto"/>
                <w:vertAlign w:val="subscript"/>
              </w:rPr>
              <w:t>3</w:t>
            </w:r>
            <w:r>
              <w:rPr>
                <w:rFonts w:ascii="Times New Roman" w:hAnsi="Times New Roman"/>
                <w:color w:val="auto"/>
              </w:rPr>
              <w:t>）年平均浓度符合</w:t>
            </w:r>
            <w:r>
              <w:rPr>
                <w:rFonts w:ascii="Times New Roman" w:hAnsi="Times New Roman"/>
                <w:color w:val="auto"/>
                <w:szCs w:val="22"/>
              </w:rPr>
              <w:t>《环境空气质量标准》（GB3095-2012）</w:t>
            </w:r>
            <w:r>
              <w:rPr>
                <w:rFonts w:ascii="Times New Roman" w:hAnsi="Times New Roman"/>
                <w:color w:val="auto"/>
              </w:rPr>
              <w:t>二级标准限值要求。</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②</w:t>
            </w:r>
            <w:r>
              <w:rPr>
                <w:rFonts w:ascii="Times New Roman" w:hAnsi="Times New Roman"/>
                <w:color w:val="auto"/>
              </w:rPr>
              <w:t>监测资料收集</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本次评价收集了宜良县监测站2019年1月1日-2019年12月31日共计365天的监测资料。监测天数合计365天，其中，SO</w:t>
            </w:r>
            <w:r>
              <w:rPr>
                <w:rFonts w:ascii="Times New Roman" w:hAnsi="Times New Roman"/>
                <w:color w:val="auto"/>
                <w:vertAlign w:val="subscript"/>
              </w:rPr>
              <w:t>2</w:t>
            </w:r>
            <w:r>
              <w:rPr>
                <w:rFonts w:ascii="Times New Roman" w:hAnsi="Times New Roman"/>
                <w:color w:val="auto"/>
              </w:rPr>
              <w:t>有效数据362个、NO</w:t>
            </w:r>
            <w:r>
              <w:rPr>
                <w:rFonts w:ascii="Times New Roman" w:hAnsi="Times New Roman"/>
                <w:color w:val="auto"/>
                <w:vertAlign w:val="subscript"/>
              </w:rPr>
              <w:t>2</w:t>
            </w:r>
            <w:r>
              <w:rPr>
                <w:rFonts w:ascii="Times New Roman" w:hAnsi="Times New Roman"/>
                <w:color w:val="auto"/>
              </w:rPr>
              <w:t>有效数据362个、PM</w:t>
            </w:r>
            <w:r>
              <w:rPr>
                <w:rFonts w:ascii="Times New Roman" w:hAnsi="Times New Roman"/>
                <w:color w:val="auto"/>
                <w:vertAlign w:val="subscript"/>
              </w:rPr>
              <w:t>10</w:t>
            </w:r>
            <w:r>
              <w:rPr>
                <w:rFonts w:ascii="Times New Roman" w:hAnsi="Times New Roman"/>
                <w:color w:val="auto"/>
              </w:rPr>
              <w:t>有效数据362个、PM</w:t>
            </w:r>
            <w:r>
              <w:rPr>
                <w:rFonts w:ascii="Times New Roman" w:hAnsi="Times New Roman"/>
                <w:color w:val="auto"/>
                <w:vertAlign w:val="subscript"/>
              </w:rPr>
              <w:t>2.5</w:t>
            </w:r>
            <w:r>
              <w:rPr>
                <w:rFonts w:ascii="Times New Roman" w:hAnsi="Times New Roman"/>
                <w:color w:val="auto"/>
              </w:rPr>
              <w:t>有效数据362个、O</w:t>
            </w:r>
            <w:r>
              <w:rPr>
                <w:rFonts w:ascii="Times New Roman" w:hAnsi="Times New Roman"/>
                <w:color w:val="auto"/>
                <w:vertAlign w:val="subscript"/>
              </w:rPr>
              <w:t>3</w:t>
            </w:r>
            <w:r>
              <w:rPr>
                <w:rFonts w:ascii="Times New Roman" w:hAnsi="Times New Roman"/>
                <w:color w:val="auto"/>
              </w:rPr>
              <w:t>有效数据362个、CO有效数据357个。</w:t>
            </w:r>
            <w:r>
              <w:rPr>
                <w:rFonts w:hint="eastAsia" w:ascii="Times New Roman" w:hAnsi="Times New Roman"/>
                <w:color w:val="auto"/>
              </w:rPr>
              <w:t>监测结果见表3</w:t>
            </w:r>
            <w:r>
              <w:rPr>
                <w:rFonts w:ascii="Times New Roman" w:hAnsi="Times New Roman"/>
                <w:color w:val="auto"/>
              </w:rPr>
              <w:t>-1</w:t>
            </w:r>
            <w:r>
              <w:rPr>
                <w:rFonts w:hint="eastAsia" w:ascii="Times New Roman" w:hAnsi="Times New Roman"/>
                <w:color w:val="auto"/>
              </w:rPr>
              <w:t>。</w:t>
            </w:r>
          </w:p>
          <w:p>
            <w:pPr>
              <w:adjustRightInd w:val="0"/>
              <w:snapToGrid w:val="0"/>
              <w:ind w:firstLine="21" w:firstLineChars="10"/>
              <w:jc w:val="center"/>
              <w:rPr>
                <w:rFonts w:ascii="Times New Roman" w:hAnsi="Times New Roman"/>
                <w:b/>
                <w:bCs/>
                <w:color w:val="auto"/>
                <w:sz w:val="21"/>
                <w:szCs w:val="21"/>
              </w:rPr>
            </w:pPr>
            <w:r>
              <w:rPr>
                <w:rFonts w:ascii="Times New Roman" w:hAnsi="Times New Roman"/>
                <w:b/>
                <w:bCs/>
                <w:color w:val="auto"/>
                <w:sz w:val="21"/>
                <w:szCs w:val="21"/>
              </w:rPr>
              <w:t>表3-1  宜良县环境空气质量统计（2019年度）</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1357"/>
              <w:gridCol w:w="1151"/>
              <w:gridCol w:w="1175"/>
              <w:gridCol w:w="2046"/>
              <w:gridCol w:w="975"/>
              <w:gridCol w:w="82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 w:type="pct"/>
                  <w:vMerge w:val="restart"/>
                  <w:vAlign w:val="center"/>
                </w:tcPr>
                <w:p>
                  <w:pPr>
                    <w:pStyle w:val="102"/>
                    <w:adjustRightInd w:val="0"/>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765" w:type="pct"/>
                  <w:vMerge w:val="restart"/>
                  <w:vAlign w:val="center"/>
                </w:tcPr>
                <w:p>
                  <w:pPr>
                    <w:pStyle w:val="102"/>
                    <w:adjustRightInd w:val="0"/>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污染物</w:t>
                  </w:r>
                </w:p>
              </w:tc>
              <w:tc>
                <w:tcPr>
                  <w:tcW w:w="1312" w:type="pct"/>
                  <w:gridSpan w:val="2"/>
                  <w:vAlign w:val="center"/>
                </w:tcPr>
                <w:p>
                  <w:pPr>
                    <w:pStyle w:val="102"/>
                    <w:adjustRightInd w:val="0"/>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年平均</w:t>
                  </w:r>
                </w:p>
              </w:tc>
              <w:tc>
                <w:tcPr>
                  <w:tcW w:w="1693" w:type="pct"/>
                  <w:gridSpan w:val="2"/>
                  <w:vAlign w:val="center"/>
                </w:tcPr>
                <w:p>
                  <w:pPr>
                    <w:pStyle w:val="102"/>
                    <w:adjustRightInd w:val="0"/>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24h平均/日最大8小时平均</w:t>
                  </w:r>
                </w:p>
              </w:tc>
              <w:tc>
                <w:tcPr>
                  <w:tcW w:w="463" w:type="pct"/>
                  <w:vMerge w:val="restart"/>
                  <w:vAlign w:val="center"/>
                </w:tcPr>
                <w:p>
                  <w:pPr>
                    <w:pStyle w:val="102"/>
                    <w:adjustRightInd w:val="0"/>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达标率</w:t>
                  </w:r>
                </w:p>
              </w:tc>
              <w:tc>
                <w:tcPr>
                  <w:tcW w:w="475" w:type="pct"/>
                  <w:vMerge w:val="restart"/>
                  <w:vAlign w:val="center"/>
                </w:tcPr>
                <w:p>
                  <w:pPr>
                    <w:pStyle w:val="102"/>
                    <w:adjustRightInd w:val="0"/>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 w:type="pct"/>
                  <w:vMerge w:val="continue"/>
                  <w:vAlign w:val="center"/>
                </w:tcPr>
                <w:p>
                  <w:pPr>
                    <w:pStyle w:val="102"/>
                    <w:adjustRightInd w:val="0"/>
                    <w:snapToGrid w:val="0"/>
                    <w:spacing w:line="240" w:lineRule="auto"/>
                    <w:ind w:firstLine="0" w:firstLineChars="0"/>
                    <w:jc w:val="center"/>
                    <w:rPr>
                      <w:rFonts w:ascii="Times New Roman" w:hAnsi="Times New Roman" w:cs="Times New Roman"/>
                      <w:b/>
                      <w:bCs/>
                      <w:color w:val="auto"/>
                      <w:sz w:val="21"/>
                      <w:szCs w:val="21"/>
                    </w:rPr>
                  </w:pPr>
                </w:p>
              </w:tc>
              <w:tc>
                <w:tcPr>
                  <w:tcW w:w="765" w:type="pct"/>
                  <w:vMerge w:val="continue"/>
                  <w:vAlign w:val="center"/>
                </w:tcPr>
                <w:p>
                  <w:pPr>
                    <w:pStyle w:val="102"/>
                    <w:adjustRightInd w:val="0"/>
                    <w:snapToGrid w:val="0"/>
                    <w:spacing w:line="240" w:lineRule="auto"/>
                    <w:ind w:firstLine="0" w:firstLineChars="0"/>
                    <w:jc w:val="center"/>
                    <w:rPr>
                      <w:rFonts w:ascii="Times New Roman" w:hAnsi="Times New Roman" w:cs="Times New Roman"/>
                      <w:b/>
                      <w:bCs/>
                      <w:color w:val="auto"/>
                      <w:sz w:val="21"/>
                      <w:szCs w:val="21"/>
                    </w:rPr>
                  </w:pPr>
                </w:p>
              </w:tc>
              <w:tc>
                <w:tcPr>
                  <w:tcW w:w="649" w:type="pct"/>
                  <w:vAlign w:val="center"/>
                </w:tcPr>
                <w:p>
                  <w:pPr>
                    <w:pStyle w:val="102"/>
                    <w:adjustRightInd w:val="0"/>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年均浓度</w:t>
                  </w:r>
                </w:p>
              </w:tc>
              <w:tc>
                <w:tcPr>
                  <w:tcW w:w="663" w:type="pct"/>
                  <w:vAlign w:val="center"/>
                </w:tcPr>
                <w:p>
                  <w:pPr>
                    <w:pStyle w:val="102"/>
                    <w:adjustRightInd w:val="0"/>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标准值</w:t>
                  </w:r>
                </w:p>
              </w:tc>
              <w:tc>
                <w:tcPr>
                  <w:tcW w:w="1153" w:type="pct"/>
                  <w:vAlign w:val="center"/>
                </w:tcPr>
                <w:p>
                  <w:pPr>
                    <w:pStyle w:val="102"/>
                    <w:adjustRightInd w:val="0"/>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百分位浓度</w:t>
                  </w:r>
                </w:p>
              </w:tc>
              <w:tc>
                <w:tcPr>
                  <w:tcW w:w="541" w:type="pct"/>
                  <w:vAlign w:val="center"/>
                </w:tcPr>
                <w:p>
                  <w:pPr>
                    <w:pStyle w:val="102"/>
                    <w:adjustRightInd w:val="0"/>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标准值</w:t>
                  </w:r>
                </w:p>
              </w:tc>
              <w:tc>
                <w:tcPr>
                  <w:tcW w:w="463" w:type="pct"/>
                  <w:vMerge w:val="continue"/>
                  <w:vAlign w:val="center"/>
                </w:tcPr>
                <w:p>
                  <w:pPr>
                    <w:pStyle w:val="102"/>
                    <w:adjustRightInd w:val="0"/>
                    <w:snapToGrid w:val="0"/>
                    <w:spacing w:line="240" w:lineRule="auto"/>
                    <w:ind w:firstLine="0" w:firstLineChars="0"/>
                    <w:jc w:val="center"/>
                    <w:rPr>
                      <w:rFonts w:ascii="Times New Roman" w:hAnsi="Times New Roman" w:cs="Times New Roman"/>
                      <w:b/>
                      <w:bCs/>
                      <w:color w:val="auto"/>
                      <w:sz w:val="21"/>
                      <w:szCs w:val="21"/>
                    </w:rPr>
                  </w:pPr>
                </w:p>
              </w:tc>
              <w:tc>
                <w:tcPr>
                  <w:tcW w:w="475" w:type="pct"/>
                  <w:vMerge w:val="continue"/>
                  <w:vAlign w:val="center"/>
                </w:tcPr>
                <w:p>
                  <w:pPr>
                    <w:pStyle w:val="102"/>
                    <w:adjustRightInd w:val="0"/>
                    <w:snapToGrid w:val="0"/>
                    <w:spacing w:line="240" w:lineRule="auto"/>
                    <w:ind w:firstLine="0" w:firstLineChars="0"/>
                    <w:jc w:val="center"/>
                    <w:rPr>
                      <w:rFonts w:ascii="Times New Roman" w:hAnsi="Times New Roman"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765"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二氧化硫（SO</w:t>
                  </w:r>
                  <w:r>
                    <w:rPr>
                      <w:rFonts w:ascii="Times New Roman" w:hAnsi="Times New Roman" w:cs="Times New Roman"/>
                      <w:color w:val="auto"/>
                      <w:sz w:val="21"/>
                      <w:szCs w:val="21"/>
                      <w:vertAlign w:val="subscript"/>
                    </w:rPr>
                    <w:t>2</w:t>
                  </w:r>
                  <w:r>
                    <w:rPr>
                      <w:rFonts w:ascii="Times New Roman" w:hAnsi="Times New Roman" w:cs="Times New Roman"/>
                      <w:color w:val="auto"/>
                      <w:sz w:val="21"/>
                      <w:szCs w:val="21"/>
                    </w:rPr>
                    <w:t>）</w:t>
                  </w:r>
                </w:p>
              </w:tc>
              <w:tc>
                <w:tcPr>
                  <w:tcW w:w="649"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pacing w:val="-16"/>
                      <w:sz w:val="21"/>
                      <w:szCs w:val="21"/>
                    </w:rPr>
                    <w:t>9μ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p>
              </w:tc>
              <w:tc>
                <w:tcPr>
                  <w:tcW w:w="66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60μ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p>
              </w:tc>
              <w:tc>
                <w:tcPr>
                  <w:tcW w:w="115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bCs/>
                      <w:color w:val="auto"/>
                      <w:sz w:val="21"/>
                      <w:szCs w:val="21"/>
                    </w:rPr>
                    <w:t>17</w:t>
                  </w:r>
                  <w:r>
                    <w:rPr>
                      <w:rFonts w:ascii="Times New Roman" w:hAnsi="Times New Roman" w:cs="Times New Roman"/>
                      <w:color w:val="auto"/>
                      <w:spacing w:val="-16"/>
                      <w:sz w:val="21"/>
                      <w:szCs w:val="21"/>
                    </w:rPr>
                    <w:t>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r>
                    <w:rPr>
                      <w:rFonts w:ascii="Times New Roman" w:hAnsi="Times New Roman" w:cs="Times New Roman"/>
                      <w:bCs/>
                      <w:color w:val="auto"/>
                      <w:sz w:val="21"/>
                      <w:szCs w:val="21"/>
                    </w:rPr>
                    <w:t>(98百分位)</w:t>
                  </w:r>
                </w:p>
              </w:tc>
              <w:tc>
                <w:tcPr>
                  <w:tcW w:w="541"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150μ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p>
              </w:tc>
              <w:tc>
                <w:tcPr>
                  <w:tcW w:w="46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100%</w:t>
                  </w:r>
                </w:p>
              </w:tc>
              <w:tc>
                <w:tcPr>
                  <w:tcW w:w="475"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2"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765"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二氧化氮（NO</w:t>
                  </w:r>
                  <w:r>
                    <w:rPr>
                      <w:rFonts w:ascii="Times New Roman" w:hAnsi="Times New Roman" w:cs="Times New Roman"/>
                      <w:color w:val="auto"/>
                      <w:sz w:val="21"/>
                      <w:szCs w:val="21"/>
                      <w:vertAlign w:val="subscript"/>
                    </w:rPr>
                    <w:t>2</w:t>
                  </w:r>
                  <w:r>
                    <w:rPr>
                      <w:rFonts w:ascii="Times New Roman" w:hAnsi="Times New Roman" w:cs="Times New Roman"/>
                      <w:color w:val="auto"/>
                      <w:sz w:val="21"/>
                      <w:szCs w:val="21"/>
                    </w:rPr>
                    <w:t>）</w:t>
                  </w:r>
                </w:p>
              </w:tc>
              <w:tc>
                <w:tcPr>
                  <w:tcW w:w="649"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pacing w:val="-16"/>
                      <w:sz w:val="21"/>
                      <w:szCs w:val="21"/>
                    </w:rPr>
                    <w:t>21μ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p>
              </w:tc>
              <w:tc>
                <w:tcPr>
                  <w:tcW w:w="66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40μ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p>
              </w:tc>
              <w:tc>
                <w:tcPr>
                  <w:tcW w:w="115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bCs/>
                      <w:color w:val="auto"/>
                      <w:sz w:val="21"/>
                      <w:szCs w:val="21"/>
                    </w:rPr>
                    <w:t>38</w:t>
                  </w:r>
                  <w:r>
                    <w:rPr>
                      <w:rFonts w:ascii="Times New Roman" w:hAnsi="Times New Roman" w:cs="Times New Roman"/>
                      <w:color w:val="auto"/>
                      <w:spacing w:val="-16"/>
                      <w:sz w:val="21"/>
                      <w:szCs w:val="21"/>
                    </w:rPr>
                    <w:t>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r>
                    <w:rPr>
                      <w:rFonts w:ascii="Times New Roman" w:hAnsi="Times New Roman" w:cs="Times New Roman"/>
                      <w:bCs/>
                      <w:color w:val="auto"/>
                      <w:sz w:val="21"/>
                      <w:szCs w:val="21"/>
                    </w:rPr>
                    <w:t>(98百分位)</w:t>
                  </w:r>
                </w:p>
              </w:tc>
              <w:tc>
                <w:tcPr>
                  <w:tcW w:w="541"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80μ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p>
              </w:tc>
              <w:tc>
                <w:tcPr>
                  <w:tcW w:w="46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100%</w:t>
                  </w:r>
                </w:p>
              </w:tc>
              <w:tc>
                <w:tcPr>
                  <w:tcW w:w="475"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765"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可吸入颗粒物（PM</w:t>
                  </w:r>
                  <w:r>
                    <w:rPr>
                      <w:rFonts w:ascii="Times New Roman" w:hAnsi="Times New Roman" w:cs="Times New Roman"/>
                      <w:color w:val="auto"/>
                      <w:sz w:val="21"/>
                      <w:szCs w:val="21"/>
                      <w:vertAlign w:val="subscript"/>
                    </w:rPr>
                    <w:t>10</w:t>
                  </w:r>
                  <w:r>
                    <w:rPr>
                      <w:rFonts w:ascii="Times New Roman" w:hAnsi="Times New Roman" w:cs="Times New Roman"/>
                      <w:color w:val="auto"/>
                      <w:sz w:val="21"/>
                      <w:szCs w:val="21"/>
                    </w:rPr>
                    <w:t>）</w:t>
                  </w:r>
                </w:p>
              </w:tc>
              <w:tc>
                <w:tcPr>
                  <w:tcW w:w="649"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pacing w:val="-16"/>
                      <w:sz w:val="21"/>
                      <w:szCs w:val="21"/>
                    </w:rPr>
                    <w:t>45μ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p>
              </w:tc>
              <w:tc>
                <w:tcPr>
                  <w:tcW w:w="66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70μ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p>
              </w:tc>
              <w:tc>
                <w:tcPr>
                  <w:tcW w:w="115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bCs/>
                      <w:color w:val="auto"/>
                      <w:sz w:val="21"/>
                      <w:szCs w:val="21"/>
                    </w:rPr>
                    <w:t>86</w:t>
                  </w:r>
                  <w:r>
                    <w:rPr>
                      <w:rFonts w:ascii="Times New Roman" w:hAnsi="Times New Roman" w:cs="Times New Roman"/>
                      <w:color w:val="auto"/>
                      <w:spacing w:val="-16"/>
                      <w:sz w:val="21"/>
                      <w:szCs w:val="21"/>
                    </w:rPr>
                    <w:t>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r>
                    <w:rPr>
                      <w:rFonts w:ascii="Times New Roman" w:hAnsi="Times New Roman" w:cs="Times New Roman"/>
                      <w:bCs/>
                      <w:color w:val="auto"/>
                      <w:sz w:val="21"/>
                      <w:szCs w:val="21"/>
                    </w:rPr>
                    <w:t>(98百分位)</w:t>
                  </w:r>
                </w:p>
              </w:tc>
              <w:tc>
                <w:tcPr>
                  <w:tcW w:w="541"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150μ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p>
              </w:tc>
              <w:tc>
                <w:tcPr>
                  <w:tcW w:w="46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100%</w:t>
                  </w:r>
                </w:p>
              </w:tc>
              <w:tc>
                <w:tcPr>
                  <w:tcW w:w="475"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765"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细颗粒物（PM</w:t>
                  </w:r>
                  <w:r>
                    <w:rPr>
                      <w:rFonts w:ascii="Times New Roman" w:hAnsi="Times New Roman" w:cs="Times New Roman"/>
                      <w:color w:val="auto"/>
                      <w:sz w:val="21"/>
                      <w:szCs w:val="21"/>
                      <w:vertAlign w:val="subscript"/>
                    </w:rPr>
                    <w:t>2.5</w:t>
                  </w:r>
                  <w:r>
                    <w:rPr>
                      <w:rFonts w:ascii="Times New Roman" w:hAnsi="Times New Roman" w:cs="Times New Roman"/>
                      <w:color w:val="auto"/>
                      <w:sz w:val="21"/>
                      <w:szCs w:val="21"/>
                    </w:rPr>
                    <w:t>）</w:t>
                  </w:r>
                </w:p>
              </w:tc>
              <w:tc>
                <w:tcPr>
                  <w:tcW w:w="649"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pacing w:val="-16"/>
                      <w:sz w:val="21"/>
                      <w:szCs w:val="21"/>
                    </w:rPr>
                    <w:t>17μ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p>
              </w:tc>
              <w:tc>
                <w:tcPr>
                  <w:tcW w:w="66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35μ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p>
              </w:tc>
              <w:tc>
                <w:tcPr>
                  <w:tcW w:w="115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bCs/>
                      <w:color w:val="auto"/>
                      <w:sz w:val="21"/>
                      <w:szCs w:val="21"/>
                    </w:rPr>
                    <w:t>44</w:t>
                  </w:r>
                  <w:r>
                    <w:rPr>
                      <w:rFonts w:ascii="Times New Roman" w:hAnsi="Times New Roman" w:cs="Times New Roman"/>
                      <w:color w:val="auto"/>
                      <w:spacing w:val="-16"/>
                      <w:sz w:val="21"/>
                      <w:szCs w:val="21"/>
                    </w:rPr>
                    <w:t>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r>
                    <w:rPr>
                      <w:rFonts w:ascii="Times New Roman" w:hAnsi="Times New Roman" w:cs="Times New Roman"/>
                      <w:bCs/>
                      <w:color w:val="auto"/>
                      <w:sz w:val="21"/>
                      <w:szCs w:val="21"/>
                    </w:rPr>
                    <w:t>(98百分位)</w:t>
                  </w:r>
                </w:p>
              </w:tc>
              <w:tc>
                <w:tcPr>
                  <w:tcW w:w="541"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75μ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p>
              </w:tc>
              <w:tc>
                <w:tcPr>
                  <w:tcW w:w="46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100%</w:t>
                  </w:r>
                </w:p>
              </w:tc>
              <w:tc>
                <w:tcPr>
                  <w:tcW w:w="475"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w:t>
                  </w:r>
                </w:p>
              </w:tc>
              <w:tc>
                <w:tcPr>
                  <w:tcW w:w="765"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一氧化碳（CO）</w:t>
                  </w:r>
                </w:p>
              </w:tc>
              <w:tc>
                <w:tcPr>
                  <w:tcW w:w="649"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66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w:t>
                  </w:r>
                </w:p>
              </w:tc>
              <w:tc>
                <w:tcPr>
                  <w:tcW w:w="115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0.8m</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r>
                    <w:rPr>
                      <w:rFonts w:ascii="Times New Roman" w:hAnsi="Times New Roman" w:cs="Times New Roman"/>
                      <w:bCs/>
                      <w:color w:val="auto"/>
                      <w:sz w:val="21"/>
                      <w:szCs w:val="21"/>
                    </w:rPr>
                    <w:t>(95百分位)</w:t>
                  </w:r>
                </w:p>
              </w:tc>
              <w:tc>
                <w:tcPr>
                  <w:tcW w:w="541"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4m</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p>
              </w:tc>
              <w:tc>
                <w:tcPr>
                  <w:tcW w:w="46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100%</w:t>
                  </w:r>
                </w:p>
              </w:tc>
              <w:tc>
                <w:tcPr>
                  <w:tcW w:w="475"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2"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w:t>
                  </w:r>
                </w:p>
              </w:tc>
              <w:tc>
                <w:tcPr>
                  <w:tcW w:w="765"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臭氧（O</w:t>
                  </w:r>
                  <w:r>
                    <w:rPr>
                      <w:rFonts w:ascii="Times New Roman" w:hAnsi="Times New Roman" w:cs="Times New Roman"/>
                      <w:color w:val="auto"/>
                      <w:sz w:val="21"/>
                      <w:szCs w:val="21"/>
                      <w:vertAlign w:val="subscript"/>
                    </w:rPr>
                    <w:t>3</w:t>
                  </w:r>
                  <w:r>
                    <w:rPr>
                      <w:rFonts w:ascii="Times New Roman" w:hAnsi="Times New Roman" w:cs="Times New Roman"/>
                      <w:color w:val="auto"/>
                      <w:sz w:val="21"/>
                      <w:szCs w:val="21"/>
                    </w:rPr>
                    <w:t>）</w:t>
                  </w:r>
                </w:p>
              </w:tc>
              <w:tc>
                <w:tcPr>
                  <w:tcW w:w="649"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66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w:t>
                  </w:r>
                </w:p>
              </w:tc>
              <w:tc>
                <w:tcPr>
                  <w:tcW w:w="115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142μ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r>
                    <w:rPr>
                      <w:rFonts w:ascii="Times New Roman" w:hAnsi="Times New Roman" w:cs="Times New Roman"/>
                      <w:bCs/>
                      <w:color w:val="auto"/>
                      <w:sz w:val="21"/>
                      <w:szCs w:val="21"/>
                    </w:rPr>
                    <w:t>(90百分位)</w:t>
                  </w:r>
                </w:p>
              </w:tc>
              <w:tc>
                <w:tcPr>
                  <w:tcW w:w="541"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160μ</w:t>
                  </w:r>
                  <w:r>
                    <w:rPr>
                      <w:rFonts w:ascii="Times New Roman" w:hAnsi="Times New Roman" w:cs="Times New Roman"/>
                      <w:bCs/>
                      <w:color w:val="auto"/>
                      <w:sz w:val="21"/>
                      <w:szCs w:val="21"/>
                    </w:rPr>
                    <w:t>g/m</w:t>
                  </w:r>
                  <w:r>
                    <w:rPr>
                      <w:rFonts w:ascii="Times New Roman" w:hAnsi="Times New Roman" w:cs="Times New Roman"/>
                      <w:bCs/>
                      <w:color w:val="auto"/>
                      <w:sz w:val="21"/>
                      <w:szCs w:val="21"/>
                      <w:vertAlign w:val="superscript"/>
                    </w:rPr>
                    <w:t>3</w:t>
                  </w:r>
                </w:p>
              </w:tc>
              <w:tc>
                <w:tcPr>
                  <w:tcW w:w="463" w:type="pct"/>
                  <w:vAlign w:val="center"/>
                </w:tcPr>
                <w:p>
                  <w:pPr>
                    <w:pStyle w:val="102"/>
                    <w:adjustRightInd w:val="0"/>
                    <w:snapToGrid w:val="0"/>
                    <w:spacing w:line="240" w:lineRule="auto"/>
                    <w:ind w:firstLine="0" w:firstLineChars="0"/>
                    <w:jc w:val="center"/>
                    <w:rPr>
                      <w:rFonts w:ascii="Times New Roman" w:hAnsi="Times New Roman" w:cs="Times New Roman"/>
                      <w:color w:val="auto"/>
                      <w:spacing w:val="-16"/>
                      <w:sz w:val="21"/>
                      <w:szCs w:val="21"/>
                    </w:rPr>
                  </w:pPr>
                  <w:r>
                    <w:rPr>
                      <w:rFonts w:ascii="Times New Roman" w:hAnsi="Times New Roman" w:cs="Times New Roman"/>
                      <w:color w:val="auto"/>
                      <w:spacing w:val="-16"/>
                      <w:sz w:val="21"/>
                      <w:szCs w:val="21"/>
                    </w:rPr>
                    <w:t>100%</w:t>
                  </w:r>
                </w:p>
              </w:tc>
              <w:tc>
                <w:tcPr>
                  <w:tcW w:w="475" w:type="pct"/>
                  <w:vAlign w:val="center"/>
                </w:tcPr>
                <w:p>
                  <w:pPr>
                    <w:pStyle w:val="102"/>
                    <w:adjustRightInd w:val="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bl>
          <w:p>
            <w:pPr>
              <w:adjustRightInd w:val="0"/>
              <w:snapToGrid w:val="0"/>
              <w:spacing w:before="163" w:beforeLines="50" w:line="360" w:lineRule="auto"/>
              <w:ind w:firstLine="480" w:firstLineChars="200"/>
              <w:rPr>
                <w:rFonts w:ascii="Times New Roman" w:hAnsi="Times New Roman"/>
                <w:color w:val="auto"/>
              </w:rPr>
            </w:pPr>
            <w:r>
              <w:rPr>
                <w:rFonts w:ascii="Times New Roman" w:hAnsi="Times New Roman"/>
                <w:color w:val="auto"/>
              </w:rPr>
              <w:t>综上所述，</w:t>
            </w:r>
            <w:r>
              <w:rPr>
                <w:rFonts w:hint="eastAsia" w:ascii="Times New Roman" w:hAnsi="Times New Roman"/>
                <w:color w:val="auto"/>
              </w:rPr>
              <w:t>宜良县监测站2</w:t>
            </w:r>
            <w:r>
              <w:rPr>
                <w:rFonts w:ascii="Times New Roman" w:hAnsi="Times New Roman"/>
                <w:color w:val="auto"/>
              </w:rPr>
              <w:t>019</w:t>
            </w:r>
            <w:r>
              <w:rPr>
                <w:rFonts w:hint="eastAsia" w:ascii="Times New Roman" w:hAnsi="Times New Roman"/>
                <w:color w:val="auto"/>
              </w:rPr>
              <w:t>年</w:t>
            </w:r>
            <w:r>
              <w:rPr>
                <w:rFonts w:ascii="Times New Roman" w:hAnsi="Times New Roman"/>
                <w:color w:val="auto"/>
              </w:rPr>
              <w:t>O</w:t>
            </w:r>
            <w:r>
              <w:rPr>
                <w:rFonts w:ascii="Times New Roman" w:hAnsi="Times New Roman"/>
                <w:color w:val="auto"/>
                <w:vertAlign w:val="subscript"/>
              </w:rPr>
              <w:t>3</w:t>
            </w:r>
            <w:r>
              <w:rPr>
                <w:rFonts w:hint="eastAsia" w:ascii="Times New Roman" w:hAnsi="Times New Roman"/>
                <w:color w:val="auto"/>
              </w:rPr>
              <w:t>、</w:t>
            </w:r>
            <w:r>
              <w:rPr>
                <w:rFonts w:ascii="Times New Roman" w:hAnsi="Times New Roman"/>
                <w:color w:val="auto"/>
              </w:rPr>
              <w:t>CO</w:t>
            </w:r>
            <w:r>
              <w:rPr>
                <w:rFonts w:hint="eastAsia" w:ascii="Times New Roman" w:hAnsi="Times New Roman"/>
                <w:color w:val="auto"/>
              </w:rPr>
              <w:t>、</w:t>
            </w:r>
            <w:r>
              <w:rPr>
                <w:rFonts w:ascii="Times New Roman" w:hAnsi="Times New Roman"/>
                <w:color w:val="auto"/>
              </w:rPr>
              <w:t>NO</w:t>
            </w:r>
            <w:r>
              <w:rPr>
                <w:rFonts w:ascii="Times New Roman" w:hAnsi="Times New Roman"/>
                <w:color w:val="auto"/>
                <w:vertAlign w:val="subscript"/>
              </w:rPr>
              <w:t>2</w:t>
            </w:r>
            <w:r>
              <w:rPr>
                <w:rFonts w:hint="eastAsia" w:ascii="Times New Roman" w:hAnsi="Times New Roman"/>
                <w:color w:val="auto"/>
              </w:rPr>
              <w:t>、</w:t>
            </w:r>
            <w:r>
              <w:rPr>
                <w:rFonts w:ascii="Times New Roman" w:hAnsi="Times New Roman"/>
                <w:color w:val="auto"/>
              </w:rPr>
              <w:t>SO</w:t>
            </w:r>
            <w:r>
              <w:rPr>
                <w:rFonts w:ascii="Times New Roman" w:hAnsi="Times New Roman"/>
                <w:color w:val="auto"/>
                <w:vertAlign w:val="subscript"/>
              </w:rPr>
              <w:t>2</w:t>
            </w:r>
            <w:r>
              <w:rPr>
                <w:rFonts w:hint="eastAsia" w:ascii="Times New Roman" w:hAnsi="Times New Roman"/>
                <w:color w:val="auto"/>
              </w:rPr>
              <w:t>、</w:t>
            </w:r>
            <w:r>
              <w:rPr>
                <w:rFonts w:ascii="Times New Roman" w:hAnsi="Times New Roman"/>
                <w:color w:val="auto"/>
              </w:rPr>
              <w:t>PM</w:t>
            </w:r>
            <w:r>
              <w:rPr>
                <w:rFonts w:ascii="Times New Roman" w:hAnsi="Times New Roman"/>
                <w:color w:val="auto"/>
                <w:vertAlign w:val="subscript"/>
              </w:rPr>
              <w:t>2.5</w:t>
            </w:r>
            <w:r>
              <w:rPr>
                <w:rFonts w:hint="eastAsia" w:ascii="Times New Roman" w:hAnsi="Times New Roman"/>
                <w:color w:val="auto"/>
              </w:rPr>
              <w:t>、</w:t>
            </w:r>
            <w:r>
              <w:rPr>
                <w:rFonts w:ascii="Times New Roman" w:hAnsi="Times New Roman"/>
                <w:color w:val="auto"/>
              </w:rPr>
              <w:t>PM</w:t>
            </w:r>
            <w:r>
              <w:rPr>
                <w:rFonts w:ascii="Times New Roman" w:hAnsi="Times New Roman"/>
                <w:color w:val="auto"/>
                <w:vertAlign w:val="subscript"/>
              </w:rPr>
              <w:t>10</w:t>
            </w:r>
            <w:r>
              <w:rPr>
                <w:rFonts w:hint="eastAsia" w:ascii="Times New Roman" w:hAnsi="Times New Roman"/>
                <w:color w:val="auto"/>
              </w:rPr>
              <w:t>的年均监测值及百分位数评价值均能满足</w:t>
            </w:r>
            <w:r>
              <w:rPr>
                <w:rFonts w:ascii="Times New Roman" w:hAnsi="Times New Roman"/>
                <w:color w:val="auto"/>
              </w:rPr>
              <w:t>《环境空气质量标准》（GB3095-2012）二级标准</w:t>
            </w:r>
            <w:r>
              <w:rPr>
                <w:rFonts w:hint="eastAsia" w:ascii="Times New Roman" w:hAnsi="Times New Roman"/>
                <w:color w:val="auto"/>
              </w:rPr>
              <w:t>要求，</w:t>
            </w:r>
            <w:r>
              <w:rPr>
                <w:rFonts w:ascii="Times New Roman" w:hAnsi="Times New Roman"/>
                <w:color w:val="auto"/>
              </w:rPr>
              <w:t>项目所在区域属于达标区。</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（2）补充监测</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建设单位</w:t>
            </w:r>
            <w:r>
              <w:rPr>
                <w:rFonts w:hint="eastAsia" w:ascii="Times New Roman" w:hAnsi="Times New Roman"/>
                <w:color w:val="auto"/>
              </w:rPr>
              <w:t>针对</w:t>
            </w:r>
            <w:r>
              <w:rPr>
                <w:rFonts w:ascii="Times New Roman" w:hAnsi="Times New Roman"/>
                <w:color w:val="auto"/>
                <w:kern w:val="0"/>
              </w:rPr>
              <w:t>宜良明丰造纸厂</w:t>
            </w:r>
            <w:r>
              <w:rPr>
                <w:rFonts w:hint="eastAsia" w:ascii="Times New Roman" w:hAnsi="Times New Roman"/>
                <w:color w:val="auto"/>
                <w:kern w:val="0"/>
              </w:rPr>
              <w:t>的“</w:t>
            </w:r>
            <w:r>
              <w:rPr>
                <w:rFonts w:hint="eastAsia" w:ascii="Times New Roman" w:hAnsi="Times New Roman"/>
                <w:color w:val="auto"/>
              </w:rPr>
              <w:t>废纸回收利用年产5万吨瓦楞纸原纸生产线技改项目</w:t>
            </w:r>
            <w:r>
              <w:rPr>
                <w:rFonts w:hint="eastAsia" w:ascii="Times New Roman" w:hAnsi="Times New Roman"/>
                <w:color w:val="auto"/>
                <w:kern w:val="0"/>
              </w:rPr>
              <w:t>”</w:t>
            </w:r>
            <w:r>
              <w:rPr>
                <w:rFonts w:hint="eastAsia" w:ascii="Times New Roman" w:hAnsi="Times New Roman"/>
                <w:color w:val="auto"/>
              </w:rPr>
              <w:t>，</w:t>
            </w:r>
            <w:r>
              <w:rPr>
                <w:rFonts w:ascii="Times New Roman" w:hAnsi="Times New Roman"/>
                <w:color w:val="auto"/>
              </w:rPr>
              <w:t>委托</w:t>
            </w:r>
            <w:bookmarkStart w:id="14" w:name="_Hlk65772878"/>
            <w:r>
              <w:rPr>
                <w:rFonts w:hint="eastAsia" w:ascii="Times New Roman" w:hAnsi="Times New Roman"/>
                <w:color w:val="auto"/>
              </w:rPr>
              <w:t>云南鼎祺环境检测有限公司于</w:t>
            </w:r>
            <w:bookmarkEnd w:id="14"/>
            <w:r>
              <w:rPr>
                <w:rFonts w:hint="eastAsia" w:ascii="Times New Roman" w:hAnsi="Times New Roman"/>
                <w:color w:val="auto"/>
              </w:rPr>
              <w:t>2</w:t>
            </w:r>
            <w:r>
              <w:rPr>
                <w:rFonts w:ascii="Times New Roman" w:hAnsi="Times New Roman"/>
                <w:color w:val="auto"/>
              </w:rPr>
              <w:t>020</w:t>
            </w:r>
            <w:r>
              <w:rPr>
                <w:rFonts w:hint="eastAsia" w:ascii="Times New Roman" w:hAnsi="Times New Roman"/>
                <w:color w:val="auto"/>
              </w:rPr>
              <w:t>年6月1日至7日对项目区域环境空气中的特征因子进行了现状监测。本项目位于</w:t>
            </w:r>
            <w:r>
              <w:rPr>
                <w:rFonts w:ascii="Times New Roman" w:hAnsi="Times New Roman"/>
                <w:color w:val="auto"/>
                <w:kern w:val="0"/>
              </w:rPr>
              <w:t>宜良明丰造纸厂</w:t>
            </w:r>
            <w:r>
              <w:rPr>
                <w:rFonts w:hint="eastAsia" w:ascii="Times New Roman" w:hAnsi="Times New Roman"/>
                <w:color w:val="auto"/>
                <w:kern w:val="0"/>
              </w:rPr>
              <w:t>现有项目厂区内，本次环评引用该项目的部分现状监测数据，监测报告见附件，监测布点图见附图5。</w:t>
            </w:r>
          </w:p>
          <w:p>
            <w:pPr>
              <w:adjustRightInd w:val="0"/>
              <w:snapToGrid w:val="0"/>
              <w:spacing w:line="360" w:lineRule="auto"/>
              <w:ind w:firstLine="482" w:firstLineChars="200"/>
              <w:rPr>
                <w:rFonts w:ascii="Times New Roman" w:hAnsi="Times New Roman"/>
                <w:b/>
                <w:color w:val="auto"/>
                <w:kern w:val="2"/>
              </w:rPr>
            </w:pPr>
            <w:r>
              <w:rPr>
                <w:rFonts w:hint="eastAsia" w:ascii="Times New Roman" w:hAnsi="Times New Roman"/>
                <w:b/>
                <w:color w:val="auto"/>
                <w:kern w:val="2"/>
              </w:rPr>
              <w:t>（</w:t>
            </w:r>
            <w:r>
              <w:rPr>
                <w:rFonts w:ascii="Times New Roman" w:hAnsi="Times New Roman"/>
                <w:b/>
                <w:color w:val="auto"/>
                <w:kern w:val="2"/>
              </w:rPr>
              <w:t>1）监测布点</w:t>
            </w:r>
            <w:r>
              <w:rPr>
                <w:rFonts w:hint="eastAsia" w:ascii="Times New Roman" w:hAnsi="Times New Roman"/>
                <w:b/>
                <w:color w:val="auto"/>
                <w:kern w:val="2"/>
              </w:rPr>
              <w:t>及监测指标</w:t>
            </w:r>
          </w:p>
          <w:p>
            <w:pPr>
              <w:adjustRightInd w:val="0"/>
              <w:snapToGrid w:val="0"/>
              <w:spacing w:line="360" w:lineRule="auto"/>
              <w:ind w:firstLine="480" w:firstLineChars="200"/>
              <w:rPr>
                <w:rFonts w:ascii="Times New Roman" w:hAnsi="Times New Roman"/>
                <w:color w:val="auto"/>
                <w:kern w:val="0"/>
                <w:lang w:val="zh-CN"/>
              </w:rPr>
            </w:pPr>
            <w:r>
              <w:rPr>
                <w:rFonts w:hint="eastAsia" w:ascii="Times New Roman" w:hAnsi="Times New Roman"/>
                <w:color w:val="auto"/>
                <w:kern w:val="0"/>
                <w:lang w:val="zh-CN"/>
              </w:rPr>
              <w:t>共设</w:t>
            </w:r>
            <w:r>
              <w:rPr>
                <w:rFonts w:hint="eastAsia" w:ascii="Times New Roman" w:hAnsi="Times New Roman"/>
                <w:color w:val="auto"/>
                <w:kern w:val="0"/>
                <w:lang w:val="en-US" w:eastAsia="zh-CN"/>
              </w:rPr>
              <w:t>2</w:t>
            </w:r>
            <w:r>
              <w:rPr>
                <w:rFonts w:hint="eastAsia" w:ascii="Times New Roman" w:hAnsi="Times New Roman"/>
                <w:color w:val="auto"/>
                <w:kern w:val="0"/>
                <w:lang w:val="zh-CN"/>
              </w:rPr>
              <w:t>个环境质量现状监测点和4个现有项目废气监测点，环境质量现状监测点包括：</w:t>
            </w:r>
            <w:r>
              <w:rPr>
                <w:rFonts w:hint="eastAsia" w:ascii="Times New Roman" w:hAnsi="Times New Roman"/>
                <w:color w:val="auto"/>
                <w:kern w:val="0"/>
              </w:rPr>
              <w:t>瓦窑（上风向）（</w:t>
            </w:r>
            <w:r>
              <w:rPr>
                <w:rFonts w:hint="eastAsia" w:ascii="Times New Roman" w:hAnsi="Times New Roman"/>
                <w:color w:val="auto"/>
                <w:kern w:val="0"/>
                <w:lang w:val="en-US" w:eastAsia="zh-CN"/>
              </w:rPr>
              <w:t>A1</w:t>
            </w:r>
            <w:r>
              <w:rPr>
                <w:rFonts w:hint="eastAsia" w:ascii="Times New Roman" w:hAnsi="Times New Roman"/>
                <w:color w:val="auto"/>
                <w:kern w:val="0"/>
              </w:rPr>
              <w:t>）、大唐营（下风向）（</w:t>
            </w:r>
            <w:r>
              <w:rPr>
                <w:rFonts w:hint="eastAsia" w:ascii="Times New Roman" w:hAnsi="Times New Roman"/>
                <w:color w:val="auto"/>
                <w:kern w:val="0"/>
                <w:lang w:val="en-US" w:eastAsia="zh-CN"/>
              </w:rPr>
              <w:t>A2</w:t>
            </w:r>
            <w:r>
              <w:rPr>
                <w:rFonts w:hint="eastAsia" w:ascii="Times New Roman" w:hAnsi="Times New Roman"/>
                <w:color w:val="auto"/>
                <w:kern w:val="0"/>
              </w:rPr>
              <w:t>）</w:t>
            </w:r>
            <w:r>
              <w:rPr>
                <w:rFonts w:ascii="Times New Roman" w:hAnsi="Times New Roman"/>
                <w:color w:val="auto"/>
                <w:kern w:val="0"/>
              </w:rPr>
              <w:t>，</w:t>
            </w:r>
            <w:r>
              <w:rPr>
                <w:rFonts w:hint="eastAsia" w:ascii="Times New Roman" w:hAnsi="Times New Roman"/>
                <w:color w:val="auto"/>
                <w:kern w:val="0"/>
                <w:lang w:val="zh-CN"/>
              </w:rPr>
              <w:t>具体情况见表3</w:t>
            </w:r>
            <w:r>
              <w:rPr>
                <w:rFonts w:ascii="Times New Roman" w:hAnsi="Times New Roman"/>
                <w:color w:val="auto"/>
                <w:kern w:val="0"/>
                <w:lang w:val="zh-CN"/>
              </w:rPr>
              <w:t>-2</w:t>
            </w:r>
            <w:r>
              <w:rPr>
                <w:rFonts w:hint="eastAsia" w:ascii="Times New Roman" w:hAnsi="Times New Roman"/>
                <w:color w:val="auto"/>
                <w:kern w:val="0"/>
                <w:lang w:val="zh-CN"/>
              </w:rPr>
              <w:t>。</w:t>
            </w:r>
          </w:p>
          <w:p>
            <w:pPr>
              <w:adjustRightInd w:val="0"/>
              <w:snapToGrid w:val="0"/>
              <w:jc w:val="center"/>
              <w:rPr>
                <w:rFonts w:ascii="Times New Roman" w:hAnsi="Times New Roman"/>
                <w:b/>
                <w:color w:val="auto"/>
                <w:kern w:val="2"/>
                <w:sz w:val="21"/>
                <w:szCs w:val="21"/>
              </w:rPr>
            </w:pPr>
            <w:bookmarkStart w:id="15" w:name="_Ref53222290"/>
            <w:r>
              <w:rPr>
                <w:rFonts w:hint="eastAsia" w:ascii="Times New Roman" w:hAnsi="Times New Roman"/>
                <w:b/>
                <w:color w:val="auto"/>
                <w:kern w:val="2"/>
                <w:sz w:val="21"/>
                <w:szCs w:val="21"/>
              </w:rPr>
              <w:t>表</w:t>
            </w:r>
            <w:bookmarkEnd w:id="15"/>
            <w:r>
              <w:rPr>
                <w:rFonts w:ascii="Times New Roman" w:hAnsi="Times New Roman"/>
                <w:b/>
                <w:color w:val="auto"/>
                <w:kern w:val="2"/>
                <w:sz w:val="21"/>
                <w:szCs w:val="21"/>
              </w:rPr>
              <w:t>3-2</w:t>
            </w:r>
            <w:r>
              <w:rPr>
                <w:rFonts w:hint="eastAsia" w:ascii="Times New Roman" w:hAnsi="Times New Roman"/>
                <w:b/>
                <w:color w:val="auto"/>
                <w:kern w:val="2"/>
                <w:sz w:val="21"/>
                <w:szCs w:val="21"/>
              </w:rPr>
              <w:t xml:space="preserve"> </w:t>
            </w:r>
            <w:r>
              <w:rPr>
                <w:rFonts w:ascii="Times New Roman" w:hAnsi="Times New Roman"/>
                <w:b/>
                <w:color w:val="auto"/>
                <w:kern w:val="2"/>
                <w:sz w:val="21"/>
                <w:szCs w:val="21"/>
              </w:rPr>
              <w:t xml:space="preserve">  </w:t>
            </w:r>
            <w:r>
              <w:rPr>
                <w:rFonts w:hint="eastAsia" w:ascii="Times New Roman" w:hAnsi="Times New Roman"/>
                <w:b/>
                <w:color w:val="auto"/>
                <w:kern w:val="2"/>
                <w:sz w:val="21"/>
                <w:szCs w:val="21"/>
              </w:rPr>
              <w:t>环境空气质量现状监测点位</w:t>
            </w:r>
            <w:r>
              <w:rPr>
                <w:rFonts w:ascii="Times New Roman" w:hAnsi="Times New Roman"/>
                <w:b/>
                <w:color w:val="auto"/>
                <w:kern w:val="2"/>
                <w:sz w:val="21"/>
                <w:szCs w:val="21"/>
              </w:rPr>
              <w:t>及监测指标</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17"/>
              <w:gridCol w:w="1352"/>
              <w:gridCol w:w="1896"/>
              <w:gridCol w:w="3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vAlign w:val="center"/>
                </w:tcPr>
                <w:p>
                  <w:pPr>
                    <w:widowControl/>
                    <w:adjustRightInd w:val="0"/>
                    <w:snapToGrid w:val="0"/>
                    <w:spacing w:line="276" w:lineRule="auto"/>
                    <w:jc w:val="center"/>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eastAsia="zh-CN"/>
                    </w:rPr>
                    <w:t>项目</w:t>
                  </w:r>
                </w:p>
              </w:tc>
              <w:tc>
                <w:tcPr>
                  <w:tcW w:w="1792" w:type="dxa"/>
                  <w:gridSpan w:val="2"/>
                  <w:vAlign w:val="center"/>
                </w:tcPr>
                <w:p>
                  <w:pPr>
                    <w:widowControl/>
                    <w:adjustRightInd w:val="0"/>
                    <w:snapToGrid w:val="0"/>
                    <w:spacing w:line="276"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rPr>
                    <w:t>环境质量现状监测点</w:t>
                  </w:r>
                </w:p>
              </w:tc>
              <w:tc>
                <w:tcPr>
                  <w:tcW w:w="0" w:type="auto"/>
                  <w:gridSpan w:val="2"/>
                  <w:vAlign w:val="center"/>
                </w:tcPr>
                <w:p>
                  <w:pPr>
                    <w:widowControl/>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现有项目废气监测点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pPr>
                    <w:widowControl/>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监测点位</w:t>
                  </w:r>
                </w:p>
              </w:tc>
              <w:tc>
                <w:tcPr>
                  <w:tcW w:w="0" w:type="auto"/>
                  <w:vAlign w:val="center"/>
                </w:tcPr>
                <w:p>
                  <w:pPr>
                    <w:widowControl/>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瓦窑</w:t>
                  </w:r>
                </w:p>
              </w:tc>
              <w:tc>
                <w:tcPr>
                  <w:tcW w:w="0" w:type="auto"/>
                  <w:vAlign w:val="center"/>
                </w:tcPr>
                <w:p>
                  <w:pPr>
                    <w:widowControl/>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大唐营</w:t>
                  </w:r>
                </w:p>
              </w:tc>
              <w:tc>
                <w:tcPr>
                  <w:tcW w:w="0" w:type="auto"/>
                  <w:vAlign w:val="center"/>
                </w:tcPr>
                <w:p>
                  <w:pPr>
                    <w:widowControl/>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上风向浓度参照点</w:t>
                  </w:r>
                </w:p>
              </w:tc>
              <w:tc>
                <w:tcPr>
                  <w:tcW w:w="0" w:type="auto"/>
                  <w:vAlign w:val="center"/>
                </w:tcPr>
                <w:p>
                  <w:pPr>
                    <w:widowControl/>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下风向浓度监控点（3个）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vAlign w:val="center"/>
                </w:tcPr>
                <w:p>
                  <w:pPr>
                    <w:widowControl/>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点位编号</w:t>
                  </w:r>
                </w:p>
              </w:tc>
              <w:tc>
                <w:tcPr>
                  <w:tcW w:w="0" w:type="auto"/>
                  <w:vAlign w:val="center"/>
                </w:tcPr>
                <w:p>
                  <w:pPr>
                    <w:widowControl/>
                    <w:adjustRightInd w:val="0"/>
                    <w:snapToGrid w:val="0"/>
                    <w:spacing w:line="276" w:lineRule="auto"/>
                    <w:jc w:val="center"/>
                    <w:rPr>
                      <w:rFonts w:hint="eastAsia" w:ascii="Times New Roman" w:hAnsi="Times New Roman" w:eastAsia="宋体"/>
                      <w:color w:val="auto"/>
                      <w:kern w:val="0"/>
                      <w:sz w:val="21"/>
                      <w:szCs w:val="21"/>
                      <w:lang w:eastAsia="zh-CN"/>
                    </w:rPr>
                  </w:pPr>
                  <w:r>
                    <w:rPr>
                      <w:rFonts w:ascii="Times New Roman" w:hAnsi="Times New Roman"/>
                      <w:color w:val="auto"/>
                      <w:kern w:val="0"/>
                      <w:sz w:val="21"/>
                      <w:szCs w:val="21"/>
                    </w:rPr>
                    <w:t>A</w:t>
                  </w:r>
                  <w:r>
                    <w:rPr>
                      <w:rFonts w:hint="eastAsia" w:ascii="Times New Roman" w:hAnsi="Times New Roman"/>
                      <w:color w:val="auto"/>
                      <w:kern w:val="0"/>
                      <w:sz w:val="21"/>
                      <w:szCs w:val="21"/>
                      <w:lang w:val="en-US" w:eastAsia="zh-CN"/>
                    </w:rPr>
                    <w:t>1</w:t>
                  </w:r>
                </w:p>
              </w:tc>
              <w:tc>
                <w:tcPr>
                  <w:tcW w:w="0" w:type="auto"/>
                  <w:vAlign w:val="center"/>
                </w:tcPr>
                <w:p>
                  <w:pPr>
                    <w:widowControl/>
                    <w:adjustRightInd w:val="0"/>
                    <w:snapToGrid w:val="0"/>
                    <w:spacing w:line="276" w:lineRule="auto"/>
                    <w:jc w:val="center"/>
                    <w:rPr>
                      <w:rFonts w:hint="eastAsia" w:ascii="Times New Roman" w:hAnsi="Times New Roman" w:eastAsia="宋体"/>
                      <w:color w:val="auto"/>
                      <w:kern w:val="0"/>
                      <w:sz w:val="21"/>
                      <w:szCs w:val="21"/>
                      <w:lang w:eastAsia="zh-CN"/>
                    </w:rPr>
                  </w:pPr>
                  <w:r>
                    <w:rPr>
                      <w:rFonts w:ascii="Times New Roman" w:hAnsi="Times New Roman"/>
                      <w:color w:val="auto"/>
                      <w:kern w:val="0"/>
                      <w:sz w:val="21"/>
                      <w:szCs w:val="21"/>
                    </w:rPr>
                    <w:t>A</w:t>
                  </w:r>
                  <w:r>
                    <w:rPr>
                      <w:rFonts w:hint="eastAsia" w:ascii="Times New Roman" w:hAnsi="Times New Roman"/>
                      <w:color w:val="auto"/>
                      <w:kern w:val="0"/>
                      <w:sz w:val="21"/>
                      <w:szCs w:val="21"/>
                      <w:lang w:val="en-US" w:eastAsia="zh-CN"/>
                    </w:rPr>
                    <w:t>2</w:t>
                  </w:r>
                </w:p>
              </w:tc>
              <w:tc>
                <w:tcPr>
                  <w:tcW w:w="0" w:type="auto"/>
                  <w:vAlign w:val="center"/>
                </w:tcPr>
                <w:p>
                  <w:pPr>
                    <w:widowControl/>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上风向8#</w:t>
                  </w:r>
                </w:p>
              </w:tc>
              <w:tc>
                <w:tcPr>
                  <w:tcW w:w="0" w:type="auto"/>
                  <w:vAlign w:val="center"/>
                </w:tcPr>
                <w:p>
                  <w:pPr>
                    <w:widowControl/>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下风向9#、下风向10#、下风向11#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vAlign w:val="center"/>
                </w:tcPr>
                <w:p>
                  <w:pPr>
                    <w:widowControl/>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监测指标</w:t>
                  </w:r>
                </w:p>
              </w:tc>
              <w:tc>
                <w:tcPr>
                  <w:tcW w:w="0" w:type="auto"/>
                  <w:gridSpan w:val="2"/>
                  <w:vAlign w:val="center"/>
                </w:tcPr>
                <w:p>
                  <w:pPr>
                    <w:widowControl/>
                    <w:adjustRightInd w:val="0"/>
                    <w:snapToGrid w:val="0"/>
                    <w:spacing w:line="276" w:lineRule="auto"/>
                    <w:jc w:val="center"/>
                    <w:rPr>
                      <w:rFonts w:ascii="Times New Roman" w:hAnsi="Times New Roman"/>
                      <w:color w:val="auto"/>
                      <w:kern w:val="2"/>
                      <w:sz w:val="21"/>
                      <w:szCs w:val="21"/>
                    </w:rPr>
                  </w:pPr>
                  <w:r>
                    <w:rPr>
                      <w:rFonts w:hint="eastAsia" w:ascii="Times New Roman" w:hAnsi="Times New Roman"/>
                      <w:color w:val="auto"/>
                      <w:kern w:val="2"/>
                      <w:sz w:val="21"/>
                      <w:szCs w:val="21"/>
                    </w:rPr>
                    <w:t>TSP</w:t>
                  </w:r>
                </w:p>
              </w:tc>
              <w:tc>
                <w:tcPr>
                  <w:tcW w:w="0" w:type="auto"/>
                  <w:gridSpan w:val="2"/>
                  <w:vAlign w:val="center"/>
                </w:tcPr>
                <w:p>
                  <w:pPr>
                    <w:widowControl/>
                    <w:adjustRightInd w:val="0"/>
                    <w:snapToGrid w:val="0"/>
                    <w:spacing w:line="276" w:lineRule="auto"/>
                    <w:jc w:val="center"/>
                    <w:rPr>
                      <w:rFonts w:ascii="Times New Roman" w:hAnsi="Times New Roman"/>
                      <w:color w:val="auto"/>
                      <w:kern w:val="2"/>
                      <w:sz w:val="21"/>
                      <w:szCs w:val="21"/>
                    </w:rPr>
                  </w:pPr>
                  <w:r>
                    <w:rPr>
                      <w:rFonts w:hint="eastAsia" w:ascii="Times New Roman" w:hAnsi="Times New Roman"/>
                      <w:color w:val="auto"/>
                      <w:kern w:val="2"/>
                      <w:sz w:val="21"/>
                      <w:szCs w:val="21"/>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vAlign w:val="center"/>
                </w:tcPr>
                <w:p>
                  <w:pPr>
                    <w:widowControl/>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采样时间</w:t>
                  </w:r>
                </w:p>
              </w:tc>
              <w:tc>
                <w:tcPr>
                  <w:tcW w:w="0" w:type="auto"/>
                  <w:gridSpan w:val="2"/>
                  <w:vAlign w:val="center"/>
                </w:tcPr>
                <w:p>
                  <w:pPr>
                    <w:widowControl/>
                    <w:adjustRightInd w:val="0"/>
                    <w:snapToGrid w:val="0"/>
                    <w:spacing w:line="276" w:lineRule="auto"/>
                    <w:jc w:val="center"/>
                    <w:rPr>
                      <w:rFonts w:ascii="Times New Roman" w:hAnsi="Times New Roman"/>
                      <w:color w:val="auto"/>
                      <w:kern w:val="2"/>
                      <w:sz w:val="21"/>
                      <w:szCs w:val="21"/>
                    </w:rPr>
                  </w:pPr>
                  <w:r>
                    <w:rPr>
                      <w:rFonts w:hint="eastAsia" w:ascii="Times New Roman" w:hAnsi="Times New Roman"/>
                      <w:color w:val="auto"/>
                      <w:kern w:val="2"/>
                      <w:sz w:val="21"/>
                      <w:szCs w:val="21"/>
                    </w:rPr>
                    <w:t>2</w:t>
                  </w:r>
                  <w:r>
                    <w:rPr>
                      <w:rFonts w:ascii="Times New Roman" w:hAnsi="Times New Roman"/>
                      <w:color w:val="auto"/>
                      <w:kern w:val="2"/>
                      <w:sz w:val="21"/>
                      <w:szCs w:val="21"/>
                    </w:rPr>
                    <w:t>020</w:t>
                  </w:r>
                  <w:r>
                    <w:rPr>
                      <w:rFonts w:hint="eastAsia" w:ascii="Times New Roman" w:hAnsi="Times New Roman"/>
                      <w:color w:val="auto"/>
                      <w:kern w:val="2"/>
                      <w:sz w:val="21"/>
                      <w:szCs w:val="21"/>
                    </w:rPr>
                    <w:t>年6月1日至7日</w:t>
                  </w:r>
                </w:p>
              </w:tc>
              <w:tc>
                <w:tcPr>
                  <w:tcW w:w="0" w:type="auto"/>
                  <w:gridSpan w:val="2"/>
                  <w:vAlign w:val="center"/>
                </w:tcPr>
                <w:p>
                  <w:pPr>
                    <w:widowControl/>
                    <w:adjustRightInd w:val="0"/>
                    <w:snapToGrid w:val="0"/>
                    <w:spacing w:line="276" w:lineRule="auto"/>
                    <w:jc w:val="center"/>
                    <w:rPr>
                      <w:rFonts w:ascii="Times New Roman" w:hAnsi="Times New Roman"/>
                      <w:color w:val="auto"/>
                      <w:kern w:val="2"/>
                      <w:sz w:val="21"/>
                      <w:szCs w:val="21"/>
                    </w:rPr>
                  </w:pPr>
                  <w:r>
                    <w:rPr>
                      <w:rFonts w:hint="eastAsia" w:ascii="Times New Roman" w:hAnsi="Times New Roman"/>
                      <w:color w:val="auto"/>
                      <w:kern w:val="2"/>
                      <w:sz w:val="21"/>
                      <w:szCs w:val="21"/>
                    </w:rPr>
                    <w:t>2</w:t>
                  </w:r>
                  <w:r>
                    <w:rPr>
                      <w:rFonts w:ascii="Times New Roman" w:hAnsi="Times New Roman"/>
                      <w:color w:val="auto"/>
                      <w:kern w:val="2"/>
                      <w:sz w:val="21"/>
                      <w:szCs w:val="21"/>
                    </w:rPr>
                    <w:t>020</w:t>
                  </w:r>
                  <w:r>
                    <w:rPr>
                      <w:rFonts w:hint="eastAsia" w:ascii="Times New Roman" w:hAnsi="Times New Roman"/>
                      <w:color w:val="auto"/>
                      <w:kern w:val="2"/>
                      <w:sz w:val="21"/>
                      <w:szCs w:val="21"/>
                    </w:rPr>
                    <w:t>年6月</w:t>
                  </w:r>
                  <w:r>
                    <w:rPr>
                      <w:rFonts w:ascii="Times New Roman" w:hAnsi="Times New Roman"/>
                      <w:color w:val="auto"/>
                      <w:kern w:val="2"/>
                      <w:sz w:val="21"/>
                      <w:szCs w:val="21"/>
                    </w:rPr>
                    <w:t>3</w:t>
                  </w:r>
                  <w:r>
                    <w:rPr>
                      <w:rFonts w:hint="eastAsia" w:ascii="Times New Roman" w:hAnsi="Times New Roman"/>
                      <w:color w:val="auto"/>
                      <w:kern w:val="2"/>
                      <w:sz w:val="21"/>
                      <w:szCs w:val="21"/>
                    </w:rPr>
                    <w:t>日至</w:t>
                  </w:r>
                  <w:r>
                    <w:rPr>
                      <w:rFonts w:ascii="Times New Roman" w:hAnsi="Times New Roman"/>
                      <w:color w:val="auto"/>
                      <w:kern w:val="2"/>
                      <w:sz w:val="21"/>
                      <w:szCs w:val="21"/>
                    </w:rPr>
                    <w:t>4</w:t>
                  </w:r>
                  <w:r>
                    <w:rPr>
                      <w:rFonts w:hint="eastAsia" w:ascii="Times New Roman" w:hAnsi="Times New Roman"/>
                      <w:color w:val="auto"/>
                      <w:kern w:val="2"/>
                      <w:sz w:val="21"/>
                      <w:szCs w:val="21"/>
                    </w:rPr>
                    <w:t>日</w:t>
                  </w:r>
                </w:p>
              </w:tc>
            </w:tr>
          </w:tbl>
          <w:p>
            <w:pPr>
              <w:adjustRightInd w:val="0"/>
              <w:snapToGrid w:val="0"/>
              <w:spacing w:before="163" w:beforeLines="50" w:line="360" w:lineRule="auto"/>
              <w:ind w:firstLine="482" w:firstLineChars="200"/>
              <w:rPr>
                <w:rFonts w:ascii="宋体" w:hAnsi="宋体"/>
                <w:color w:val="auto"/>
                <w:kern w:val="2"/>
              </w:rPr>
            </w:pPr>
            <w:r>
              <w:rPr>
                <w:rFonts w:hint="eastAsia" w:ascii="Times New Roman" w:hAnsi="Times New Roman"/>
                <w:b/>
                <w:bCs/>
                <w:color w:val="auto"/>
                <w:kern w:val="2"/>
              </w:rPr>
              <w:t>（</w:t>
            </w:r>
            <w:r>
              <w:rPr>
                <w:rFonts w:ascii="Times New Roman" w:hAnsi="Times New Roman"/>
                <w:b/>
                <w:bCs/>
                <w:color w:val="auto"/>
                <w:kern w:val="2"/>
              </w:rPr>
              <w:t>2</w:t>
            </w:r>
            <w:r>
              <w:rPr>
                <w:rFonts w:hint="eastAsia" w:ascii="Times New Roman" w:hAnsi="Times New Roman"/>
                <w:b/>
                <w:bCs/>
                <w:color w:val="auto"/>
                <w:kern w:val="2"/>
              </w:rPr>
              <w:t>）</w:t>
            </w:r>
            <w:r>
              <w:rPr>
                <w:rFonts w:ascii="Times New Roman" w:hAnsi="Times New Roman"/>
                <w:b/>
                <w:bCs/>
                <w:color w:val="auto"/>
                <w:kern w:val="2"/>
              </w:rPr>
              <w:t>监测频次</w:t>
            </w:r>
          </w:p>
          <w:p>
            <w:pPr>
              <w:adjustRightInd w:val="0"/>
              <w:snapToGrid w:val="0"/>
              <w:spacing w:line="360" w:lineRule="auto"/>
              <w:ind w:firstLine="480" w:firstLineChars="200"/>
              <w:rPr>
                <w:rFonts w:ascii="Times New Roman" w:hAnsi="Times New Roman"/>
                <w:color w:val="auto"/>
                <w:kern w:val="2"/>
              </w:rPr>
            </w:pPr>
            <w:r>
              <w:rPr>
                <w:rFonts w:hint="eastAsia" w:ascii="Times New Roman" w:hAnsi="Times New Roman"/>
                <w:color w:val="auto"/>
                <w:kern w:val="2"/>
              </w:rPr>
              <w:t>分别</w:t>
            </w:r>
            <w:r>
              <w:rPr>
                <w:rFonts w:ascii="Times New Roman" w:hAnsi="Times New Roman"/>
                <w:color w:val="auto"/>
                <w:kern w:val="2"/>
              </w:rPr>
              <w:t>监测一期，</w:t>
            </w:r>
            <w:r>
              <w:rPr>
                <w:rFonts w:hint="eastAsia" w:ascii="Times New Roman" w:hAnsi="Times New Roman"/>
                <w:color w:val="auto"/>
                <w:kern w:val="2"/>
              </w:rPr>
              <w:t>环境质量现状</w:t>
            </w:r>
            <w:r>
              <w:rPr>
                <w:rFonts w:ascii="Times New Roman" w:hAnsi="Times New Roman"/>
                <w:color w:val="auto"/>
                <w:kern w:val="2"/>
              </w:rPr>
              <w:t>连续监测7天</w:t>
            </w:r>
            <w:r>
              <w:rPr>
                <w:rFonts w:hint="eastAsia" w:ascii="Times New Roman" w:hAnsi="Times New Roman"/>
                <w:color w:val="auto"/>
                <w:kern w:val="2"/>
              </w:rPr>
              <w:t>，废气连续监测2天</w:t>
            </w:r>
            <w:r>
              <w:rPr>
                <w:rFonts w:ascii="Times New Roman" w:hAnsi="Times New Roman"/>
                <w:color w:val="auto"/>
                <w:kern w:val="2"/>
              </w:rPr>
              <w:t>。</w:t>
            </w:r>
            <w:r>
              <w:rPr>
                <w:rFonts w:hint="eastAsia" w:ascii="Times New Roman" w:hAnsi="Times New Roman"/>
                <w:color w:val="auto"/>
                <w:kern w:val="2"/>
              </w:rPr>
              <w:t>严格按照</w:t>
            </w:r>
            <w:r>
              <w:rPr>
                <w:rFonts w:ascii="Times New Roman" w:hAnsi="Times New Roman"/>
                <w:color w:val="auto"/>
                <w:kern w:val="2"/>
              </w:rPr>
              <w:t>《环境空气质量标准》（GB3095-2012）对环境空气采样有效时间的规定</w:t>
            </w:r>
            <w:r>
              <w:rPr>
                <w:rFonts w:hint="eastAsia" w:ascii="Times New Roman" w:hAnsi="Times New Roman"/>
                <w:color w:val="auto"/>
                <w:kern w:val="2"/>
              </w:rPr>
              <w:t>进行采样</w:t>
            </w:r>
            <w:r>
              <w:rPr>
                <w:rFonts w:ascii="Times New Roman" w:hAnsi="Times New Roman"/>
                <w:color w:val="auto"/>
                <w:kern w:val="2"/>
              </w:rPr>
              <w:t>。</w:t>
            </w:r>
          </w:p>
          <w:p>
            <w:pPr>
              <w:adjustRightInd w:val="0"/>
              <w:snapToGrid w:val="0"/>
              <w:spacing w:line="336" w:lineRule="auto"/>
              <w:ind w:firstLine="482" w:firstLineChars="200"/>
              <w:rPr>
                <w:rFonts w:ascii="Times New Roman" w:hAnsi="Times New Roman"/>
                <w:b/>
                <w:color w:val="auto"/>
                <w:kern w:val="2"/>
              </w:rPr>
            </w:pPr>
            <w:r>
              <w:rPr>
                <w:rFonts w:ascii="Times New Roman" w:hAnsi="Times New Roman"/>
                <w:b/>
                <w:color w:val="auto"/>
                <w:kern w:val="2"/>
              </w:rPr>
              <w:t>（3）监测结果</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kern w:val="2"/>
              </w:rPr>
              <w:t>项目所在区域</w:t>
            </w:r>
            <w:r>
              <w:rPr>
                <w:rFonts w:hint="eastAsia" w:ascii="Times New Roman" w:hAnsi="Times New Roman"/>
                <w:color w:val="auto"/>
                <w:kern w:val="2"/>
              </w:rPr>
              <w:t>为环境空气质量二类区，现状监测执行</w:t>
            </w:r>
            <w:r>
              <w:rPr>
                <w:rFonts w:ascii="Times New Roman" w:hAnsi="Times New Roman"/>
                <w:color w:val="auto"/>
                <w:kern w:val="2"/>
              </w:rPr>
              <w:t>《环境空气质量标准》（GB3095-2012）二级标准</w:t>
            </w:r>
            <w:r>
              <w:rPr>
                <w:rFonts w:hint="eastAsia" w:ascii="Times New Roman" w:hAnsi="Times New Roman"/>
                <w:color w:val="auto"/>
                <w:kern w:val="2"/>
              </w:rPr>
              <w:t>，废气监测执行《大气污染物综合排放标准》（GB16297-1996）中的表2标准，</w:t>
            </w:r>
            <w:r>
              <w:rPr>
                <w:rFonts w:ascii="Times New Roman" w:hAnsi="Times New Roman"/>
                <w:color w:val="auto"/>
                <w:kern w:val="2"/>
              </w:rPr>
              <w:t>监测结果详见</w:t>
            </w:r>
            <w:r>
              <w:rPr>
                <w:rFonts w:ascii="Times New Roman" w:hAnsi="Times New Roman"/>
                <w:color w:val="auto"/>
                <w:kern w:val="2"/>
              </w:rPr>
              <w:fldChar w:fldCharType="begin"/>
            </w:r>
            <w:r>
              <w:rPr>
                <w:rFonts w:ascii="Times New Roman" w:hAnsi="Times New Roman"/>
                <w:color w:val="auto"/>
                <w:kern w:val="2"/>
              </w:rPr>
              <w:instrText xml:space="preserve"> REF _Ref53222366 \h  \* MERGEFORMAT </w:instrText>
            </w:r>
            <w:r>
              <w:rPr>
                <w:rFonts w:ascii="Times New Roman" w:hAnsi="Times New Roman"/>
                <w:color w:val="auto"/>
                <w:kern w:val="2"/>
              </w:rPr>
              <w:fldChar w:fldCharType="separate"/>
            </w:r>
            <w:r>
              <w:rPr>
                <w:rFonts w:ascii="Times New Roman" w:hAnsi="Times New Roman"/>
                <w:color w:val="auto"/>
                <w:kern w:val="2"/>
              </w:rPr>
              <w:t>表3-3</w:t>
            </w:r>
            <w:r>
              <w:rPr>
                <w:rFonts w:ascii="Times New Roman" w:hAnsi="Times New Roman"/>
                <w:color w:val="auto"/>
                <w:kern w:val="2"/>
              </w:rPr>
              <w:fldChar w:fldCharType="end"/>
            </w:r>
            <w:r>
              <w:rPr>
                <w:rFonts w:ascii="Times New Roman" w:hAnsi="Times New Roman"/>
                <w:color w:val="auto"/>
                <w:kern w:val="2"/>
              </w:rPr>
              <w:t>～</w:t>
            </w:r>
            <w:r>
              <w:rPr>
                <w:rFonts w:ascii="Times New Roman" w:hAnsi="Times New Roman"/>
                <w:color w:val="auto"/>
                <w:kern w:val="2"/>
              </w:rPr>
              <w:fldChar w:fldCharType="begin"/>
            </w:r>
            <w:r>
              <w:rPr>
                <w:rFonts w:ascii="Times New Roman" w:hAnsi="Times New Roman"/>
                <w:color w:val="auto"/>
                <w:kern w:val="2"/>
              </w:rPr>
              <w:instrText xml:space="preserve"> REF _Ref53222452 \h  \* MERGEFORMAT </w:instrText>
            </w:r>
            <w:r>
              <w:rPr>
                <w:rFonts w:ascii="Times New Roman" w:hAnsi="Times New Roman"/>
                <w:color w:val="auto"/>
                <w:kern w:val="2"/>
              </w:rPr>
              <w:fldChar w:fldCharType="separate"/>
            </w:r>
            <w:r>
              <w:rPr>
                <w:rFonts w:ascii="Times New Roman" w:hAnsi="Times New Roman"/>
                <w:color w:val="auto"/>
                <w:kern w:val="2"/>
              </w:rPr>
              <w:t>表3-5</w:t>
            </w:r>
            <w:r>
              <w:rPr>
                <w:rFonts w:ascii="Times New Roman" w:hAnsi="Times New Roman"/>
                <w:color w:val="auto"/>
                <w:kern w:val="2"/>
              </w:rPr>
              <w:fldChar w:fldCharType="end"/>
            </w:r>
            <w:r>
              <w:rPr>
                <w:rFonts w:ascii="Times New Roman" w:hAnsi="Times New Roman"/>
                <w:color w:val="auto"/>
                <w:kern w:val="2"/>
              </w:rPr>
              <w:t>。</w:t>
            </w:r>
          </w:p>
          <w:p>
            <w:pPr>
              <w:adjustRightInd w:val="0"/>
              <w:snapToGrid w:val="0"/>
              <w:spacing w:line="360" w:lineRule="auto"/>
              <w:ind w:firstLine="480" w:firstLineChars="200"/>
              <w:rPr>
                <w:rFonts w:ascii="Times New Roman" w:hAnsi="Times New Roman"/>
                <w:color w:val="auto"/>
                <w:kern w:val="2"/>
              </w:rPr>
            </w:pPr>
            <w:r>
              <w:rPr>
                <w:rFonts w:ascii="Times New Roman" w:hAnsi="Times New Roman"/>
                <w:color w:val="auto"/>
                <w:kern w:val="2"/>
              </w:rPr>
              <w:t>从监测结果可</w:t>
            </w:r>
            <w:r>
              <w:rPr>
                <w:rFonts w:hint="eastAsia" w:ascii="Times New Roman" w:hAnsi="Times New Roman"/>
                <w:color w:val="auto"/>
                <w:kern w:val="2"/>
              </w:rPr>
              <w:t>知</w:t>
            </w:r>
            <w:r>
              <w:rPr>
                <w:rFonts w:ascii="Times New Roman" w:hAnsi="Times New Roman"/>
                <w:color w:val="auto"/>
                <w:kern w:val="2"/>
              </w:rPr>
              <w:t>，评价区域各敏感目标处TSP</w:t>
            </w:r>
            <w:r>
              <w:rPr>
                <w:rFonts w:hint="eastAsia" w:ascii="Times New Roman" w:hAnsi="Times New Roman"/>
                <w:color w:val="auto"/>
                <w:kern w:val="2"/>
              </w:rPr>
              <w:t>、</w:t>
            </w:r>
            <w:r>
              <w:rPr>
                <w:rFonts w:ascii="Times New Roman" w:hAnsi="Times New Roman"/>
                <w:color w:val="auto"/>
                <w:kern w:val="2"/>
              </w:rPr>
              <w:t>PM</w:t>
            </w:r>
            <w:r>
              <w:rPr>
                <w:rFonts w:ascii="Times New Roman" w:hAnsi="Times New Roman"/>
                <w:color w:val="auto"/>
                <w:kern w:val="2"/>
                <w:vertAlign w:val="subscript"/>
              </w:rPr>
              <w:t>10</w:t>
            </w:r>
            <w:r>
              <w:rPr>
                <w:rFonts w:hint="eastAsia" w:ascii="Times New Roman" w:hAnsi="Times New Roman"/>
                <w:color w:val="auto"/>
                <w:kern w:val="2"/>
              </w:rPr>
              <w:t>和</w:t>
            </w:r>
            <w:r>
              <w:rPr>
                <w:rFonts w:ascii="Times New Roman" w:hAnsi="Times New Roman"/>
                <w:color w:val="auto"/>
                <w:kern w:val="2"/>
              </w:rPr>
              <w:t>PM</w:t>
            </w:r>
            <w:r>
              <w:rPr>
                <w:rFonts w:ascii="Times New Roman" w:hAnsi="Times New Roman"/>
                <w:color w:val="auto"/>
                <w:kern w:val="2"/>
                <w:vertAlign w:val="subscript"/>
              </w:rPr>
              <w:t>2.5</w:t>
            </w:r>
            <w:r>
              <w:rPr>
                <w:rFonts w:hint="eastAsia" w:ascii="Times New Roman" w:hAnsi="Times New Roman"/>
                <w:color w:val="auto"/>
                <w:kern w:val="2"/>
              </w:rPr>
              <w:t>日均浓度监测值，</w:t>
            </w:r>
            <w:r>
              <w:rPr>
                <w:rFonts w:ascii="Times New Roman" w:hAnsi="Times New Roman"/>
                <w:color w:val="auto"/>
                <w:kern w:val="2"/>
              </w:rPr>
              <w:t>SO</w:t>
            </w:r>
            <w:r>
              <w:rPr>
                <w:rFonts w:ascii="Times New Roman" w:hAnsi="Times New Roman"/>
                <w:color w:val="auto"/>
                <w:kern w:val="2"/>
                <w:vertAlign w:val="subscript"/>
              </w:rPr>
              <w:t>2</w:t>
            </w:r>
            <w:r>
              <w:rPr>
                <w:rFonts w:ascii="Times New Roman" w:hAnsi="Times New Roman"/>
                <w:color w:val="auto"/>
                <w:kern w:val="2"/>
              </w:rPr>
              <w:t>、</w:t>
            </w:r>
            <w:r>
              <w:rPr>
                <w:rFonts w:hint="eastAsia" w:ascii="Times New Roman" w:hAnsi="Times New Roman"/>
                <w:color w:val="auto"/>
                <w:kern w:val="2"/>
              </w:rPr>
              <w:t>CO、O</w:t>
            </w:r>
            <w:r>
              <w:rPr>
                <w:rFonts w:hint="eastAsia" w:ascii="Times New Roman" w:hAnsi="Times New Roman"/>
                <w:color w:val="auto"/>
                <w:kern w:val="2"/>
                <w:vertAlign w:val="subscript"/>
              </w:rPr>
              <w:t>3</w:t>
            </w:r>
            <w:r>
              <w:rPr>
                <w:rFonts w:hint="eastAsia" w:ascii="Times New Roman" w:hAnsi="Times New Roman"/>
                <w:color w:val="auto"/>
                <w:kern w:val="2"/>
              </w:rPr>
              <w:t>、</w:t>
            </w:r>
            <w:r>
              <w:rPr>
                <w:rFonts w:ascii="Times New Roman" w:hAnsi="Times New Roman"/>
                <w:color w:val="auto"/>
                <w:kern w:val="2"/>
              </w:rPr>
              <w:t>NO</w:t>
            </w:r>
            <w:r>
              <w:rPr>
                <w:rFonts w:ascii="Times New Roman" w:hAnsi="Times New Roman"/>
                <w:color w:val="auto"/>
                <w:kern w:val="2"/>
                <w:vertAlign w:val="subscript"/>
              </w:rPr>
              <w:t>2</w:t>
            </w:r>
            <w:r>
              <w:rPr>
                <w:rFonts w:hint="eastAsia" w:ascii="Times New Roman" w:hAnsi="Times New Roman"/>
                <w:color w:val="auto"/>
                <w:kern w:val="2"/>
              </w:rPr>
              <w:t>的小时均浓度</w:t>
            </w:r>
            <w:r>
              <w:rPr>
                <w:rFonts w:ascii="Times New Roman" w:hAnsi="Times New Roman"/>
                <w:color w:val="auto"/>
                <w:kern w:val="2"/>
              </w:rPr>
              <w:t>监测值均满足《环境空气质量标准》（GB3095-2012）二级标准要求</w:t>
            </w:r>
            <w:r>
              <w:rPr>
                <w:rFonts w:hint="eastAsia" w:ascii="Times New Roman" w:hAnsi="Times New Roman"/>
                <w:color w:val="auto"/>
                <w:kern w:val="2"/>
              </w:rPr>
              <w:t>，说明</w:t>
            </w:r>
            <w:r>
              <w:rPr>
                <w:rFonts w:ascii="Times New Roman" w:hAnsi="Times New Roman"/>
                <w:color w:val="auto"/>
                <w:kern w:val="2"/>
              </w:rPr>
              <w:t>评价区域环境空气质量较好，尚有一定的环境容量。</w:t>
            </w:r>
          </w:p>
          <w:p>
            <w:pPr>
              <w:pStyle w:val="37"/>
              <w:adjustRightInd w:val="0"/>
              <w:snapToGrid w:val="0"/>
              <w:spacing w:line="360" w:lineRule="auto"/>
              <w:ind w:firstLine="480"/>
              <w:rPr>
                <w:color w:val="auto"/>
              </w:rPr>
            </w:pPr>
            <w:r>
              <w:rPr>
                <w:rFonts w:ascii="Times New Roman" w:hAnsi="Times New Roman"/>
                <w:color w:val="auto"/>
                <w:kern w:val="2"/>
              </w:rPr>
              <w:t>从监测结果可</w:t>
            </w:r>
            <w:r>
              <w:rPr>
                <w:rFonts w:hint="eastAsia" w:ascii="Times New Roman" w:hAnsi="Times New Roman"/>
                <w:color w:val="auto"/>
                <w:kern w:val="2"/>
              </w:rPr>
              <w:t>知</w:t>
            </w:r>
            <w:r>
              <w:rPr>
                <w:rFonts w:ascii="Times New Roman" w:hAnsi="Times New Roman"/>
                <w:color w:val="auto"/>
                <w:kern w:val="2"/>
              </w:rPr>
              <w:t>，</w:t>
            </w:r>
            <w:r>
              <w:rPr>
                <w:rFonts w:hint="eastAsia" w:ascii="Times New Roman" w:hAnsi="Times New Roman"/>
                <w:color w:val="auto"/>
                <w:kern w:val="2"/>
              </w:rPr>
              <w:t>现有项目厂界无组织废气的TSP日均浓度监测值均满足《大气污染物综合排放标准》（GB16297-1996）中的表2标准要求，说明现有项目无组织废气能够达标排放。</w:t>
            </w:r>
          </w:p>
        </w:tc>
      </w:tr>
    </w:tbl>
    <w:p>
      <w:pPr>
        <w:adjustRightInd w:val="0"/>
        <w:snapToGrid w:val="0"/>
        <w:jc w:val="center"/>
        <w:rPr>
          <w:rFonts w:ascii="Times New Roman" w:hAnsi="Times New Roman"/>
          <w:b/>
          <w:color w:val="auto"/>
          <w:kern w:val="2"/>
          <w:sz w:val="21"/>
          <w:szCs w:val="21"/>
        </w:rPr>
        <w:sectPr>
          <w:footerReference r:id="rId4" w:type="default"/>
          <w:pgSz w:w="11907" w:h="16840"/>
          <w:pgMar w:top="1440" w:right="1227" w:bottom="1440" w:left="1560" w:header="567" w:footer="567" w:gutter="0"/>
          <w:pgNumType w:fmt="numberInDash" w:start="1"/>
          <w:cols w:space="720" w:num="1"/>
          <w:docGrid w:type="lines" w:linePitch="326" w:charSpace="0"/>
        </w:sectPr>
      </w:pPr>
      <w:bookmarkStart w:id="16" w:name="_Ref53222366"/>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pPr>
              <w:adjustRightInd w:val="0"/>
              <w:snapToGrid w:val="0"/>
              <w:spacing w:before="163" w:beforeLines="50"/>
              <w:jc w:val="center"/>
              <w:rPr>
                <w:rFonts w:ascii="Times New Roman" w:hAnsi="Times New Roman"/>
                <w:b/>
                <w:color w:val="auto"/>
                <w:kern w:val="2"/>
                <w:sz w:val="21"/>
                <w:szCs w:val="21"/>
              </w:rPr>
            </w:pPr>
            <w:r>
              <w:rPr>
                <w:rFonts w:ascii="Times New Roman" w:hAnsi="Times New Roman"/>
                <w:b/>
                <w:color w:val="auto"/>
                <w:kern w:val="2"/>
                <w:sz w:val="21"/>
                <w:szCs w:val="21"/>
              </w:rPr>
              <w:t xml:space="preserve">表3- </w:t>
            </w:r>
            <w:r>
              <w:rPr>
                <w:rFonts w:hint="eastAsia" w:ascii="Times New Roman" w:hAnsi="Times New Roman"/>
                <w:b/>
                <w:color w:val="auto"/>
                <w:kern w:val="2"/>
                <w:sz w:val="21"/>
                <w:szCs w:val="21"/>
                <w:lang w:val="en-US" w:eastAsia="zh-CN"/>
              </w:rPr>
              <w:t>3</w:t>
            </w:r>
            <w:r>
              <w:rPr>
                <w:rFonts w:ascii="Times New Roman" w:hAnsi="Times New Roman"/>
                <w:b/>
                <w:color w:val="auto"/>
                <w:kern w:val="2"/>
                <w:sz w:val="21"/>
                <w:szCs w:val="21"/>
              </w:rPr>
              <w:t xml:space="preserve">   项目区环境空气</w:t>
            </w:r>
            <w:r>
              <w:rPr>
                <w:rFonts w:hint="eastAsia" w:ascii="Times New Roman" w:hAnsi="Times New Roman"/>
                <w:b/>
                <w:color w:val="auto"/>
                <w:kern w:val="2"/>
                <w:sz w:val="21"/>
                <w:szCs w:val="21"/>
              </w:rPr>
              <w:t>特征因子</w:t>
            </w:r>
            <w:r>
              <w:rPr>
                <w:rFonts w:ascii="Times New Roman" w:hAnsi="Times New Roman"/>
                <w:b/>
                <w:color w:val="auto"/>
                <w:kern w:val="2"/>
                <w:sz w:val="21"/>
                <w:szCs w:val="21"/>
              </w:rPr>
              <w:t>现状监测结果</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755"/>
              <w:gridCol w:w="772"/>
              <w:gridCol w:w="724"/>
              <w:gridCol w:w="1173"/>
              <w:gridCol w:w="1173"/>
              <w:gridCol w:w="1173"/>
              <w:gridCol w:w="1173"/>
              <w:gridCol w:w="1173"/>
              <w:gridCol w:w="1173"/>
              <w:gridCol w:w="1173"/>
              <w:gridCol w:w="1886"/>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restart"/>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监测点位</w:t>
                  </w:r>
                </w:p>
              </w:tc>
              <w:tc>
                <w:tcPr>
                  <w:tcW w:w="1368" w:type="dxa"/>
                  <w:gridSpan w:val="2"/>
                  <w:vMerge w:val="restart"/>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监测因子</w:t>
                  </w:r>
                </w:p>
              </w:tc>
              <w:tc>
                <w:tcPr>
                  <w:tcW w:w="0" w:type="auto"/>
                  <w:vMerge w:val="restart"/>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单位</w:t>
                  </w:r>
                </w:p>
              </w:tc>
              <w:tc>
                <w:tcPr>
                  <w:tcW w:w="0" w:type="auto"/>
                  <w:gridSpan w:val="7"/>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监测时间及结果</w:t>
                  </w:r>
                </w:p>
              </w:tc>
              <w:tc>
                <w:tcPr>
                  <w:tcW w:w="0" w:type="auto"/>
                  <w:vMerge w:val="restar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GB3095-2012表2标准值</w:t>
                  </w:r>
                </w:p>
              </w:tc>
              <w:tc>
                <w:tcPr>
                  <w:tcW w:w="0" w:type="auto"/>
                  <w:vMerge w:val="restart"/>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达标评述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vAlign w:val="center"/>
                </w:tcPr>
                <w:p>
                  <w:pPr>
                    <w:adjustRightInd w:val="0"/>
                    <w:snapToGrid w:val="0"/>
                    <w:spacing w:line="276" w:lineRule="auto"/>
                    <w:jc w:val="center"/>
                    <w:rPr>
                      <w:rFonts w:ascii="Times New Roman" w:hAnsi="Times New Roman"/>
                      <w:color w:val="auto"/>
                      <w:kern w:val="0"/>
                      <w:sz w:val="21"/>
                      <w:szCs w:val="21"/>
                    </w:rPr>
                  </w:pPr>
                </w:p>
              </w:tc>
              <w:tc>
                <w:tcPr>
                  <w:tcW w:w="1368" w:type="dxa"/>
                  <w:gridSpan w:val="2"/>
                  <w:vMerge w:val="continue"/>
                  <w:vAlign w:val="center"/>
                </w:tcPr>
                <w:p>
                  <w:pPr>
                    <w:adjustRightInd w:val="0"/>
                    <w:snapToGrid w:val="0"/>
                    <w:spacing w:line="276" w:lineRule="auto"/>
                    <w:jc w:val="center"/>
                    <w:rPr>
                      <w:rFonts w:ascii="Times New Roman" w:hAnsi="Times New Roman"/>
                      <w:color w:val="auto"/>
                      <w:kern w:val="0"/>
                      <w:sz w:val="21"/>
                      <w:szCs w:val="21"/>
                    </w:rPr>
                  </w:pPr>
                </w:p>
              </w:tc>
              <w:tc>
                <w:tcPr>
                  <w:tcW w:w="0" w:type="auto"/>
                  <w:vMerge w:val="continue"/>
                  <w:vAlign w:val="center"/>
                </w:tcPr>
                <w:p>
                  <w:pPr>
                    <w:adjustRightInd w:val="0"/>
                    <w:snapToGrid w:val="0"/>
                    <w:spacing w:line="276" w:lineRule="auto"/>
                    <w:jc w:val="center"/>
                    <w:rPr>
                      <w:rFonts w:ascii="Times New Roman" w:hAnsi="Times New Roman"/>
                      <w:color w:val="auto"/>
                      <w:kern w:val="0"/>
                      <w:sz w:val="21"/>
                      <w:szCs w:val="21"/>
                    </w:rPr>
                  </w:pP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2</w:t>
                  </w:r>
                  <w:r>
                    <w:rPr>
                      <w:rFonts w:ascii="Times New Roman" w:hAnsi="Times New Roman"/>
                      <w:color w:val="auto"/>
                      <w:kern w:val="0"/>
                      <w:sz w:val="21"/>
                      <w:szCs w:val="21"/>
                    </w:rPr>
                    <w:t>020/06/01</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2</w:t>
                  </w:r>
                  <w:r>
                    <w:rPr>
                      <w:rFonts w:ascii="Times New Roman" w:hAnsi="Times New Roman"/>
                      <w:color w:val="auto"/>
                      <w:kern w:val="0"/>
                      <w:sz w:val="21"/>
                      <w:szCs w:val="21"/>
                    </w:rPr>
                    <w:t>020/06/02</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2</w:t>
                  </w:r>
                  <w:r>
                    <w:rPr>
                      <w:rFonts w:ascii="Times New Roman" w:hAnsi="Times New Roman"/>
                      <w:color w:val="auto"/>
                      <w:kern w:val="0"/>
                      <w:sz w:val="21"/>
                      <w:szCs w:val="21"/>
                    </w:rPr>
                    <w:t>020/06/03</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2</w:t>
                  </w:r>
                  <w:r>
                    <w:rPr>
                      <w:rFonts w:ascii="Times New Roman" w:hAnsi="Times New Roman"/>
                      <w:color w:val="auto"/>
                      <w:kern w:val="0"/>
                      <w:sz w:val="21"/>
                      <w:szCs w:val="21"/>
                    </w:rPr>
                    <w:t>020/06/04</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2</w:t>
                  </w:r>
                  <w:r>
                    <w:rPr>
                      <w:rFonts w:ascii="Times New Roman" w:hAnsi="Times New Roman"/>
                      <w:color w:val="auto"/>
                      <w:kern w:val="0"/>
                      <w:sz w:val="21"/>
                      <w:szCs w:val="21"/>
                    </w:rPr>
                    <w:t>020/06/05</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2</w:t>
                  </w:r>
                  <w:r>
                    <w:rPr>
                      <w:rFonts w:ascii="Times New Roman" w:hAnsi="Times New Roman"/>
                      <w:color w:val="auto"/>
                      <w:kern w:val="0"/>
                      <w:sz w:val="21"/>
                      <w:szCs w:val="21"/>
                    </w:rPr>
                    <w:t>020/06/06</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2</w:t>
                  </w:r>
                  <w:r>
                    <w:rPr>
                      <w:rFonts w:ascii="Times New Roman" w:hAnsi="Times New Roman"/>
                      <w:color w:val="auto"/>
                      <w:kern w:val="0"/>
                      <w:sz w:val="21"/>
                      <w:szCs w:val="21"/>
                    </w:rPr>
                    <w:t>020/06/07</w:t>
                  </w:r>
                </w:p>
              </w:tc>
              <w:tc>
                <w:tcPr>
                  <w:tcW w:w="0" w:type="auto"/>
                  <w:vMerge w:val="continue"/>
                  <w:vAlign w:val="center"/>
                </w:tcPr>
                <w:p>
                  <w:pPr>
                    <w:adjustRightInd w:val="0"/>
                    <w:snapToGrid w:val="0"/>
                    <w:spacing w:line="276" w:lineRule="auto"/>
                    <w:jc w:val="center"/>
                    <w:rPr>
                      <w:rFonts w:ascii="Times New Roman" w:hAnsi="Times New Roman"/>
                      <w:color w:val="auto"/>
                      <w:kern w:val="0"/>
                      <w:sz w:val="21"/>
                      <w:szCs w:val="21"/>
                    </w:rPr>
                  </w:pPr>
                </w:p>
              </w:tc>
              <w:tc>
                <w:tcPr>
                  <w:tcW w:w="0" w:type="auto"/>
                  <w:vMerge w:val="continue"/>
                  <w:vAlign w:val="center"/>
                </w:tcPr>
                <w:p>
                  <w:pPr>
                    <w:adjustRightInd w:val="0"/>
                    <w:snapToGrid w:val="0"/>
                    <w:spacing w:line="276"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restart"/>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A</w:t>
                  </w:r>
                  <w:r>
                    <w:rPr>
                      <w:rFonts w:hint="eastAsia" w:ascii="Times New Roman" w:hAnsi="Times New Roman"/>
                      <w:color w:val="auto"/>
                      <w:kern w:val="0"/>
                      <w:sz w:val="21"/>
                      <w:szCs w:val="21"/>
                      <w:lang w:val="en-US" w:eastAsia="zh-CN"/>
                    </w:rPr>
                    <w:t>1</w:t>
                  </w:r>
                  <w:r>
                    <w:rPr>
                      <w:rFonts w:hint="eastAsia" w:ascii="Times New Roman" w:hAnsi="Times New Roman"/>
                      <w:color w:val="auto"/>
                      <w:kern w:val="0"/>
                      <w:sz w:val="21"/>
                      <w:szCs w:val="21"/>
                    </w:rPr>
                    <w:t>：瓦窑</w:t>
                  </w:r>
                </w:p>
              </w:tc>
              <w:tc>
                <w:tcPr>
                  <w:tcW w:w="722" w:type="dxa"/>
                  <w:vMerge w:val="restart"/>
                  <w:vAlign w:val="center"/>
                </w:tcPr>
                <w:p>
                  <w:pPr>
                    <w:adjustRightInd w:val="0"/>
                    <w:snapToGrid w:val="0"/>
                    <w:spacing w:line="276" w:lineRule="auto"/>
                    <w:rPr>
                      <w:rFonts w:ascii="Times New Roman" w:hAnsi="Times New Roman"/>
                      <w:color w:val="auto"/>
                      <w:kern w:val="2"/>
                      <w:sz w:val="21"/>
                      <w:szCs w:val="21"/>
                    </w:rPr>
                  </w:pPr>
                  <w:r>
                    <w:rPr>
                      <w:rFonts w:hint="eastAsia" w:ascii="Times New Roman" w:hAnsi="Times New Roman"/>
                      <w:color w:val="auto"/>
                      <w:kern w:val="2"/>
                      <w:sz w:val="21"/>
                      <w:szCs w:val="21"/>
                    </w:rPr>
                    <w:t>TSP</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小时值</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μg/m</w:t>
                  </w:r>
                  <w:r>
                    <w:rPr>
                      <w:rFonts w:ascii="Times New Roman" w:hAnsi="Times New Roman"/>
                      <w:color w:val="auto"/>
                      <w:kern w:val="0"/>
                      <w:sz w:val="21"/>
                      <w:szCs w:val="21"/>
                      <w:vertAlign w:val="superscript"/>
                    </w:rPr>
                    <w:t>3</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5</w:t>
                  </w:r>
                  <w:r>
                    <w:rPr>
                      <w:rFonts w:ascii="Times New Roman" w:hAnsi="Times New Roman"/>
                      <w:color w:val="auto"/>
                      <w:kern w:val="0"/>
                      <w:sz w:val="21"/>
                      <w:szCs w:val="21"/>
                    </w:rPr>
                    <w:t>0~133</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6</w:t>
                  </w:r>
                  <w:r>
                    <w:rPr>
                      <w:rFonts w:ascii="Times New Roman" w:hAnsi="Times New Roman"/>
                      <w:color w:val="auto"/>
                      <w:kern w:val="0"/>
                      <w:sz w:val="21"/>
                      <w:szCs w:val="21"/>
                    </w:rPr>
                    <w:t>7~117</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6</w:t>
                  </w:r>
                  <w:r>
                    <w:rPr>
                      <w:rFonts w:ascii="Times New Roman" w:hAnsi="Times New Roman"/>
                      <w:color w:val="auto"/>
                      <w:kern w:val="0"/>
                      <w:sz w:val="21"/>
                      <w:szCs w:val="21"/>
                    </w:rPr>
                    <w:t>7~117</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8</w:t>
                  </w:r>
                  <w:r>
                    <w:rPr>
                      <w:rFonts w:ascii="Times New Roman" w:hAnsi="Times New Roman"/>
                      <w:color w:val="auto"/>
                      <w:kern w:val="0"/>
                      <w:sz w:val="21"/>
                      <w:szCs w:val="21"/>
                    </w:rPr>
                    <w:t>4~134</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6</w:t>
                  </w:r>
                  <w:r>
                    <w:rPr>
                      <w:rFonts w:ascii="Times New Roman" w:hAnsi="Times New Roman"/>
                      <w:color w:val="auto"/>
                      <w:kern w:val="0"/>
                      <w:sz w:val="21"/>
                      <w:szCs w:val="21"/>
                    </w:rPr>
                    <w:t>7~134</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5</w:t>
                  </w:r>
                  <w:r>
                    <w:rPr>
                      <w:rFonts w:ascii="Times New Roman" w:hAnsi="Times New Roman"/>
                      <w:color w:val="auto"/>
                      <w:kern w:val="0"/>
                      <w:sz w:val="21"/>
                      <w:szCs w:val="21"/>
                    </w:rPr>
                    <w:t>0~151</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6</w:t>
                  </w:r>
                  <w:r>
                    <w:rPr>
                      <w:rFonts w:ascii="Times New Roman" w:hAnsi="Times New Roman"/>
                      <w:color w:val="auto"/>
                      <w:kern w:val="0"/>
                      <w:sz w:val="21"/>
                      <w:szCs w:val="21"/>
                    </w:rPr>
                    <w:t>7~151</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9</w:t>
                  </w:r>
                  <w:r>
                    <w:rPr>
                      <w:rFonts w:ascii="Times New Roman" w:hAnsi="Times New Roman"/>
                      <w:color w:val="auto"/>
                      <w:kern w:val="0"/>
                      <w:sz w:val="21"/>
                      <w:szCs w:val="21"/>
                    </w:rPr>
                    <w:t>00*</w:t>
                  </w:r>
                </w:p>
              </w:tc>
              <w:tc>
                <w:tcPr>
                  <w:tcW w:w="0" w:type="auto"/>
                  <w:vAlign w:val="center"/>
                </w:tcPr>
                <w:p>
                  <w:pPr>
                    <w:adjustRightInd w:val="0"/>
                    <w:snapToGrid w:val="0"/>
                    <w:spacing w:line="276" w:lineRule="auto"/>
                    <w:jc w:val="center"/>
                    <w:rPr>
                      <w:rFonts w:ascii="Times New Roman" w:hAnsi="Times New Roman"/>
                      <w:color w:val="auto"/>
                      <w:kern w:val="0"/>
                      <w:sz w:val="20"/>
                      <w:szCs w:val="20"/>
                    </w:rPr>
                  </w:pPr>
                  <w:r>
                    <w:rPr>
                      <w:rFonts w:ascii="Times New Roman" w:hAnsi="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vAlign w:val="center"/>
                </w:tcPr>
                <w:p>
                  <w:pPr>
                    <w:adjustRightInd w:val="0"/>
                    <w:snapToGrid w:val="0"/>
                    <w:spacing w:line="276" w:lineRule="auto"/>
                    <w:jc w:val="center"/>
                    <w:rPr>
                      <w:rFonts w:ascii="Times New Roman" w:hAnsi="Times New Roman"/>
                      <w:color w:val="auto"/>
                      <w:kern w:val="0"/>
                      <w:sz w:val="21"/>
                      <w:szCs w:val="21"/>
                    </w:rPr>
                  </w:pPr>
                </w:p>
              </w:tc>
              <w:tc>
                <w:tcPr>
                  <w:tcW w:w="722" w:type="dxa"/>
                  <w:vMerge w:val="continue"/>
                  <w:vAlign w:val="center"/>
                </w:tcPr>
                <w:p>
                  <w:pPr>
                    <w:adjustRightInd w:val="0"/>
                    <w:snapToGrid w:val="0"/>
                    <w:spacing w:line="276" w:lineRule="auto"/>
                    <w:jc w:val="center"/>
                    <w:rPr>
                      <w:rFonts w:ascii="Times New Roman" w:hAnsi="Times New Roman"/>
                      <w:color w:val="auto"/>
                      <w:kern w:val="2"/>
                      <w:sz w:val="21"/>
                      <w:szCs w:val="21"/>
                    </w:rPr>
                  </w:pP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日均值</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μg/m</w:t>
                  </w:r>
                  <w:r>
                    <w:rPr>
                      <w:rFonts w:ascii="Times New Roman" w:hAnsi="Times New Roman"/>
                      <w:color w:val="auto"/>
                      <w:kern w:val="0"/>
                      <w:sz w:val="21"/>
                      <w:szCs w:val="21"/>
                      <w:vertAlign w:val="superscript"/>
                    </w:rPr>
                    <w:t>3</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88</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98</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97</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86</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89</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75</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76</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3</w:t>
                  </w:r>
                  <w:r>
                    <w:rPr>
                      <w:rFonts w:ascii="Times New Roman" w:hAnsi="Times New Roman"/>
                      <w:color w:val="auto"/>
                      <w:kern w:val="0"/>
                      <w:sz w:val="21"/>
                      <w:szCs w:val="21"/>
                    </w:rPr>
                    <w:t>00</w:t>
                  </w:r>
                </w:p>
              </w:tc>
              <w:tc>
                <w:tcPr>
                  <w:tcW w:w="0" w:type="auto"/>
                  <w:vAlign w:val="center"/>
                </w:tcPr>
                <w:p>
                  <w:pPr>
                    <w:adjustRightInd w:val="0"/>
                    <w:snapToGrid w:val="0"/>
                    <w:spacing w:line="276" w:lineRule="auto"/>
                    <w:jc w:val="center"/>
                    <w:rPr>
                      <w:rFonts w:ascii="Times New Roman" w:hAnsi="Times New Roman"/>
                      <w:color w:val="auto"/>
                      <w:kern w:val="0"/>
                      <w:sz w:val="20"/>
                      <w:szCs w:val="20"/>
                    </w:rPr>
                  </w:pPr>
                  <w:r>
                    <w:rPr>
                      <w:rFonts w:ascii="Times New Roman" w:hAnsi="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restart"/>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A</w:t>
                  </w:r>
                  <w:r>
                    <w:rPr>
                      <w:rFonts w:hint="eastAsia" w:ascii="Times New Roman" w:hAnsi="Times New Roman"/>
                      <w:color w:val="auto"/>
                      <w:kern w:val="0"/>
                      <w:sz w:val="21"/>
                      <w:szCs w:val="21"/>
                      <w:lang w:val="en-US" w:eastAsia="zh-CN"/>
                    </w:rPr>
                    <w:t>2</w:t>
                  </w:r>
                  <w:r>
                    <w:rPr>
                      <w:rFonts w:hint="eastAsia" w:ascii="Times New Roman" w:hAnsi="Times New Roman"/>
                      <w:color w:val="auto"/>
                      <w:kern w:val="0"/>
                      <w:sz w:val="21"/>
                      <w:szCs w:val="21"/>
                    </w:rPr>
                    <w:t>：大唐营</w:t>
                  </w:r>
                </w:p>
              </w:tc>
              <w:tc>
                <w:tcPr>
                  <w:tcW w:w="722" w:type="dxa"/>
                  <w:vMerge w:val="continue"/>
                  <w:vAlign w:val="center"/>
                </w:tcPr>
                <w:p>
                  <w:pPr>
                    <w:adjustRightInd w:val="0"/>
                    <w:snapToGrid w:val="0"/>
                    <w:spacing w:line="276" w:lineRule="auto"/>
                    <w:jc w:val="center"/>
                    <w:rPr>
                      <w:rFonts w:ascii="Times New Roman" w:hAnsi="Times New Roman"/>
                      <w:color w:val="auto"/>
                      <w:kern w:val="2"/>
                      <w:sz w:val="21"/>
                      <w:szCs w:val="21"/>
                    </w:rPr>
                  </w:pP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小时值</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μg/m</w:t>
                  </w:r>
                  <w:r>
                    <w:rPr>
                      <w:rFonts w:ascii="Times New Roman" w:hAnsi="Times New Roman"/>
                      <w:color w:val="auto"/>
                      <w:kern w:val="0"/>
                      <w:sz w:val="21"/>
                      <w:szCs w:val="21"/>
                      <w:vertAlign w:val="superscript"/>
                    </w:rPr>
                    <w:t>3</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6</w:t>
                  </w:r>
                  <w:r>
                    <w:rPr>
                      <w:rFonts w:ascii="Times New Roman" w:hAnsi="Times New Roman"/>
                      <w:color w:val="auto"/>
                      <w:kern w:val="0"/>
                      <w:sz w:val="21"/>
                      <w:szCs w:val="21"/>
                    </w:rPr>
                    <w:t>7~151</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8</w:t>
                  </w:r>
                  <w:r>
                    <w:rPr>
                      <w:rFonts w:ascii="Times New Roman" w:hAnsi="Times New Roman"/>
                      <w:color w:val="auto"/>
                      <w:kern w:val="0"/>
                      <w:sz w:val="21"/>
                      <w:szCs w:val="21"/>
                    </w:rPr>
                    <w:t>4~150</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8</w:t>
                  </w:r>
                  <w:r>
                    <w:rPr>
                      <w:rFonts w:ascii="Times New Roman" w:hAnsi="Times New Roman"/>
                      <w:color w:val="auto"/>
                      <w:kern w:val="0"/>
                      <w:sz w:val="21"/>
                      <w:szCs w:val="21"/>
                    </w:rPr>
                    <w:t>3~151</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8</w:t>
                  </w:r>
                  <w:r>
                    <w:rPr>
                      <w:rFonts w:ascii="Times New Roman" w:hAnsi="Times New Roman"/>
                      <w:color w:val="auto"/>
                      <w:kern w:val="0"/>
                      <w:sz w:val="21"/>
                      <w:szCs w:val="21"/>
                    </w:rPr>
                    <w:t>4~151</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8</w:t>
                  </w:r>
                  <w:r>
                    <w:rPr>
                      <w:rFonts w:ascii="Times New Roman" w:hAnsi="Times New Roman"/>
                      <w:color w:val="auto"/>
                      <w:kern w:val="0"/>
                      <w:sz w:val="21"/>
                      <w:szCs w:val="21"/>
                    </w:rPr>
                    <w:t>4~151</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6</w:t>
                  </w:r>
                  <w:r>
                    <w:rPr>
                      <w:rFonts w:ascii="Times New Roman" w:hAnsi="Times New Roman"/>
                      <w:color w:val="auto"/>
                      <w:kern w:val="0"/>
                      <w:sz w:val="21"/>
                      <w:szCs w:val="21"/>
                    </w:rPr>
                    <w:t>7~167</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6</w:t>
                  </w:r>
                  <w:r>
                    <w:rPr>
                      <w:rFonts w:ascii="Times New Roman" w:hAnsi="Times New Roman"/>
                      <w:color w:val="auto"/>
                      <w:kern w:val="0"/>
                      <w:sz w:val="21"/>
                      <w:szCs w:val="21"/>
                    </w:rPr>
                    <w:t>7~167</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9</w:t>
                  </w:r>
                  <w:r>
                    <w:rPr>
                      <w:rFonts w:ascii="Times New Roman" w:hAnsi="Times New Roman"/>
                      <w:color w:val="auto"/>
                      <w:kern w:val="0"/>
                      <w:sz w:val="21"/>
                      <w:szCs w:val="21"/>
                    </w:rPr>
                    <w:t>00*</w:t>
                  </w:r>
                </w:p>
              </w:tc>
              <w:tc>
                <w:tcPr>
                  <w:tcW w:w="0" w:type="auto"/>
                  <w:vAlign w:val="center"/>
                </w:tcPr>
                <w:p>
                  <w:pPr>
                    <w:adjustRightInd w:val="0"/>
                    <w:snapToGrid w:val="0"/>
                    <w:spacing w:line="276" w:lineRule="auto"/>
                    <w:jc w:val="center"/>
                    <w:rPr>
                      <w:rFonts w:ascii="Times New Roman" w:hAnsi="Times New Roman"/>
                      <w:color w:val="auto"/>
                      <w:kern w:val="0"/>
                      <w:sz w:val="20"/>
                      <w:szCs w:val="20"/>
                    </w:rPr>
                  </w:pPr>
                  <w:r>
                    <w:rPr>
                      <w:rFonts w:ascii="Times New Roman" w:hAnsi="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vAlign w:val="center"/>
                </w:tcPr>
                <w:p>
                  <w:pPr>
                    <w:adjustRightInd w:val="0"/>
                    <w:snapToGrid w:val="0"/>
                    <w:spacing w:line="276" w:lineRule="auto"/>
                    <w:jc w:val="center"/>
                    <w:rPr>
                      <w:rFonts w:ascii="Times New Roman" w:hAnsi="Times New Roman"/>
                      <w:color w:val="auto"/>
                      <w:kern w:val="0"/>
                      <w:sz w:val="21"/>
                      <w:szCs w:val="21"/>
                    </w:rPr>
                  </w:pPr>
                </w:p>
              </w:tc>
              <w:tc>
                <w:tcPr>
                  <w:tcW w:w="722" w:type="dxa"/>
                  <w:vMerge w:val="continue"/>
                  <w:vAlign w:val="center"/>
                </w:tcPr>
                <w:p>
                  <w:pPr>
                    <w:adjustRightInd w:val="0"/>
                    <w:snapToGrid w:val="0"/>
                    <w:spacing w:line="276" w:lineRule="auto"/>
                    <w:jc w:val="center"/>
                    <w:rPr>
                      <w:rFonts w:ascii="Times New Roman" w:hAnsi="Times New Roman"/>
                      <w:color w:val="auto"/>
                      <w:kern w:val="2"/>
                      <w:sz w:val="21"/>
                      <w:szCs w:val="21"/>
                    </w:rPr>
                  </w:pP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日均值</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μg/m</w:t>
                  </w:r>
                  <w:r>
                    <w:rPr>
                      <w:rFonts w:ascii="Times New Roman" w:hAnsi="Times New Roman"/>
                      <w:color w:val="auto"/>
                      <w:kern w:val="0"/>
                      <w:sz w:val="21"/>
                      <w:szCs w:val="21"/>
                      <w:vertAlign w:val="superscript"/>
                    </w:rPr>
                    <w:t>3</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113</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123</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104</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134</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137</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122</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125</w:t>
                  </w:r>
                </w:p>
              </w:tc>
              <w:tc>
                <w:tcPr>
                  <w:tcW w:w="0" w:type="auto"/>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3</w:t>
                  </w:r>
                  <w:r>
                    <w:rPr>
                      <w:rFonts w:ascii="Times New Roman" w:hAnsi="Times New Roman"/>
                      <w:color w:val="auto"/>
                      <w:kern w:val="0"/>
                      <w:sz w:val="21"/>
                      <w:szCs w:val="21"/>
                    </w:rPr>
                    <w:t>00</w:t>
                  </w:r>
                </w:p>
              </w:tc>
              <w:tc>
                <w:tcPr>
                  <w:tcW w:w="0" w:type="auto"/>
                  <w:vAlign w:val="center"/>
                </w:tcPr>
                <w:p>
                  <w:pPr>
                    <w:adjustRightInd w:val="0"/>
                    <w:snapToGrid w:val="0"/>
                    <w:spacing w:line="276" w:lineRule="auto"/>
                    <w:jc w:val="center"/>
                    <w:rPr>
                      <w:rFonts w:ascii="Times New Roman" w:hAnsi="Times New Roman"/>
                      <w:color w:val="auto"/>
                      <w:kern w:val="0"/>
                      <w:sz w:val="20"/>
                      <w:szCs w:val="20"/>
                    </w:rPr>
                  </w:pPr>
                  <w:r>
                    <w:rPr>
                      <w:rFonts w:ascii="Times New Roman" w:hAnsi="Times New Roman"/>
                      <w:color w:val="auto"/>
                      <w:kern w:val="0"/>
                      <w:sz w:val="21"/>
                      <w:szCs w:val="21"/>
                    </w:rPr>
                    <w:t>达标</w:t>
                  </w:r>
                </w:p>
              </w:tc>
            </w:tr>
          </w:tbl>
          <w:p>
            <w:pPr>
              <w:adjustRightInd w:val="0"/>
              <w:snapToGrid w:val="0"/>
              <w:spacing w:line="276" w:lineRule="auto"/>
              <w:jc w:val="left"/>
              <w:rPr>
                <w:rFonts w:ascii="Times New Roman" w:hAnsi="Times New Roman"/>
                <w:color w:val="auto"/>
                <w:kern w:val="0"/>
                <w:sz w:val="21"/>
                <w:szCs w:val="21"/>
              </w:rPr>
            </w:pPr>
            <w:r>
              <w:rPr>
                <w:rFonts w:ascii="Times New Roman" w:hAnsi="Times New Roman"/>
                <w:b/>
                <w:color w:val="auto"/>
                <w:kern w:val="2"/>
                <w:sz w:val="21"/>
                <w:szCs w:val="21"/>
              </w:rPr>
              <w:br w:type="page"/>
            </w:r>
            <w:bookmarkStart w:id="17" w:name="_Ref53222452"/>
            <w:r>
              <w:rPr>
                <w:rFonts w:hint="eastAsia" w:ascii="Times New Roman" w:hAnsi="Times New Roman"/>
                <w:color w:val="auto"/>
                <w:kern w:val="0"/>
                <w:sz w:val="21"/>
                <w:szCs w:val="21"/>
              </w:rPr>
              <w:t>注：带*的标准值为无小时值标准的情况下，日均值三倍折算后的小时值标准。</w:t>
            </w:r>
          </w:p>
          <w:p>
            <w:pPr>
              <w:adjustRightInd w:val="0"/>
              <w:snapToGrid w:val="0"/>
              <w:spacing w:before="163" w:beforeLines="50"/>
              <w:jc w:val="center"/>
              <w:rPr>
                <w:rFonts w:ascii="Times New Roman" w:hAnsi="Times New Roman"/>
                <w:b/>
                <w:color w:val="auto"/>
                <w:kern w:val="2"/>
                <w:sz w:val="21"/>
                <w:szCs w:val="21"/>
              </w:rPr>
            </w:pPr>
            <w:r>
              <w:rPr>
                <w:rFonts w:ascii="Times New Roman" w:hAnsi="Times New Roman"/>
                <w:b/>
                <w:color w:val="auto"/>
                <w:kern w:val="2"/>
                <w:sz w:val="21"/>
                <w:szCs w:val="21"/>
              </w:rPr>
              <w:t xml:space="preserve">表3- </w:t>
            </w:r>
            <w:r>
              <w:rPr>
                <w:rFonts w:hint="eastAsia" w:ascii="Times New Roman" w:hAnsi="Times New Roman"/>
                <w:b/>
                <w:color w:val="auto"/>
                <w:kern w:val="2"/>
                <w:sz w:val="21"/>
                <w:szCs w:val="21"/>
                <w:lang w:val="en-US" w:eastAsia="zh-CN"/>
              </w:rPr>
              <w:t>4</w:t>
            </w:r>
            <w:r>
              <w:rPr>
                <w:rFonts w:ascii="Times New Roman" w:hAnsi="Times New Roman"/>
                <w:b/>
                <w:color w:val="auto"/>
                <w:kern w:val="2"/>
                <w:sz w:val="21"/>
                <w:szCs w:val="21"/>
              </w:rPr>
              <w:fldChar w:fldCharType="begin"/>
            </w:r>
            <w:r>
              <w:rPr>
                <w:rFonts w:ascii="Times New Roman" w:hAnsi="Times New Roman"/>
                <w:b/>
                <w:color w:val="auto"/>
                <w:kern w:val="2"/>
                <w:sz w:val="21"/>
                <w:szCs w:val="21"/>
              </w:rPr>
              <w:instrText xml:space="preserve"> SEQ 5.2- \* ARABIC </w:instrText>
            </w:r>
            <w:r>
              <w:rPr>
                <w:rFonts w:ascii="Times New Roman" w:hAnsi="Times New Roman"/>
                <w:b/>
                <w:color w:val="auto"/>
                <w:kern w:val="2"/>
                <w:sz w:val="21"/>
                <w:szCs w:val="21"/>
              </w:rPr>
              <w:fldChar w:fldCharType="separate"/>
            </w:r>
            <w:r>
              <w:rPr>
                <w:rFonts w:ascii="Times New Roman" w:hAnsi="Times New Roman"/>
                <w:b/>
                <w:color w:val="auto"/>
                <w:kern w:val="2"/>
                <w:sz w:val="21"/>
                <w:szCs w:val="21"/>
              </w:rPr>
              <w:t>5</w:t>
            </w:r>
            <w:r>
              <w:rPr>
                <w:rFonts w:ascii="Times New Roman" w:hAnsi="Times New Roman"/>
                <w:b/>
                <w:color w:val="auto"/>
                <w:kern w:val="2"/>
                <w:sz w:val="21"/>
                <w:szCs w:val="21"/>
              </w:rPr>
              <w:fldChar w:fldCharType="end"/>
            </w:r>
            <w:bookmarkEnd w:id="17"/>
            <w:r>
              <w:rPr>
                <w:rFonts w:ascii="Times New Roman" w:hAnsi="Times New Roman"/>
                <w:b/>
                <w:color w:val="auto"/>
                <w:kern w:val="2"/>
                <w:sz w:val="21"/>
                <w:szCs w:val="21"/>
              </w:rPr>
              <w:t xml:space="preserve">   </w:t>
            </w:r>
            <w:r>
              <w:rPr>
                <w:rFonts w:hint="eastAsia" w:ascii="Times New Roman" w:hAnsi="Times New Roman"/>
                <w:b/>
                <w:color w:val="auto"/>
                <w:kern w:val="2"/>
                <w:sz w:val="21"/>
                <w:szCs w:val="21"/>
              </w:rPr>
              <w:t>现有项目无组织废气厂界</w:t>
            </w:r>
            <w:r>
              <w:rPr>
                <w:rFonts w:ascii="Times New Roman" w:hAnsi="Times New Roman"/>
                <w:b/>
                <w:color w:val="auto"/>
                <w:kern w:val="2"/>
                <w:sz w:val="21"/>
                <w:szCs w:val="21"/>
              </w:rPr>
              <w:t>监测结果</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946"/>
              <w:gridCol w:w="946"/>
              <w:gridCol w:w="1339"/>
              <w:gridCol w:w="1239"/>
              <w:gridCol w:w="1239"/>
              <w:gridCol w:w="1356"/>
              <w:gridCol w:w="1359"/>
              <w:gridCol w:w="3172"/>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gridSpan w:val="2"/>
                  <w:vMerge w:val="restart"/>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监测因子</w:t>
                  </w:r>
                </w:p>
              </w:tc>
              <w:tc>
                <w:tcPr>
                  <w:tcW w:w="339" w:type="pct"/>
                  <w:vMerge w:val="restart"/>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单位</w:t>
                  </w:r>
                </w:p>
              </w:tc>
              <w:tc>
                <w:tcPr>
                  <w:tcW w:w="480" w:type="pct"/>
                  <w:vMerge w:val="restart"/>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监测</w:t>
                  </w:r>
                  <w:r>
                    <w:rPr>
                      <w:rFonts w:hint="eastAsia" w:ascii="Times New Roman" w:hAnsi="Times New Roman"/>
                      <w:color w:val="auto"/>
                      <w:kern w:val="0"/>
                      <w:sz w:val="21"/>
                      <w:szCs w:val="21"/>
                    </w:rPr>
                    <w:t>时间</w:t>
                  </w:r>
                </w:p>
              </w:tc>
              <w:tc>
                <w:tcPr>
                  <w:tcW w:w="1861" w:type="pct"/>
                  <w:gridSpan w:val="4"/>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监测</w:t>
                  </w:r>
                  <w:r>
                    <w:rPr>
                      <w:rFonts w:hint="eastAsia" w:ascii="Times New Roman" w:hAnsi="Times New Roman"/>
                      <w:color w:val="auto"/>
                      <w:kern w:val="0"/>
                      <w:sz w:val="21"/>
                      <w:szCs w:val="21"/>
                    </w:rPr>
                    <w:t>点位</w:t>
                  </w:r>
                  <w:r>
                    <w:rPr>
                      <w:rFonts w:ascii="Times New Roman" w:hAnsi="Times New Roman"/>
                      <w:color w:val="auto"/>
                      <w:kern w:val="0"/>
                      <w:sz w:val="21"/>
                      <w:szCs w:val="21"/>
                    </w:rPr>
                    <w:t>及结果</w:t>
                  </w:r>
                </w:p>
              </w:tc>
              <w:tc>
                <w:tcPr>
                  <w:tcW w:w="1137" w:type="pct"/>
                  <w:vMerge w:val="restar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GB16297-1996表2标准值</w:t>
                  </w:r>
                </w:p>
              </w:tc>
              <w:tc>
                <w:tcPr>
                  <w:tcW w:w="421" w:type="pct"/>
                  <w:vMerge w:val="restart"/>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达标评述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gridSpan w:val="2"/>
                  <w:vMerge w:val="continue"/>
                  <w:vAlign w:val="center"/>
                </w:tcPr>
                <w:p>
                  <w:pPr>
                    <w:adjustRightInd w:val="0"/>
                    <w:snapToGrid w:val="0"/>
                    <w:spacing w:line="276" w:lineRule="auto"/>
                    <w:jc w:val="center"/>
                    <w:rPr>
                      <w:rFonts w:ascii="Times New Roman" w:hAnsi="Times New Roman"/>
                      <w:color w:val="auto"/>
                      <w:kern w:val="0"/>
                      <w:sz w:val="21"/>
                      <w:szCs w:val="21"/>
                    </w:rPr>
                  </w:pPr>
                </w:p>
              </w:tc>
              <w:tc>
                <w:tcPr>
                  <w:tcW w:w="339" w:type="pct"/>
                  <w:vMerge w:val="continue"/>
                  <w:vAlign w:val="center"/>
                </w:tcPr>
                <w:p>
                  <w:pPr>
                    <w:adjustRightInd w:val="0"/>
                    <w:snapToGrid w:val="0"/>
                    <w:spacing w:line="276" w:lineRule="auto"/>
                    <w:jc w:val="center"/>
                    <w:rPr>
                      <w:rFonts w:ascii="Times New Roman" w:hAnsi="Times New Roman"/>
                      <w:color w:val="auto"/>
                      <w:kern w:val="0"/>
                      <w:sz w:val="21"/>
                      <w:szCs w:val="21"/>
                    </w:rPr>
                  </w:pPr>
                </w:p>
              </w:tc>
              <w:tc>
                <w:tcPr>
                  <w:tcW w:w="480" w:type="pct"/>
                  <w:vMerge w:val="continue"/>
                  <w:vAlign w:val="center"/>
                </w:tcPr>
                <w:p>
                  <w:pPr>
                    <w:adjustRightInd w:val="0"/>
                    <w:snapToGrid w:val="0"/>
                    <w:spacing w:line="276" w:lineRule="auto"/>
                    <w:jc w:val="center"/>
                    <w:rPr>
                      <w:rFonts w:ascii="Times New Roman" w:hAnsi="Times New Roman"/>
                      <w:color w:val="auto"/>
                      <w:kern w:val="0"/>
                      <w:sz w:val="21"/>
                      <w:szCs w:val="21"/>
                    </w:rPr>
                  </w:pPr>
                </w:p>
              </w:tc>
              <w:tc>
                <w:tcPr>
                  <w:tcW w:w="444" w:type="pc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上风向8#</w:t>
                  </w:r>
                </w:p>
              </w:tc>
              <w:tc>
                <w:tcPr>
                  <w:tcW w:w="444" w:type="pc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下风向9#</w:t>
                  </w:r>
                </w:p>
              </w:tc>
              <w:tc>
                <w:tcPr>
                  <w:tcW w:w="486" w:type="pc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下风向10#</w:t>
                  </w:r>
                </w:p>
              </w:tc>
              <w:tc>
                <w:tcPr>
                  <w:tcW w:w="487" w:type="pc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下风向11#</w:t>
                  </w:r>
                </w:p>
              </w:tc>
              <w:tc>
                <w:tcPr>
                  <w:tcW w:w="1137" w:type="pct"/>
                  <w:vMerge w:val="continue"/>
                  <w:vAlign w:val="center"/>
                </w:tcPr>
                <w:p>
                  <w:pPr>
                    <w:adjustRightInd w:val="0"/>
                    <w:snapToGrid w:val="0"/>
                    <w:spacing w:line="276" w:lineRule="auto"/>
                    <w:jc w:val="center"/>
                    <w:rPr>
                      <w:rFonts w:ascii="Times New Roman" w:hAnsi="Times New Roman"/>
                      <w:color w:val="auto"/>
                      <w:kern w:val="0"/>
                      <w:sz w:val="21"/>
                      <w:szCs w:val="21"/>
                    </w:rPr>
                  </w:pPr>
                </w:p>
              </w:tc>
              <w:tc>
                <w:tcPr>
                  <w:tcW w:w="421" w:type="pct"/>
                  <w:vMerge w:val="continue"/>
                  <w:vAlign w:val="center"/>
                </w:tcPr>
                <w:p>
                  <w:pPr>
                    <w:adjustRightInd w:val="0"/>
                    <w:snapToGrid w:val="0"/>
                    <w:spacing w:line="276"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Merge w:val="restart"/>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TSP</w:t>
                  </w:r>
                </w:p>
              </w:tc>
              <w:tc>
                <w:tcPr>
                  <w:tcW w:w="339" w:type="pct"/>
                  <w:vMerge w:val="restart"/>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小时值</w:t>
                  </w:r>
                </w:p>
              </w:tc>
              <w:tc>
                <w:tcPr>
                  <w:tcW w:w="339" w:type="pct"/>
                  <w:vMerge w:val="restart"/>
                  <w:vAlign w:val="center"/>
                </w:tcPr>
                <w:p>
                  <w:pPr>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μg/m</w:t>
                  </w:r>
                  <w:r>
                    <w:rPr>
                      <w:rFonts w:ascii="Times New Roman" w:hAnsi="Times New Roman"/>
                      <w:color w:val="auto"/>
                      <w:kern w:val="0"/>
                      <w:sz w:val="21"/>
                      <w:szCs w:val="21"/>
                      <w:vertAlign w:val="superscript"/>
                    </w:rPr>
                    <w:t>3</w:t>
                  </w:r>
                </w:p>
              </w:tc>
              <w:tc>
                <w:tcPr>
                  <w:tcW w:w="480" w:type="pc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2</w:t>
                  </w:r>
                  <w:r>
                    <w:rPr>
                      <w:rFonts w:ascii="Times New Roman" w:hAnsi="Times New Roman"/>
                      <w:color w:val="auto"/>
                      <w:kern w:val="0"/>
                      <w:sz w:val="21"/>
                      <w:szCs w:val="21"/>
                    </w:rPr>
                    <w:t>020/06/03</w:t>
                  </w:r>
                </w:p>
              </w:tc>
              <w:tc>
                <w:tcPr>
                  <w:tcW w:w="444" w:type="pc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2</w:t>
                  </w:r>
                  <w:r>
                    <w:rPr>
                      <w:rFonts w:ascii="Times New Roman" w:hAnsi="Times New Roman"/>
                      <w:color w:val="auto"/>
                      <w:kern w:val="0"/>
                      <w:sz w:val="21"/>
                      <w:szCs w:val="21"/>
                    </w:rPr>
                    <w:t>18~251</w:t>
                  </w:r>
                </w:p>
              </w:tc>
              <w:tc>
                <w:tcPr>
                  <w:tcW w:w="444" w:type="pc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4</w:t>
                  </w:r>
                  <w:r>
                    <w:rPr>
                      <w:rFonts w:ascii="Times New Roman" w:hAnsi="Times New Roman"/>
                      <w:color w:val="auto"/>
                      <w:kern w:val="0"/>
                      <w:sz w:val="21"/>
                      <w:szCs w:val="21"/>
                    </w:rPr>
                    <w:t>19~468</w:t>
                  </w:r>
                </w:p>
              </w:tc>
              <w:tc>
                <w:tcPr>
                  <w:tcW w:w="486" w:type="pc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4</w:t>
                  </w:r>
                  <w:r>
                    <w:rPr>
                      <w:rFonts w:ascii="Times New Roman" w:hAnsi="Times New Roman"/>
                      <w:color w:val="auto"/>
                      <w:kern w:val="0"/>
                      <w:sz w:val="21"/>
                      <w:szCs w:val="21"/>
                    </w:rPr>
                    <w:t>35~452</w:t>
                  </w:r>
                </w:p>
              </w:tc>
              <w:tc>
                <w:tcPr>
                  <w:tcW w:w="487" w:type="pc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4</w:t>
                  </w:r>
                  <w:r>
                    <w:rPr>
                      <w:rFonts w:ascii="Times New Roman" w:hAnsi="Times New Roman"/>
                      <w:color w:val="auto"/>
                      <w:kern w:val="0"/>
                      <w:sz w:val="21"/>
                      <w:szCs w:val="21"/>
                    </w:rPr>
                    <w:t>18~468</w:t>
                  </w:r>
                </w:p>
              </w:tc>
              <w:tc>
                <w:tcPr>
                  <w:tcW w:w="1137" w:type="pc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w:t>
                  </w:r>
                  <w:r>
                    <w:rPr>
                      <w:rFonts w:ascii="Times New Roman" w:hAnsi="Times New Roman"/>
                      <w:color w:val="auto"/>
                      <w:kern w:val="0"/>
                      <w:sz w:val="21"/>
                      <w:szCs w:val="21"/>
                    </w:rPr>
                    <w:t>000</w:t>
                  </w:r>
                </w:p>
              </w:tc>
              <w:tc>
                <w:tcPr>
                  <w:tcW w:w="421" w:type="pct"/>
                  <w:vAlign w:val="center"/>
                </w:tcPr>
                <w:p>
                  <w:pPr>
                    <w:adjustRightInd w:val="0"/>
                    <w:snapToGrid w:val="0"/>
                    <w:spacing w:line="276" w:lineRule="auto"/>
                    <w:jc w:val="center"/>
                    <w:rPr>
                      <w:rFonts w:ascii="Times New Roman" w:hAnsi="Times New Roman"/>
                      <w:color w:val="auto"/>
                      <w:kern w:val="0"/>
                      <w:sz w:val="20"/>
                      <w:szCs w:val="20"/>
                    </w:rPr>
                  </w:pPr>
                  <w:r>
                    <w:rPr>
                      <w:rFonts w:ascii="Times New Roman" w:hAnsi="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adjustRightInd w:val="0"/>
                    <w:snapToGrid w:val="0"/>
                    <w:spacing w:line="276" w:lineRule="auto"/>
                    <w:jc w:val="center"/>
                    <w:rPr>
                      <w:rFonts w:ascii="Times New Roman" w:hAnsi="Times New Roman"/>
                      <w:color w:val="auto"/>
                      <w:kern w:val="0"/>
                      <w:sz w:val="21"/>
                      <w:szCs w:val="21"/>
                    </w:rPr>
                  </w:pPr>
                </w:p>
              </w:tc>
              <w:tc>
                <w:tcPr>
                  <w:tcW w:w="339" w:type="pct"/>
                  <w:vMerge w:val="continue"/>
                  <w:vAlign w:val="center"/>
                </w:tcPr>
                <w:p>
                  <w:pPr>
                    <w:adjustRightInd w:val="0"/>
                    <w:snapToGrid w:val="0"/>
                    <w:spacing w:line="276" w:lineRule="auto"/>
                    <w:jc w:val="center"/>
                    <w:rPr>
                      <w:rFonts w:ascii="Times New Roman" w:hAnsi="Times New Roman"/>
                      <w:color w:val="auto"/>
                      <w:kern w:val="0"/>
                      <w:sz w:val="21"/>
                      <w:szCs w:val="21"/>
                    </w:rPr>
                  </w:pPr>
                </w:p>
              </w:tc>
              <w:tc>
                <w:tcPr>
                  <w:tcW w:w="339" w:type="pct"/>
                  <w:vMerge w:val="continue"/>
                  <w:vAlign w:val="center"/>
                </w:tcPr>
                <w:p>
                  <w:pPr>
                    <w:adjustRightInd w:val="0"/>
                    <w:snapToGrid w:val="0"/>
                    <w:spacing w:line="276" w:lineRule="auto"/>
                    <w:jc w:val="center"/>
                    <w:rPr>
                      <w:rFonts w:ascii="Times New Roman" w:hAnsi="Times New Roman"/>
                      <w:color w:val="auto"/>
                      <w:kern w:val="0"/>
                      <w:sz w:val="21"/>
                      <w:szCs w:val="21"/>
                    </w:rPr>
                  </w:pPr>
                </w:p>
              </w:tc>
              <w:tc>
                <w:tcPr>
                  <w:tcW w:w="480" w:type="pc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2</w:t>
                  </w:r>
                  <w:r>
                    <w:rPr>
                      <w:rFonts w:ascii="Times New Roman" w:hAnsi="Times New Roman"/>
                      <w:color w:val="auto"/>
                      <w:kern w:val="0"/>
                      <w:sz w:val="21"/>
                      <w:szCs w:val="21"/>
                    </w:rPr>
                    <w:t>020/06/04</w:t>
                  </w:r>
                </w:p>
              </w:tc>
              <w:tc>
                <w:tcPr>
                  <w:tcW w:w="444" w:type="pc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2</w:t>
                  </w:r>
                  <w:r>
                    <w:rPr>
                      <w:rFonts w:ascii="Times New Roman" w:hAnsi="Times New Roman"/>
                      <w:color w:val="auto"/>
                      <w:kern w:val="0"/>
                      <w:sz w:val="21"/>
                      <w:szCs w:val="21"/>
                    </w:rPr>
                    <w:t>01~268</w:t>
                  </w:r>
                </w:p>
              </w:tc>
              <w:tc>
                <w:tcPr>
                  <w:tcW w:w="444" w:type="pc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4</w:t>
                  </w:r>
                  <w:r>
                    <w:rPr>
                      <w:rFonts w:ascii="Times New Roman" w:hAnsi="Times New Roman"/>
                      <w:color w:val="auto"/>
                      <w:kern w:val="0"/>
                      <w:sz w:val="21"/>
                      <w:szCs w:val="21"/>
                    </w:rPr>
                    <w:t>01~436</w:t>
                  </w:r>
                </w:p>
              </w:tc>
              <w:tc>
                <w:tcPr>
                  <w:tcW w:w="486" w:type="pc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4</w:t>
                  </w:r>
                  <w:r>
                    <w:rPr>
                      <w:rFonts w:ascii="Times New Roman" w:hAnsi="Times New Roman"/>
                      <w:color w:val="auto"/>
                      <w:kern w:val="0"/>
                      <w:sz w:val="21"/>
                      <w:szCs w:val="21"/>
                    </w:rPr>
                    <w:t>01~485</w:t>
                  </w:r>
                </w:p>
              </w:tc>
              <w:tc>
                <w:tcPr>
                  <w:tcW w:w="487" w:type="pc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4</w:t>
                  </w:r>
                  <w:r>
                    <w:rPr>
                      <w:rFonts w:ascii="Times New Roman" w:hAnsi="Times New Roman"/>
                      <w:color w:val="auto"/>
                      <w:kern w:val="0"/>
                      <w:sz w:val="21"/>
                      <w:szCs w:val="21"/>
                    </w:rPr>
                    <w:t>19~468</w:t>
                  </w:r>
                </w:p>
              </w:tc>
              <w:tc>
                <w:tcPr>
                  <w:tcW w:w="1137" w:type="pct"/>
                  <w:vAlign w:val="center"/>
                </w:tcPr>
                <w:p>
                  <w:pPr>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w:t>
                  </w:r>
                  <w:r>
                    <w:rPr>
                      <w:rFonts w:ascii="Times New Roman" w:hAnsi="Times New Roman"/>
                      <w:color w:val="auto"/>
                      <w:kern w:val="0"/>
                      <w:sz w:val="21"/>
                      <w:szCs w:val="21"/>
                    </w:rPr>
                    <w:t>000</w:t>
                  </w:r>
                </w:p>
              </w:tc>
              <w:tc>
                <w:tcPr>
                  <w:tcW w:w="421" w:type="pct"/>
                  <w:vAlign w:val="center"/>
                </w:tcPr>
                <w:p>
                  <w:pPr>
                    <w:adjustRightInd w:val="0"/>
                    <w:snapToGrid w:val="0"/>
                    <w:spacing w:line="276" w:lineRule="auto"/>
                    <w:jc w:val="center"/>
                    <w:rPr>
                      <w:rFonts w:ascii="Times New Roman" w:hAnsi="Times New Roman"/>
                      <w:color w:val="auto"/>
                      <w:kern w:val="0"/>
                      <w:sz w:val="20"/>
                      <w:szCs w:val="20"/>
                    </w:rPr>
                  </w:pPr>
                  <w:r>
                    <w:rPr>
                      <w:rFonts w:ascii="Times New Roman" w:hAnsi="Times New Roman"/>
                      <w:color w:val="auto"/>
                      <w:kern w:val="0"/>
                      <w:sz w:val="21"/>
                      <w:szCs w:val="21"/>
                    </w:rPr>
                    <w:t>达标</w:t>
                  </w:r>
                </w:p>
              </w:tc>
            </w:tr>
          </w:tbl>
          <w:p>
            <w:pPr>
              <w:adjustRightInd w:val="0"/>
              <w:snapToGrid w:val="0"/>
              <w:spacing w:before="100" w:beforeAutospacing="1" w:line="360" w:lineRule="auto"/>
              <w:rPr>
                <w:rFonts w:ascii="Times New Roman" w:hAnsi="Times New Roman"/>
                <w:b/>
                <w:bCs/>
                <w:color w:val="auto"/>
                <w:sz w:val="28"/>
                <w:szCs w:val="28"/>
              </w:rPr>
            </w:pPr>
          </w:p>
        </w:tc>
      </w:tr>
    </w:tbl>
    <w:p>
      <w:pPr>
        <w:adjustRightInd w:val="0"/>
        <w:snapToGrid w:val="0"/>
        <w:rPr>
          <w:color w:val="auto"/>
        </w:rPr>
        <w:sectPr>
          <w:pgSz w:w="16840" w:h="11907" w:orient="landscape"/>
          <w:pgMar w:top="1560" w:right="1440" w:bottom="1227" w:left="1440" w:header="567" w:footer="567" w:gutter="0"/>
          <w:pgNumType w:fmt="numberInDash"/>
          <w:cols w:space="720" w:num="1"/>
          <w:docGrid w:type="lines" w:linePitch="326" w:charSpace="0"/>
        </w:sect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52" w:hRule="atLeast"/>
        </w:trPr>
        <w:tc>
          <w:tcPr>
            <w:tcW w:w="91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line="360" w:lineRule="auto"/>
              <w:rPr>
                <w:rFonts w:ascii="Times New Roman" w:hAnsi="Times New Roman"/>
                <w:b/>
                <w:bCs/>
                <w:color w:val="auto"/>
              </w:rPr>
            </w:pPr>
            <w:r>
              <w:rPr>
                <w:rFonts w:ascii="Times New Roman" w:hAnsi="Times New Roman"/>
                <w:b/>
                <w:bCs/>
                <w:color w:val="auto"/>
              </w:rPr>
              <w:t xml:space="preserve">2、水环境质量 </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本项目位于宜良县，距离项目区最近的河流为西侧的南盘江支流南盘江老河道，属</w:t>
            </w:r>
            <w:r>
              <w:rPr>
                <w:rFonts w:ascii="Times New Roman" w:hAnsi="Times New Roman"/>
                <w:color w:val="auto"/>
              </w:rPr>
              <w:t>项目区属于珠江流域南盘江水系</w:t>
            </w:r>
            <w:r>
              <w:rPr>
                <w:rFonts w:ascii="Times New Roman" w:hAnsi="Times New Roman"/>
                <w:color w:val="auto"/>
              </w:rPr>
              <w:t>。根据《云南省地表水水环境功能区划(2010-2020)》，</w:t>
            </w:r>
            <w:r>
              <w:rPr>
                <w:rFonts w:ascii="Times New Roman" w:hAnsi="Times New Roman"/>
                <w:color w:val="auto"/>
              </w:rPr>
              <w:t>南盘江水环境功能</w:t>
            </w:r>
            <w:r>
              <w:rPr>
                <w:rFonts w:ascii="Times New Roman" w:hAnsi="Times New Roman"/>
                <w:color w:val="auto"/>
              </w:rPr>
              <w:t>区划为</w:t>
            </w:r>
            <w:r>
              <w:rPr>
                <w:rFonts w:hint="eastAsia" w:ascii="宋体" w:hAnsi="宋体" w:cs="宋体"/>
                <w:color w:val="auto"/>
              </w:rPr>
              <w:t>Ⅳ</w:t>
            </w:r>
            <w:r>
              <w:rPr>
                <w:rFonts w:ascii="Times New Roman" w:hAnsi="Times New Roman"/>
                <w:color w:val="auto"/>
              </w:rPr>
              <w:t>类</w:t>
            </w:r>
            <w:r>
              <w:rPr>
                <w:rFonts w:ascii="Times New Roman" w:hAnsi="Times New Roman"/>
                <w:color w:val="auto"/>
              </w:rPr>
              <w:t>水体，“</w:t>
            </w:r>
            <w:r>
              <w:rPr>
                <w:rFonts w:ascii="Times New Roman" w:hAnsi="Times New Roman"/>
                <w:color w:val="auto"/>
              </w:rPr>
              <w:t>柴石滩水库-狗街镇河段</w:t>
            </w:r>
            <w:r>
              <w:rPr>
                <w:rFonts w:ascii="Times New Roman" w:hAnsi="Times New Roman"/>
                <w:color w:val="auto"/>
              </w:rPr>
              <w:t>”水环境功能为工业用水、农业用水，执行《地表水环境质量标准》GB3838-2002</w:t>
            </w:r>
            <w:r>
              <w:rPr>
                <w:rFonts w:hint="eastAsia" w:ascii="宋体" w:hAnsi="宋体" w:cs="宋体"/>
                <w:color w:val="auto"/>
              </w:rPr>
              <w:t>Ⅳ</w:t>
            </w:r>
            <w:r>
              <w:rPr>
                <w:rFonts w:ascii="Times New Roman" w:hAnsi="Times New Roman"/>
                <w:color w:val="auto"/>
              </w:rPr>
              <w:t>类</w:t>
            </w:r>
            <w:r>
              <w:rPr>
                <w:rFonts w:ascii="Times New Roman" w:hAnsi="Times New Roman"/>
                <w:color w:val="auto"/>
              </w:rPr>
              <w:t>标准。</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根据《2019年昆明市环境状况公报》，南盘江狗街水质</w:t>
            </w:r>
            <w:r>
              <w:rPr>
                <w:rFonts w:ascii="Times New Roman" w:hAnsi="Times New Roman"/>
                <w:color w:val="auto"/>
              </w:rPr>
              <w:t>断面为</w:t>
            </w:r>
            <w:r>
              <w:rPr>
                <w:rFonts w:hint="eastAsia" w:ascii="宋体" w:hAnsi="宋体" w:cs="宋体"/>
                <w:color w:val="auto"/>
              </w:rPr>
              <w:t>Ⅳ</w:t>
            </w:r>
            <w:r>
              <w:rPr>
                <w:rFonts w:ascii="Times New Roman" w:hAnsi="Times New Roman"/>
                <w:color w:val="auto"/>
              </w:rPr>
              <w:t>类</w:t>
            </w:r>
            <w:r>
              <w:rPr>
                <w:rFonts w:ascii="Times New Roman" w:hAnsi="Times New Roman"/>
                <w:color w:val="auto"/>
              </w:rPr>
              <w:t>水质。</w:t>
            </w:r>
            <w:r>
              <w:rPr>
                <w:rFonts w:ascii="Times New Roman" w:hAnsi="Times New Roman"/>
                <w:color w:val="auto"/>
              </w:rPr>
              <w:t>南盘江</w:t>
            </w:r>
            <w:r>
              <w:rPr>
                <w:rFonts w:ascii="Times New Roman" w:hAnsi="Times New Roman"/>
                <w:color w:val="auto"/>
              </w:rPr>
              <w:t>水质能满足《地表水环境质量标准》（GB3838-2002）中的</w:t>
            </w:r>
            <w:r>
              <w:rPr>
                <w:rFonts w:hint="eastAsia" w:ascii="宋体" w:hAnsi="宋体" w:cs="宋体"/>
                <w:color w:val="auto"/>
              </w:rPr>
              <w:t>Ⅳ</w:t>
            </w:r>
            <w:r>
              <w:rPr>
                <w:rFonts w:ascii="Times New Roman" w:hAnsi="Times New Roman"/>
                <w:color w:val="auto"/>
              </w:rPr>
              <w:t>类标准。</w:t>
            </w:r>
          </w:p>
          <w:p>
            <w:pPr>
              <w:adjustRightInd w:val="0"/>
              <w:snapToGrid w:val="0"/>
              <w:spacing w:before="100" w:beforeAutospacing="1" w:line="360" w:lineRule="auto"/>
              <w:rPr>
                <w:rFonts w:ascii="Times New Roman" w:hAnsi="Times New Roman"/>
                <w:b/>
                <w:bCs/>
                <w:color w:val="auto"/>
              </w:rPr>
            </w:pPr>
            <w:r>
              <w:rPr>
                <w:rFonts w:ascii="Times New Roman" w:hAnsi="Times New Roman"/>
                <w:b/>
                <w:bCs/>
                <w:color w:val="auto"/>
              </w:rPr>
              <w:t>3、声环境质量</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评价区域属于昆明市宜良县郊区，属于工业、农业混合区，项目区域西侧</w:t>
            </w:r>
            <w:r>
              <w:rPr>
                <w:rFonts w:hint="eastAsia" w:ascii="Times New Roman" w:hAnsi="Times New Roman"/>
                <w:color w:val="auto"/>
              </w:rPr>
              <w:t>、西北侧</w:t>
            </w:r>
            <w:r>
              <w:rPr>
                <w:rFonts w:ascii="Times New Roman" w:hAnsi="Times New Roman"/>
                <w:color w:val="auto"/>
              </w:rPr>
              <w:t>为省道207，省道207两侧35米范围内声环境质量执行《声环境质量标准》（GB3096-2008）4a类标准，其余区域执行2类标准。</w:t>
            </w:r>
          </w:p>
          <w:p>
            <w:pPr>
              <w:pStyle w:val="16"/>
              <w:adjustRightInd w:val="0"/>
              <w:snapToGrid w:val="0"/>
              <w:spacing w:before="0" w:after="0" w:line="360" w:lineRule="auto"/>
              <w:ind w:firstLine="482"/>
              <w:jc w:val="left"/>
              <w:rPr>
                <w:rFonts w:ascii="Times New Roman" w:hAnsi="Times New Roman"/>
                <w:color w:val="auto"/>
              </w:rPr>
            </w:pPr>
            <w:r>
              <w:rPr>
                <w:rFonts w:ascii="Times New Roman" w:hAnsi="Times New Roman"/>
                <w:color w:val="auto"/>
              </w:rPr>
              <w:t>建设单位</w:t>
            </w:r>
            <w:r>
              <w:rPr>
                <w:rFonts w:hint="eastAsia" w:ascii="Times New Roman" w:hAnsi="Times New Roman"/>
                <w:color w:val="auto"/>
              </w:rPr>
              <w:t>针对</w:t>
            </w:r>
            <w:r>
              <w:rPr>
                <w:rFonts w:ascii="Times New Roman" w:hAnsi="Times New Roman"/>
                <w:color w:val="auto"/>
                <w:kern w:val="0"/>
              </w:rPr>
              <w:t>宜良明丰造纸厂</w:t>
            </w:r>
            <w:r>
              <w:rPr>
                <w:rFonts w:hint="eastAsia" w:ascii="Times New Roman" w:hAnsi="Times New Roman"/>
                <w:color w:val="auto"/>
                <w:kern w:val="0"/>
              </w:rPr>
              <w:t>的“</w:t>
            </w:r>
            <w:r>
              <w:rPr>
                <w:rFonts w:hint="eastAsia" w:ascii="Times New Roman" w:hAnsi="Times New Roman"/>
                <w:color w:val="auto"/>
              </w:rPr>
              <w:t>废纸回收利用年产5万吨瓦楞纸原纸生产线技改项目</w:t>
            </w:r>
            <w:r>
              <w:rPr>
                <w:rFonts w:hint="eastAsia" w:ascii="Times New Roman" w:hAnsi="Times New Roman"/>
                <w:color w:val="auto"/>
                <w:kern w:val="0"/>
              </w:rPr>
              <w:t>”</w:t>
            </w:r>
            <w:r>
              <w:rPr>
                <w:rFonts w:hint="eastAsia" w:ascii="Times New Roman" w:hAnsi="Times New Roman"/>
                <w:color w:val="auto"/>
              </w:rPr>
              <w:t>，</w:t>
            </w:r>
            <w:r>
              <w:rPr>
                <w:rFonts w:ascii="Times New Roman" w:hAnsi="Times New Roman"/>
                <w:color w:val="auto"/>
              </w:rPr>
              <w:t>委托</w:t>
            </w:r>
            <w:r>
              <w:rPr>
                <w:rFonts w:hint="eastAsia" w:ascii="Times New Roman" w:hAnsi="Times New Roman"/>
                <w:color w:val="auto"/>
              </w:rPr>
              <w:t>云南鼎祺环境检测有限公司</w:t>
            </w:r>
            <w:r>
              <w:rPr>
                <w:rFonts w:ascii="Times New Roman" w:hAnsi="Times New Roman"/>
                <w:color w:val="auto"/>
              </w:rPr>
              <w:t>于2020年6月5日~6日对</w:t>
            </w:r>
            <w:r>
              <w:rPr>
                <w:rFonts w:hint="eastAsia" w:ascii="Times New Roman" w:hAnsi="Times New Roman"/>
                <w:color w:val="auto"/>
              </w:rPr>
              <w:t>现有</w:t>
            </w:r>
            <w:r>
              <w:rPr>
                <w:rFonts w:ascii="Times New Roman" w:hAnsi="Times New Roman"/>
                <w:color w:val="auto"/>
              </w:rPr>
              <w:t>项目</w:t>
            </w:r>
            <w:r>
              <w:rPr>
                <w:rFonts w:hint="eastAsia" w:ascii="Times New Roman" w:hAnsi="Times New Roman"/>
                <w:color w:val="auto"/>
              </w:rPr>
              <w:t>厂界</w:t>
            </w:r>
            <w:r>
              <w:rPr>
                <w:rFonts w:ascii="Times New Roman" w:hAnsi="Times New Roman"/>
                <w:color w:val="auto"/>
              </w:rPr>
              <w:t>区域</w:t>
            </w:r>
            <w:r>
              <w:rPr>
                <w:rFonts w:hint="eastAsia" w:ascii="Times New Roman" w:hAnsi="Times New Roman"/>
                <w:color w:val="auto"/>
              </w:rPr>
              <w:t>及评价范围内的敏感点声</w:t>
            </w:r>
            <w:r>
              <w:rPr>
                <w:rFonts w:ascii="Times New Roman" w:hAnsi="Times New Roman"/>
                <w:color w:val="auto"/>
              </w:rPr>
              <w:t>环境质量现状进行了监测</w:t>
            </w:r>
            <w:r>
              <w:rPr>
                <w:rFonts w:hint="eastAsia" w:ascii="Times New Roman" w:hAnsi="Times New Roman"/>
                <w:color w:val="auto"/>
              </w:rPr>
              <w:t>。本项目位于</w:t>
            </w:r>
            <w:r>
              <w:rPr>
                <w:rFonts w:ascii="Times New Roman" w:hAnsi="Times New Roman"/>
                <w:color w:val="auto"/>
                <w:kern w:val="0"/>
              </w:rPr>
              <w:t>宜良明丰造纸厂</w:t>
            </w:r>
            <w:r>
              <w:rPr>
                <w:rFonts w:hint="eastAsia" w:ascii="Times New Roman" w:hAnsi="Times New Roman"/>
                <w:color w:val="auto"/>
                <w:kern w:val="0"/>
              </w:rPr>
              <w:t>现有项目厂区内，本次环评引用该项目的部分现状监测数据，监测报告见附件，监测布点图见附图5</w:t>
            </w:r>
          </w:p>
          <w:p>
            <w:pPr>
              <w:numPr>
                <w:ilvl w:val="0"/>
                <w:numId w:val="3"/>
              </w:numPr>
              <w:adjustRightInd w:val="0"/>
              <w:snapToGrid w:val="0"/>
              <w:spacing w:line="360" w:lineRule="auto"/>
              <w:ind w:firstLine="480" w:firstLineChars="200"/>
              <w:rPr>
                <w:rFonts w:ascii="Times New Roman" w:hAnsi="Times New Roman"/>
                <w:color w:val="auto"/>
              </w:rPr>
            </w:pPr>
            <w:r>
              <w:rPr>
                <w:rFonts w:ascii="Times New Roman" w:hAnsi="Times New Roman"/>
                <w:color w:val="auto"/>
              </w:rPr>
              <w:t>监测点位</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本次评价共布设5个噪声监测点，监测点位见表3-6和附图</w:t>
            </w:r>
            <w:r>
              <w:rPr>
                <w:rFonts w:hint="eastAsia" w:ascii="Times New Roman" w:hAnsi="Times New Roman"/>
                <w:color w:val="auto"/>
              </w:rPr>
              <w:t>5</w:t>
            </w:r>
            <w:r>
              <w:rPr>
                <w:rFonts w:ascii="Times New Roman" w:hAnsi="Times New Roman"/>
                <w:color w:val="auto"/>
              </w:rPr>
              <w:t>所示。</w:t>
            </w:r>
            <w:r>
              <w:rPr>
                <w:rFonts w:hint="eastAsia" w:ascii="Times New Roman" w:hAnsi="Times New Roman"/>
                <w:color w:val="auto"/>
              </w:rPr>
              <w:t>其中北、西厂界和西南侧最近住户（</w:t>
            </w:r>
            <w:r>
              <w:rPr>
                <w:rFonts w:ascii="Times New Roman" w:hAnsi="Times New Roman"/>
                <w:color w:val="auto"/>
              </w:rPr>
              <w:t>小唐营散户</w:t>
            </w:r>
            <w:r>
              <w:rPr>
                <w:rFonts w:hint="eastAsia" w:ascii="Times New Roman" w:hAnsi="Times New Roman"/>
                <w:color w:val="auto"/>
              </w:rPr>
              <w:t>）位于</w:t>
            </w:r>
            <w:r>
              <w:rPr>
                <w:rFonts w:ascii="Times New Roman" w:hAnsi="Times New Roman"/>
                <w:color w:val="auto"/>
              </w:rPr>
              <w:t>省道207两侧35米范围内</w:t>
            </w:r>
            <w:r>
              <w:rPr>
                <w:rFonts w:hint="eastAsia" w:ascii="Times New Roman" w:hAnsi="Times New Roman"/>
                <w:color w:val="auto"/>
              </w:rPr>
              <w:t>，执行4</w:t>
            </w:r>
            <w:r>
              <w:rPr>
                <w:rFonts w:ascii="Times New Roman" w:hAnsi="Times New Roman"/>
                <w:color w:val="auto"/>
              </w:rPr>
              <w:t>a</w:t>
            </w:r>
            <w:r>
              <w:rPr>
                <w:rFonts w:hint="eastAsia" w:ascii="Times New Roman" w:hAnsi="Times New Roman"/>
                <w:color w:val="auto"/>
              </w:rPr>
              <w:t>类标准。</w:t>
            </w:r>
          </w:p>
          <w:p>
            <w:pPr>
              <w:adjustRightInd w:val="0"/>
              <w:snapToGrid w:val="0"/>
              <w:ind w:firstLine="21" w:firstLineChars="10"/>
              <w:jc w:val="center"/>
              <w:rPr>
                <w:rFonts w:ascii="Times New Roman" w:hAnsi="Times New Roman"/>
                <w:b/>
                <w:bCs/>
                <w:color w:val="auto"/>
                <w:sz w:val="21"/>
                <w:szCs w:val="21"/>
              </w:rPr>
            </w:pPr>
            <w:r>
              <w:rPr>
                <w:rFonts w:ascii="Times New Roman" w:hAnsi="Times New Roman"/>
                <w:b/>
                <w:bCs/>
                <w:color w:val="auto"/>
                <w:sz w:val="21"/>
                <w:szCs w:val="21"/>
              </w:rPr>
              <w:t>表3-6  声环境现状监测点位布置表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3966"/>
              <w:gridCol w:w="2139"/>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1" w:type="pct"/>
                  <w:vAlign w:val="center"/>
                </w:tcPr>
                <w:p>
                  <w:pPr>
                    <w:pStyle w:val="16"/>
                    <w:adjustRightInd w:val="0"/>
                    <w:snapToGrid w:val="0"/>
                    <w:spacing w:after="0" w:line="276" w:lineRule="auto"/>
                    <w:rPr>
                      <w:rFonts w:ascii="Times New Roman" w:hAnsi="Times New Roman"/>
                      <w:b/>
                      <w:bCs/>
                      <w:color w:val="auto"/>
                      <w:sz w:val="21"/>
                      <w:szCs w:val="21"/>
                    </w:rPr>
                  </w:pPr>
                  <w:r>
                    <w:rPr>
                      <w:rFonts w:ascii="Times New Roman" w:hAnsi="Times New Roman"/>
                      <w:b/>
                      <w:bCs/>
                      <w:color w:val="auto"/>
                      <w:sz w:val="21"/>
                      <w:szCs w:val="21"/>
                    </w:rPr>
                    <w:t>序号</w:t>
                  </w:r>
                </w:p>
              </w:tc>
              <w:tc>
                <w:tcPr>
                  <w:tcW w:w="2232" w:type="pct"/>
                  <w:vAlign w:val="center"/>
                </w:tcPr>
                <w:p>
                  <w:pPr>
                    <w:pStyle w:val="16"/>
                    <w:adjustRightInd w:val="0"/>
                    <w:snapToGrid w:val="0"/>
                    <w:spacing w:after="0" w:line="276" w:lineRule="auto"/>
                    <w:rPr>
                      <w:rFonts w:ascii="Times New Roman" w:hAnsi="Times New Roman"/>
                      <w:b/>
                      <w:bCs/>
                      <w:color w:val="auto"/>
                      <w:sz w:val="21"/>
                      <w:szCs w:val="21"/>
                    </w:rPr>
                  </w:pPr>
                  <w:r>
                    <w:rPr>
                      <w:rFonts w:ascii="Times New Roman" w:hAnsi="Times New Roman"/>
                      <w:b/>
                      <w:bCs/>
                      <w:color w:val="auto"/>
                      <w:sz w:val="21"/>
                      <w:szCs w:val="21"/>
                    </w:rPr>
                    <w:t>监测点名称</w:t>
                  </w:r>
                </w:p>
              </w:tc>
              <w:tc>
                <w:tcPr>
                  <w:tcW w:w="1204" w:type="pct"/>
                  <w:vAlign w:val="center"/>
                </w:tcPr>
                <w:p>
                  <w:pPr>
                    <w:pStyle w:val="16"/>
                    <w:adjustRightInd w:val="0"/>
                    <w:snapToGrid w:val="0"/>
                    <w:spacing w:after="0" w:line="276" w:lineRule="auto"/>
                    <w:rPr>
                      <w:rFonts w:ascii="Times New Roman" w:hAnsi="Times New Roman"/>
                      <w:b/>
                      <w:bCs/>
                      <w:color w:val="auto"/>
                      <w:sz w:val="21"/>
                      <w:szCs w:val="21"/>
                    </w:rPr>
                  </w:pPr>
                  <w:r>
                    <w:rPr>
                      <w:rFonts w:hint="eastAsia" w:ascii="Times New Roman" w:hAnsi="Times New Roman"/>
                      <w:b/>
                      <w:bCs/>
                      <w:color w:val="auto"/>
                      <w:sz w:val="21"/>
                      <w:szCs w:val="21"/>
                    </w:rPr>
                    <w:t>与本项目最近距离（m）</w:t>
                  </w:r>
                </w:p>
              </w:tc>
              <w:tc>
                <w:tcPr>
                  <w:tcW w:w="1203" w:type="pct"/>
                  <w:vAlign w:val="center"/>
                </w:tcPr>
                <w:p>
                  <w:pPr>
                    <w:pStyle w:val="16"/>
                    <w:adjustRightInd w:val="0"/>
                    <w:snapToGrid w:val="0"/>
                    <w:spacing w:after="0" w:line="276" w:lineRule="auto"/>
                    <w:rPr>
                      <w:rFonts w:ascii="Times New Roman" w:hAnsi="Times New Roman"/>
                      <w:b/>
                      <w:bCs/>
                      <w:color w:val="auto"/>
                      <w:sz w:val="21"/>
                      <w:szCs w:val="21"/>
                    </w:rPr>
                  </w:pPr>
                  <w:r>
                    <w:rPr>
                      <w:rFonts w:ascii="Times New Roman" w:hAnsi="Times New Roman"/>
                      <w:b/>
                      <w:bCs/>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1" w:type="pct"/>
                  <w:vAlign w:val="center"/>
                </w:tcPr>
                <w:p>
                  <w:pPr>
                    <w:pStyle w:val="16"/>
                    <w:adjustRightInd w:val="0"/>
                    <w:snapToGrid w:val="0"/>
                    <w:spacing w:after="0" w:line="276" w:lineRule="auto"/>
                    <w:rPr>
                      <w:rFonts w:ascii="Times New Roman" w:hAnsi="Times New Roman"/>
                      <w:color w:val="auto"/>
                      <w:sz w:val="21"/>
                      <w:szCs w:val="21"/>
                    </w:rPr>
                  </w:pPr>
                  <w:r>
                    <w:rPr>
                      <w:rFonts w:ascii="Times New Roman" w:hAnsi="Times New Roman"/>
                      <w:color w:val="auto"/>
                      <w:sz w:val="21"/>
                      <w:szCs w:val="21"/>
                    </w:rPr>
                    <w:t>N1</w:t>
                  </w:r>
                </w:p>
              </w:tc>
              <w:tc>
                <w:tcPr>
                  <w:tcW w:w="2232"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宜良明丰造纸厂厂界东</w:t>
                  </w:r>
                </w:p>
              </w:tc>
              <w:tc>
                <w:tcPr>
                  <w:tcW w:w="1204" w:type="pct"/>
                  <w:vAlign w:val="center"/>
                </w:tcPr>
                <w:p>
                  <w:pPr>
                    <w:pStyle w:val="16"/>
                    <w:adjustRightInd w:val="0"/>
                    <w:snapToGrid w:val="0"/>
                    <w:spacing w:after="0" w:line="276" w:lineRule="auto"/>
                    <w:rPr>
                      <w:rFonts w:ascii="Times New Roman" w:hAnsi="Times New Roman"/>
                      <w:color w:val="auto"/>
                      <w:sz w:val="21"/>
                      <w:szCs w:val="21"/>
                    </w:rPr>
                  </w:pPr>
                  <w:r>
                    <w:rPr>
                      <w:rFonts w:hint="eastAsia" w:ascii="Times New Roman" w:hAnsi="Times New Roman"/>
                      <w:color w:val="auto"/>
                      <w:sz w:val="21"/>
                      <w:szCs w:val="21"/>
                    </w:rPr>
                    <w:t>1</w:t>
                  </w:r>
                  <w:r>
                    <w:rPr>
                      <w:rFonts w:ascii="Times New Roman" w:hAnsi="Times New Roman"/>
                      <w:color w:val="auto"/>
                      <w:sz w:val="21"/>
                      <w:szCs w:val="21"/>
                    </w:rPr>
                    <w:t>04</w:t>
                  </w:r>
                </w:p>
              </w:tc>
              <w:tc>
                <w:tcPr>
                  <w:tcW w:w="1203" w:type="pct"/>
                  <w:vMerge w:val="restart"/>
                  <w:vAlign w:val="center"/>
                </w:tcPr>
                <w:p>
                  <w:pPr>
                    <w:pStyle w:val="16"/>
                    <w:adjustRightInd w:val="0"/>
                    <w:snapToGrid w:val="0"/>
                    <w:spacing w:after="0" w:line="276" w:lineRule="auto"/>
                    <w:rPr>
                      <w:rFonts w:ascii="Times New Roman" w:hAnsi="Times New Roman"/>
                      <w:color w:val="auto"/>
                      <w:sz w:val="21"/>
                      <w:szCs w:val="21"/>
                    </w:rPr>
                  </w:pPr>
                  <w:r>
                    <w:rPr>
                      <w:rFonts w:ascii="Times New Roman" w:hAnsi="Times New Roman"/>
                      <w:color w:val="auto"/>
                      <w:sz w:val="21"/>
                      <w:szCs w:val="21"/>
                    </w:rPr>
                    <w:t>《声环境质量标准》（GB 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1" w:type="pct"/>
                  <w:vAlign w:val="center"/>
                </w:tcPr>
                <w:p>
                  <w:pPr>
                    <w:pStyle w:val="16"/>
                    <w:adjustRightInd w:val="0"/>
                    <w:snapToGrid w:val="0"/>
                    <w:spacing w:after="0" w:line="276" w:lineRule="auto"/>
                    <w:rPr>
                      <w:rFonts w:ascii="Times New Roman" w:hAnsi="Times New Roman"/>
                      <w:color w:val="auto"/>
                      <w:sz w:val="21"/>
                      <w:szCs w:val="21"/>
                    </w:rPr>
                  </w:pPr>
                  <w:r>
                    <w:rPr>
                      <w:rFonts w:hint="eastAsia" w:ascii="Times New Roman" w:hAnsi="Times New Roman"/>
                      <w:color w:val="auto"/>
                      <w:sz w:val="21"/>
                      <w:szCs w:val="21"/>
                    </w:rPr>
                    <w:t>N2</w:t>
                  </w:r>
                </w:p>
              </w:tc>
              <w:tc>
                <w:tcPr>
                  <w:tcW w:w="2232"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宜良明丰造纸厂厂界南</w:t>
                  </w:r>
                </w:p>
              </w:tc>
              <w:tc>
                <w:tcPr>
                  <w:tcW w:w="1204" w:type="pct"/>
                  <w:vAlign w:val="center"/>
                </w:tcPr>
                <w:p>
                  <w:pPr>
                    <w:pStyle w:val="16"/>
                    <w:adjustRightInd w:val="0"/>
                    <w:snapToGrid w:val="0"/>
                    <w:spacing w:after="0" w:line="276" w:lineRule="auto"/>
                    <w:rPr>
                      <w:rFonts w:ascii="Times New Roman" w:hAnsi="Times New Roman"/>
                      <w:color w:val="auto"/>
                      <w:sz w:val="21"/>
                      <w:szCs w:val="21"/>
                    </w:rPr>
                  </w:pPr>
                  <w:r>
                    <w:rPr>
                      <w:rFonts w:hint="eastAsia" w:ascii="Times New Roman" w:hAnsi="Times New Roman"/>
                      <w:color w:val="auto"/>
                      <w:sz w:val="21"/>
                      <w:szCs w:val="21"/>
                    </w:rPr>
                    <w:t>1</w:t>
                  </w:r>
                  <w:r>
                    <w:rPr>
                      <w:rFonts w:ascii="Times New Roman" w:hAnsi="Times New Roman"/>
                      <w:color w:val="auto"/>
                      <w:sz w:val="21"/>
                      <w:szCs w:val="21"/>
                    </w:rPr>
                    <w:t>4</w:t>
                  </w:r>
                </w:p>
              </w:tc>
              <w:tc>
                <w:tcPr>
                  <w:tcW w:w="1203" w:type="pct"/>
                  <w:vMerge w:val="continue"/>
                  <w:vAlign w:val="center"/>
                </w:tcPr>
                <w:p>
                  <w:pPr>
                    <w:pStyle w:val="16"/>
                    <w:adjustRightInd w:val="0"/>
                    <w:snapToGrid w:val="0"/>
                    <w:spacing w:after="0" w:line="276" w:lineRule="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1" w:type="pct"/>
                  <w:vAlign w:val="center"/>
                </w:tcPr>
                <w:p>
                  <w:pPr>
                    <w:pStyle w:val="16"/>
                    <w:adjustRightInd w:val="0"/>
                    <w:snapToGrid w:val="0"/>
                    <w:spacing w:after="0" w:line="276" w:lineRule="auto"/>
                    <w:rPr>
                      <w:rFonts w:ascii="Times New Roman" w:hAnsi="Times New Roman"/>
                      <w:color w:val="auto"/>
                      <w:sz w:val="21"/>
                      <w:szCs w:val="21"/>
                    </w:rPr>
                  </w:pPr>
                  <w:r>
                    <w:rPr>
                      <w:rFonts w:hint="eastAsia" w:ascii="Times New Roman" w:hAnsi="Times New Roman"/>
                      <w:color w:val="auto"/>
                      <w:sz w:val="21"/>
                      <w:szCs w:val="21"/>
                    </w:rPr>
                    <w:t>N3</w:t>
                  </w:r>
                </w:p>
              </w:tc>
              <w:tc>
                <w:tcPr>
                  <w:tcW w:w="2232"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宜良明丰造纸厂厂界北</w:t>
                  </w:r>
                </w:p>
              </w:tc>
              <w:tc>
                <w:tcPr>
                  <w:tcW w:w="1204" w:type="pct"/>
                  <w:vAlign w:val="center"/>
                </w:tcPr>
                <w:p>
                  <w:pPr>
                    <w:pStyle w:val="16"/>
                    <w:adjustRightInd w:val="0"/>
                    <w:snapToGrid w:val="0"/>
                    <w:spacing w:after="0" w:line="276" w:lineRule="auto"/>
                    <w:rPr>
                      <w:rFonts w:ascii="Times New Roman" w:hAnsi="Times New Roman"/>
                      <w:color w:val="auto"/>
                      <w:sz w:val="21"/>
                      <w:szCs w:val="21"/>
                    </w:rPr>
                  </w:pPr>
                  <w:r>
                    <w:rPr>
                      <w:rFonts w:hint="eastAsia" w:ascii="Times New Roman" w:hAnsi="Times New Roman"/>
                      <w:color w:val="auto"/>
                      <w:sz w:val="21"/>
                      <w:szCs w:val="21"/>
                    </w:rPr>
                    <w:t>1</w:t>
                  </w:r>
                  <w:r>
                    <w:rPr>
                      <w:rFonts w:ascii="Times New Roman" w:hAnsi="Times New Roman"/>
                      <w:color w:val="auto"/>
                      <w:sz w:val="21"/>
                      <w:szCs w:val="21"/>
                    </w:rPr>
                    <w:t>10</w:t>
                  </w:r>
                </w:p>
              </w:tc>
              <w:tc>
                <w:tcPr>
                  <w:tcW w:w="1203" w:type="pct"/>
                  <w:vMerge w:val="restart"/>
                  <w:vAlign w:val="center"/>
                </w:tcPr>
                <w:p>
                  <w:pPr>
                    <w:pStyle w:val="16"/>
                    <w:adjustRightInd w:val="0"/>
                    <w:snapToGrid w:val="0"/>
                    <w:spacing w:after="0" w:line="276" w:lineRule="auto"/>
                    <w:rPr>
                      <w:rFonts w:ascii="Times New Roman" w:hAnsi="Times New Roman"/>
                      <w:color w:val="auto"/>
                      <w:sz w:val="21"/>
                      <w:szCs w:val="21"/>
                    </w:rPr>
                  </w:pPr>
                  <w:r>
                    <w:rPr>
                      <w:rFonts w:ascii="Times New Roman" w:hAnsi="Times New Roman"/>
                      <w:color w:val="auto"/>
                      <w:sz w:val="21"/>
                      <w:szCs w:val="21"/>
                    </w:rPr>
                    <w:t>《声环境质量标准》（GB 3096-2008）4a类标准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1" w:type="pct"/>
                  <w:vAlign w:val="center"/>
                </w:tcPr>
                <w:p>
                  <w:pPr>
                    <w:pStyle w:val="16"/>
                    <w:adjustRightInd w:val="0"/>
                    <w:snapToGrid w:val="0"/>
                    <w:spacing w:after="0" w:line="276" w:lineRule="auto"/>
                    <w:rPr>
                      <w:rFonts w:ascii="Times New Roman" w:hAnsi="Times New Roman"/>
                      <w:color w:val="auto"/>
                      <w:sz w:val="21"/>
                      <w:szCs w:val="21"/>
                    </w:rPr>
                  </w:pPr>
                  <w:r>
                    <w:rPr>
                      <w:rFonts w:hint="eastAsia" w:ascii="Times New Roman" w:hAnsi="Times New Roman"/>
                      <w:color w:val="auto"/>
                      <w:sz w:val="21"/>
                      <w:szCs w:val="21"/>
                    </w:rPr>
                    <w:t>N4</w:t>
                  </w:r>
                </w:p>
              </w:tc>
              <w:tc>
                <w:tcPr>
                  <w:tcW w:w="2232"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宜良明丰造纸厂厂界西</w:t>
                  </w:r>
                </w:p>
              </w:tc>
              <w:tc>
                <w:tcPr>
                  <w:tcW w:w="1204" w:type="pct"/>
                  <w:vAlign w:val="center"/>
                </w:tcPr>
                <w:p>
                  <w:pPr>
                    <w:pStyle w:val="16"/>
                    <w:adjustRightInd w:val="0"/>
                    <w:snapToGrid w:val="0"/>
                    <w:spacing w:after="0" w:line="276" w:lineRule="auto"/>
                    <w:rPr>
                      <w:rFonts w:ascii="Times New Roman" w:hAnsi="Times New Roman"/>
                      <w:color w:val="auto"/>
                      <w:sz w:val="21"/>
                      <w:szCs w:val="21"/>
                    </w:rPr>
                  </w:pPr>
                  <w:r>
                    <w:rPr>
                      <w:rFonts w:hint="eastAsia" w:ascii="Times New Roman" w:hAnsi="Times New Roman"/>
                      <w:color w:val="auto"/>
                      <w:sz w:val="21"/>
                      <w:szCs w:val="21"/>
                    </w:rPr>
                    <w:t>1</w:t>
                  </w:r>
                </w:p>
              </w:tc>
              <w:tc>
                <w:tcPr>
                  <w:tcW w:w="1203" w:type="pct"/>
                  <w:vMerge w:val="continue"/>
                  <w:vAlign w:val="center"/>
                </w:tcPr>
                <w:p>
                  <w:pPr>
                    <w:pStyle w:val="16"/>
                    <w:adjustRightInd w:val="0"/>
                    <w:snapToGrid w:val="0"/>
                    <w:spacing w:after="0" w:line="276" w:lineRule="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1" w:type="pct"/>
                  <w:vAlign w:val="center"/>
                </w:tcPr>
                <w:p>
                  <w:pPr>
                    <w:pStyle w:val="16"/>
                    <w:adjustRightInd w:val="0"/>
                    <w:snapToGrid w:val="0"/>
                    <w:spacing w:after="0" w:line="276" w:lineRule="auto"/>
                    <w:rPr>
                      <w:rFonts w:ascii="Times New Roman" w:hAnsi="Times New Roman"/>
                      <w:color w:val="auto"/>
                      <w:sz w:val="21"/>
                      <w:szCs w:val="21"/>
                    </w:rPr>
                  </w:pPr>
                  <w:r>
                    <w:rPr>
                      <w:rFonts w:hint="eastAsia" w:ascii="Times New Roman" w:hAnsi="Times New Roman"/>
                      <w:color w:val="auto"/>
                      <w:sz w:val="21"/>
                      <w:szCs w:val="21"/>
                    </w:rPr>
                    <w:t>N5</w:t>
                  </w:r>
                </w:p>
              </w:tc>
              <w:tc>
                <w:tcPr>
                  <w:tcW w:w="2232"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西南侧最近住户</w:t>
                  </w:r>
                  <w:r>
                    <w:rPr>
                      <w:rFonts w:hint="eastAsia" w:ascii="Times New Roman" w:hAnsi="Times New Roman"/>
                      <w:color w:val="auto"/>
                      <w:sz w:val="21"/>
                      <w:szCs w:val="21"/>
                    </w:rPr>
                    <w:t>（</w:t>
                  </w:r>
                  <w:r>
                    <w:rPr>
                      <w:rFonts w:ascii="Times New Roman" w:hAnsi="Times New Roman"/>
                      <w:color w:val="auto"/>
                      <w:kern w:val="2"/>
                      <w:sz w:val="21"/>
                      <w:szCs w:val="21"/>
                    </w:rPr>
                    <w:t>小唐营散户</w:t>
                  </w:r>
                  <w:r>
                    <w:rPr>
                      <w:rFonts w:hint="eastAsia" w:ascii="Times New Roman" w:hAnsi="Times New Roman"/>
                      <w:color w:val="auto"/>
                      <w:sz w:val="21"/>
                      <w:szCs w:val="21"/>
                    </w:rPr>
                    <w:t>）</w:t>
                  </w:r>
                </w:p>
              </w:tc>
              <w:tc>
                <w:tcPr>
                  <w:tcW w:w="1204" w:type="pct"/>
                  <w:vAlign w:val="center"/>
                </w:tcPr>
                <w:p>
                  <w:pPr>
                    <w:pStyle w:val="16"/>
                    <w:adjustRightInd w:val="0"/>
                    <w:snapToGrid w:val="0"/>
                    <w:spacing w:after="0" w:line="276" w:lineRule="auto"/>
                    <w:rPr>
                      <w:rFonts w:ascii="Times New Roman" w:hAnsi="Times New Roman"/>
                      <w:color w:val="auto"/>
                      <w:sz w:val="21"/>
                      <w:szCs w:val="21"/>
                    </w:rPr>
                  </w:pPr>
                  <w:r>
                    <w:rPr>
                      <w:rFonts w:hint="eastAsia" w:ascii="Times New Roman" w:hAnsi="Times New Roman"/>
                      <w:color w:val="auto"/>
                      <w:sz w:val="21"/>
                      <w:szCs w:val="21"/>
                    </w:rPr>
                    <w:t>9</w:t>
                  </w:r>
                  <w:r>
                    <w:rPr>
                      <w:rFonts w:ascii="Times New Roman" w:hAnsi="Times New Roman"/>
                      <w:color w:val="auto"/>
                      <w:sz w:val="21"/>
                      <w:szCs w:val="21"/>
                    </w:rPr>
                    <w:t>0</w:t>
                  </w:r>
                </w:p>
              </w:tc>
              <w:tc>
                <w:tcPr>
                  <w:tcW w:w="1203" w:type="pct"/>
                  <w:vMerge w:val="continue"/>
                  <w:vAlign w:val="center"/>
                </w:tcPr>
                <w:p>
                  <w:pPr>
                    <w:pStyle w:val="16"/>
                    <w:adjustRightInd w:val="0"/>
                    <w:snapToGrid w:val="0"/>
                    <w:spacing w:after="0" w:line="276" w:lineRule="auto"/>
                    <w:rPr>
                      <w:rFonts w:ascii="Times New Roman" w:hAnsi="Times New Roman"/>
                      <w:color w:val="auto"/>
                      <w:sz w:val="21"/>
                      <w:szCs w:val="21"/>
                    </w:rPr>
                  </w:pPr>
                </w:p>
              </w:tc>
            </w:tr>
          </w:tbl>
          <w:p>
            <w:pPr>
              <w:numPr>
                <w:ilvl w:val="0"/>
                <w:numId w:val="3"/>
              </w:num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监测指标</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等效连续</w:t>
            </w:r>
            <w:r>
              <w:rPr>
                <w:rFonts w:ascii="Times New Roman" w:hAnsi="Times New Roman"/>
                <w:color w:val="auto"/>
              </w:rPr>
              <w:t>A声级Leq[dB(A)]。</w:t>
            </w:r>
          </w:p>
          <w:p>
            <w:pPr>
              <w:numPr>
                <w:ilvl w:val="0"/>
                <w:numId w:val="3"/>
              </w:numPr>
              <w:adjustRightInd w:val="0"/>
              <w:snapToGrid w:val="0"/>
              <w:spacing w:line="360" w:lineRule="auto"/>
              <w:ind w:firstLine="480" w:firstLineChars="200"/>
              <w:rPr>
                <w:rFonts w:ascii="Times New Roman" w:hAnsi="Times New Roman"/>
                <w:color w:val="auto"/>
              </w:rPr>
            </w:pPr>
            <w:r>
              <w:rPr>
                <w:rFonts w:ascii="Times New Roman" w:hAnsi="Times New Roman"/>
                <w:color w:val="auto"/>
              </w:rPr>
              <w:t>监测</w:t>
            </w:r>
            <w:r>
              <w:rPr>
                <w:rFonts w:hint="eastAsia" w:ascii="Times New Roman" w:hAnsi="Times New Roman"/>
                <w:color w:val="auto"/>
              </w:rPr>
              <w:t>频次</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监测一期，</w:t>
            </w:r>
            <w:r>
              <w:rPr>
                <w:rFonts w:hint="eastAsia" w:ascii="Times New Roman" w:hAnsi="Times New Roman"/>
                <w:color w:val="auto"/>
              </w:rPr>
              <w:t>共监测</w:t>
            </w:r>
            <w:r>
              <w:rPr>
                <w:rFonts w:ascii="Times New Roman" w:hAnsi="Times New Roman"/>
                <w:color w:val="auto"/>
              </w:rPr>
              <w:t>两天（2020</w:t>
            </w:r>
            <w:r>
              <w:rPr>
                <w:rFonts w:ascii="Times New Roman" w:hAnsi="Times New Roman"/>
                <w:color w:val="auto"/>
                <w:lang w:val="zh-CN"/>
              </w:rPr>
              <w:t>年6月5日~6日</w:t>
            </w:r>
            <w:r>
              <w:rPr>
                <w:rFonts w:ascii="Times New Roman" w:hAnsi="Times New Roman"/>
                <w:color w:val="auto"/>
              </w:rPr>
              <w:t>），昼夜各监测一次。噪声监测按《声环境质量标准》（GB 3096-2008）执行。</w:t>
            </w:r>
          </w:p>
          <w:p>
            <w:pPr>
              <w:numPr>
                <w:ilvl w:val="0"/>
                <w:numId w:val="3"/>
              </w:num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监测工况</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监测期间，明丰造纸厂现有项目正常生产。</w:t>
            </w:r>
          </w:p>
          <w:p>
            <w:pPr>
              <w:numPr>
                <w:ilvl w:val="0"/>
                <w:numId w:val="3"/>
              </w:numPr>
              <w:adjustRightInd w:val="0"/>
              <w:snapToGrid w:val="0"/>
              <w:spacing w:line="360" w:lineRule="auto"/>
              <w:ind w:firstLine="480" w:firstLineChars="200"/>
              <w:rPr>
                <w:rFonts w:ascii="Times New Roman" w:hAnsi="Times New Roman"/>
                <w:color w:val="auto"/>
              </w:rPr>
            </w:pPr>
            <w:r>
              <w:rPr>
                <w:rFonts w:ascii="Times New Roman" w:hAnsi="Times New Roman"/>
                <w:color w:val="auto"/>
              </w:rPr>
              <w:t>监测结果</w:t>
            </w:r>
          </w:p>
          <w:p>
            <w:pPr>
              <w:adjustRightInd w:val="0"/>
              <w:snapToGrid w:val="0"/>
              <w:ind w:firstLine="21" w:firstLineChars="10"/>
              <w:jc w:val="center"/>
              <w:rPr>
                <w:rFonts w:ascii="Times New Roman" w:hAnsi="Times New Roman"/>
                <w:b/>
                <w:bCs/>
                <w:color w:val="auto"/>
                <w:sz w:val="21"/>
                <w:szCs w:val="21"/>
              </w:rPr>
            </w:pPr>
            <w:r>
              <w:rPr>
                <w:rFonts w:ascii="Times New Roman" w:hAnsi="Times New Roman"/>
                <w:b/>
                <w:bCs/>
                <w:color w:val="auto"/>
                <w:sz w:val="21"/>
                <w:szCs w:val="21"/>
              </w:rPr>
              <w:t>表3-7 声环境质量结果见下表</w:t>
            </w:r>
            <w:r>
              <w:rPr>
                <w:rFonts w:hint="eastAsia" w:ascii="Times New Roman" w:hAnsi="Times New Roman"/>
                <w:b/>
                <w:bCs/>
                <w:color w:val="auto"/>
                <w:sz w:val="21"/>
                <w:szCs w:val="21"/>
              </w:rPr>
              <w:t>（单位：d</w:t>
            </w:r>
            <w:r>
              <w:rPr>
                <w:rFonts w:ascii="Times New Roman" w:hAnsi="Times New Roman"/>
                <w:b/>
                <w:bCs/>
                <w:color w:val="auto"/>
                <w:sz w:val="21"/>
                <w:szCs w:val="21"/>
              </w:rPr>
              <w:t>B(A)</w:t>
            </w:r>
            <w:r>
              <w:rPr>
                <w:rFonts w:hint="eastAsia" w:ascii="Times New Roman" w:hAnsi="Times New Roman"/>
                <w:b/>
                <w:bCs/>
                <w:color w:val="auto"/>
                <w:sz w:val="21"/>
                <w:szCs w:val="21"/>
              </w:rPr>
              <w:t>）</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2409"/>
              <w:gridCol w:w="862"/>
              <w:gridCol w:w="1583"/>
              <w:gridCol w:w="1583"/>
              <w:gridCol w:w="1146"/>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605" w:type="pct"/>
                  <w:gridSpan w:val="2"/>
                  <w:vMerge w:val="restart"/>
                  <w:vAlign w:val="center"/>
                </w:tcPr>
                <w:p>
                  <w:pPr>
                    <w:adjustRightInd w:val="0"/>
                    <w:snapToGrid w:val="0"/>
                    <w:spacing w:line="276" w:lineRule="auto"/>
                    <w:jc w:val="center"/>
                    <w:rPr>
                      <w:rFonts w:ascii="Times New Roman" w:hAnsi="Times New Roman"/>
                      <w:b/>
                      <w:color w:val="auto"/>
                      <w:sz w:val="21"/>
                      <w:szCs w:val="21"/>
                    </w:rPr>
                  </w:pPr>
                  <w:r>
                    <w:rPr>
                      <w:rFonts w:ascii="Times New Roman" w:hAnsi="Times New Roman"/>
                      <w:b/>
                      <w:color w:val="auto"/>
                      <w:sz w:val="21"/>
                      <w:szCs w:val="21"/>
                    </w:rPr>
                    <w:t>测  点</w:t>
                  </w:r>
                </w:p>
              </w:tc>
              <w:tc>
                <w:tcPr>
                  <w:tcW w:w="485" w:type="pct"/>
                  <w:vMerge w:val="restart"/>
                  <w:vAlign w:val="center"/>
                </w:tcPr>
                <w:p>
                  <w:pPr>
                    <w:adjustRightInd w:val="0"/>
                    <w:snapToGrid w:val="0"/>
                    <w:spacing w:line="276" w:lineRule="auto"/>
                    <w:jc w:val="center"/>
                    <w:rPr>
                      <w:rFonts w:ascii="Times New Roman" w:hAnsi="Times New Roman"/>
                      <w:b/>
                      <w:color w:val="auto"/>
                      <w:sz w:val="21"/>
                      <w:szCs w:val="21"/>
                    </w:rPr>
                  </w:pPr>
                  <w:r>
                    <w:rPr>
                      <w:rFonts w:ascii="Times New Roman" w:hAnsi="Times New Roman"/>
                      <w:b/>
                      <w:color w:val="auto"/>
                      <w:sz w:val="21"/>
                      <w:szCs w:val="21"/>
                    </w:rPr>
                    <w:t>时段</w:t>
                  </w:r>
                </w:p>
              </w:tc>
              <w:tc>
                <w:tcPr>
                  <w:tcW w:w="1782" w:type="pct"/>
                  <w:gridSpan w:val="2"/>
                  <w:vAlign w:val="center"/>
                </w:tcPr>
                <w:p>
                  <w:pPr>
                    <w:adjustRightInd w:val="0"/>
                    <w:snapToGrid w:val="0"/>
                    <w:spacing w:line="276" w:lineRule="auto"/>
                    <w:jc w:val="center"/>
                    <w:rPr>
                      <w:rFonts w:ascii="Times New Roman" w:hAnsi="Times New Roman"/>
                      <w:b/>
                      <w:color w:val="auto"/>
                      <w:sz w:val="21"/>
                      <w:szCs w:val="21"/>
                    </w:rPr>
                  </w:pPr>
                  <w:r>
                    <w:rPr>
                      <w:rFonts w:ascii="Times New Roman" w:hAnsi="Times New Roman"/>
                      <w:b/>
                      <w:color w:val="auto"/>
                      <w:sz w:val="21"/>
                      <w:szCs w:val="21"/>
                    </w:rPr>
                    <w:t>监测日期</w:t>
                  </w:r>
                </w:p>
              </w:tc>
              <w:tc>
                <w:tcPr>
                  <w:tcW w:w="645" w:type="pct"/>
                  <w:vMerge w:val="restart"/>
                  <w:vAlign w:val="center"/>
                </w:tcPr>
                <w:p>
                  <w:pPr>
                    <w:adjustRightInd w:val="0"/>
                    <w:snapToGrid w:val="0"/>
                    <w:spacing w:line="276" w:lineRule="auto"/>
                    <w:jc w:val="center"/>
                    <w:rPr>
                      <w:rFonts w:ascii="Times New Roman" w:hAnsi="Times New Roman"/>
                      <w:b/>
                      <w:color w:val="auto"/>
                      <w:sz w:val="21"/>
                      <w:szCs w:val="21"/>
                    </w:rPr>
                  </w:pPr>
                  <w:r>
                    <w:rPr>
                      <w:rFonts w:ascii="Times New Roman" w:hAnsi="Times New Roman"/>
                      <w:b/>
                      <w:color w:val="auto"/>
                      <w:sz w:val="21"/>
                      <w:szCs w:val="21"/>
                    </w:rPr>
                    <w:t>标准值</w:t>
                  </w:r>
                </w:p>
              </w:tc>
              <w:tc>
                <w:tcPr>
                  <w:tcW w:w="483" w:type="pct"/>
                  <w:vMerge w:val="restart"/>
                  <w:vAlign w:val="center"/>
                </w:tcPr>
                <w:p>
                  <w:pPr>
                    <w:adjustRightInd w:val="0"/>
                    <w:snapToGrid w:val="0"/>
                    <w:spacing w:line="276" w:lineRule="auto"/>
                    <w:jc w:val="center"/>
                    <w:rPr>
                      <w:rFonts w:ascii="Times New Roman" w:hAnsi="Times New Roman"/>
                      <w:b/>
                      <w:color w:val="auto"/>
                      <w:sz w:val="21"/>
                      <w:szCs w:val="21"/>
                    </w:rPr>
                  </w:pPr>
                  <w:r>
                    <w:rPr>
                      <w:rFonts w:ascii="Times New Roman" w:hAnsi="Times New Roman"/>
                      <w:b/>
                      <w:color w:val="auto"/>
                      <w:sz w:val="21"/>
                      <w:szCs w:val="21"/>
                    </w:rPr>
                    <w:t>达标</w:t>
                  </w:r>
                  <w:r>
                    <w:rPr>
                      <w:rFonts w:hint="eastAsia" w:ascii="Times New Roman" w:hAnsi="Times New Roman"/>
                      <w:b/>
                      <w:color w:val="auto"/>
                      <w:sz w:val="21"/>
                      <w:szCs w:val="21"/>
                    </w:rPr>
                    <w:t>评述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605" w:type="pct"/>
                  <w:gridSpan w:val="2"/>
                  <w:vMerge w:val="continue"/>
                  <w:vAlign w:val="center"/>
                </w:tcPr>
                <w:p>
                  <w:pPr>
                    <w:adjustRightInd w:val="0"/>
                    <w:snapToGrid w:val="0"/>
                    <w:spacing w:line="276" w:lineRule="auto"/>
                    <w:jc w:val="center"/>
                    <w:rPr>
                      <w:rFonts w:ascii="Times New Roman" w:hAnsi="Times New Roman"/>
                      <w:b/>
                      <w:color w:val="auto"/>
                      <w:sz w:val="21"/>
                      <w:szCs w:val="21"/>
                    </w:rPr>
                  </w:pPr>
                </w:p>
              </w:tc>
              <w:tc>
                <w:tcPr>
                  <w:tcW w:w="485" w:type="pct"/>
                  <w:vMerge w:val="continue"/>
                  <w:vAlign w:val="center"/>
                </w:tcPr>
                <w:p>
                  <w:pPr>
                    <w:adjustRightInd w:val="0"/>
                    <w:snapToGrid w:val="0"/>
                    <w:spacing w:line="276" w:lineRule="auto"/>
                    <w:jc w:val="center"/>
                    <w:rPr>
                      <w:rFonts w:ascii="Times New Roman" w:hAnsi="Times New Roman"/>
                      <w:b/>
                      <w:color w:val="auto"/>
                      <w:sz w:val="21"/>
                      <w:szCs w:val="21"/>
                    </w:rPr>
                  </w:pPr>
                </w:p>
              </w:tc>
              <w:tc>
                <w:tcPr>
                  <w:tcW w:w="891" w:type="pct"/>
                  <w:vAlign w:val="center"/>
                </w:tcPr>
                <w:p>
                  <w:pPr>
                    <w:adjustRightInd w:val="0"/>
                    <w:snapToGrid w:val="0"/>
                    <w:spacing w:line="276" w:lineRule="auto"/>
                    <w:jc w:val="center"/>
                    <w:rPr>
                      <w:rFonts w:ascii="Times New Roman" w:hAnsi="Times New Roman"/>
                      <w:b/>
                      <w:color w:val="auto"/>
                      <w:sz w:val="21"/>
                      <w:szCs w:val="21"/>
                    </w:rPr>
                  </w:pPr>
                  <w:r>
                    <w:rPr>
                      <w:rFonts w:ascii="Times New Roman" w:hAnsi="Times New Roman"/>
                      <w:b/>
                      <w:color w:val="auto"/>
                      <w:sz w:val="21"/>
                      <w:szCs w:val="21"/>
                    </w:rPr>
                    <w:t>2020/06/05</w:t>
                  </w:r>
                </w:p>
              </w:tc>
              <w:tc>
                <w:tcPr>
                  <w:tcW w:w="891" w:type="pct"/>
                  <w:vAlign w:val="center"/>
                </w:tcPr>
                <w:p>
                  <w:pPr>
                    <w:widowControl/>
                    <w:adjustRightInd w:val="0"/>
                    <w:snapToGrid w:val="0"/>
                    <w:spacing w:line="276" w:lineRule="auto"/>
                    <w:jc w:val="center"/>
                    <w:rPr>
                      <w:rFonts w:ascii="Times New Roman" w:hAnsi="Times New Roman"/>
                      <w:b/>
                      <w:color w:val="auto"/>
                      <w:sz w:val="21"/>
                      <w:szCs w:val="21"/>
                    </w:rPr>
                  </w:pPr>
                  <w:r>
                    <w:rPr>
                      <w:rFonts w:ascii="Times New Roman" w:hAnsi="Times New Roman"/>
                      <w:b/>
                      <w:color w:val="auto"/>
                      <w:sz w:val="21"/>
                      <w:szCs w:val="21"/>
                    </w:rPr>
                    <w:t>2020/06/06</w:t>
                  </w:r>
                </w:p>
              </w:tc>
              <w:tc>
                <w:tcPr>
                  <w:tcW w:w="645" w:type="pct"/>
                  <w:vMerge w:val="continue"/>
                  <w:vAlign w:val="center"/>
                </w:tcPr>
                <w:p>
                  <w:pPr>
                    <w:widowControl/>
                    <w:adjustRightInd w:val="0"/>
                    <w:snapToGrid w:val="0"/>
                    <w:spacing w:line="276" w:lineRule="auto"/>
                    <w:jc w:val="center"/>
                    <w:rPr>
                      <w:rFonts w:ascii="Times New Roman" w:hAnsi="Times New Roman"/>
                      <w:b/>
                      <w:color w:val="auto"/>
                      <w:sz w:val="21"/>
                      <w:szCs w:val="21"/>
                    </w:rPr>
                  </w:pPr>
                </w:p>
              </w:tc>
              <w:tc>
                <w:tcPr>
                  <w:tcW w:w="483" w:type="pct"/>
                  <w:vMerge w:val="continue"/>
                  <w:vAlign w:val="center"/>
                </w:tcPr>
                <w:p>
                  <w:pPr>
                    <w:widowControl/>
                    <w:adjustRightInd w:val="0"/>
                    <w:snapToGrid w:val="0"/>
                    <w:spacing w:line="276" w:lineRule="auto"/>
                    <w:jc w:val="center"/>
                    <w:rPr>
                      <w:rFonts w:ascii="Times New Roman" w:hAnsi="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9" w:type="pct"/>
                  <w:vMerge w:val="restar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N1</w:t>
                  </w:r>
                </w:p>
              </w:tc>
              <w:tc>
                <w:tcPr>
                  <w:tcW w:w="1356" w:type="pct"/>
                  <w:vMerge w:val="restar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宜良明丰造纸厂厂界东</w:t>
                  </w:r>
                </w:p>
              </w:tc>
              <w:tc>
                <w:tcPr>
                  <w:tcW w:w="48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昼间</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57.8</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58.0</w:t>
                  </w:r>
                </w:p>
              </w:tc>
              <w:tc>
                <w:tcPr>
                  <w:tcW w:w="64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60</w:t>
                  </w:r>
                </w:p>
              </w:tc>
              <w:tc>
                <w:tcPr>
                  <w:tcW w:w="483"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9" w:type="pct"/>
                  <w:vMerge w:val="continue"/>
                  <w:vAlign w:val="center"/>
                </w:tcPr>
                <w:p>
                  <w:pPr>
                    <w:adjustRightInd w:val="0"/>
                    <w:snapToGrid w:val="0"/>
                    <w:spacing w:line="276" w:lineRule="auto"/>
                    <w:jc w:val="center"/>
                    <w:rPr>
                      <w:rFonts w:ascii="Times New Roman" w:hAnsi="Times New Roman"/>
                      <w:color w:val="auto"/>
                      <w:sz w:val="21"/>
                      <w:szCs w:val="21"/>
                    </w:rPr>
                  </w:pPr>
                </w:p>
              </w:tc>
              <w:tc>
                <w:tcPr>
                  <w:tcW w:w="1356" w:type="pct"/>
                  <w:vMerge w:val="continue"/>
                  <w:vAlign w:val="center"/>
                </w:tcPr>
                <w:p>
                  <w:pPr>
                    <w:adjustRightInd w:val="0"/>
                    <w:snapToGrid w:val="0"/>
                    <w:spacing w:line="276" w:lineRule="auto"/>
                    <w:jc w:val="center"/>
                    <w:rPr>
                      <w:rFonts w:ascii="Times New Roman" w:hAnsi="Times New Roman"/>
                      <w:color w:val="auto"/>
                      <w:sz w:val="21"/>
                      <w:szCs w:val="21"/>
                    </w:rPr>
                  </w:pPr>
                </w:p>
              </w:tc>
              <w:tc>
                <w:tcPr>
                  <w:tcW w:w="48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夜间</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47.6</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47.2</w:t>
                  </w:r>
                </w:p>
              </w:tc>
              <w:tc>
                <w:tcPr>
                  <w:tcW w:w="64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50</w:t>
                  </w:r>
                </w:p>
              </w:tc>
              <w:tc>
                <w:tcPr>
                  <w:tcW w:w="483"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9" w:type="pct"/>
                  <w:vMerge w:val="restart"/>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N2</w:t>
                  </w:r>
                </w:p>
              </w:tc>
              <w:tc>
                <w:tcPr>
                  <w:tcW w:w="1356" w:type="pct"/>
                  <w:vMerge w:val="restar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宜良明丰造纸厂厂界南</w:t>
                  </w:r>
                </w:p>
              </w:tc>
              <w:tc>
                <w:tcPr>
                  <w:tcW w:w="48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昼间</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57.4</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57.0</w:t>
                  </w:r>
                </w:p>
              </w:tc>
              <w:tc>
                <w:tcPr>
                  <w:tcW w:w="64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60</w:t>
                  </w:r>
                </w:p>
              </w:tc>
              <w:tc>
                <w:tcPr>
                  <w:tcW w:w="483"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9" w:type="pct"/>
                  <w:vMerge w:val="continue"/>
                  <w:vAlign w:val="center"/>
                </w:tcPr>
                <w:p>
                  <w:pPr>
                    <w:adjustRightInd w:val="0"/>
                    <w:snapToGrid w:val="0"/>
                    <w:spacing w:line="276" w:lineRule="auto"/>
                    <w:jc w:val="center"/>
                    <w:rPr>
                      <w:rFonts w:ascii="Times New Roman" w:hAnsi="Times New Roman"/>
                      <w:color w:val="auto"/>
                      <w:sz w:val="21"/>
                      <w:szCs w:val="21"/>
                    </w:rPr>
                  </w:pPr>
                </w:p>
              </w:tc>
              <w:tc>
                <w:tcPr>
                  <w:tcW w:w="1356" w:type="pct"/>
                  <w:vMerge w:val="continue"/>
                  <w:vAlign w:val="center"/>
                </w:tcPr>
                <w:p>
                  <w:pPr>
                    <w:adjustRightInd w:val="0"/>
                    <w:snapToGrid w:val="0"/>
                    <w:spacing w:line="276" w:lineRule="auto"/>
                    <w:jc w:val="center"/>
                    <w:rPr>
                      <w:rFonts w:ascii="Times New Roman" w:hAnsi="Times New Roman"/>
                      <w:color w:val="auto"/>
                      <w:sz w:val="21"/>
                      <w:szCs w:val="21"/>
                    </w:rPr>
                  </w:pPr>
                </w:p>
              </w:tc>
              <w:tc>
                <w:tcPr>
                  <w:tcW w:w="48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夜间</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45.8</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46.4</w:t>
                  </w:r>
                </w:p>
              </w:tc>
              <w:tc>
                <w:tcPr>
                  <w:tcW w:w="64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50</w:t>
                  </w:r>
                </w:p>
              </w:tc>
              <w:tc>
                <w:tcPr>
                  <w:tcW w:w="483"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9" w:type="pct"/>
                  <w:vMerge w:val="restart"/>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N3</w:t>
                  </w:r>
                </w:p>
              </w:tc>
              <w:tc>
                <w:tcPr>
                  <w:tcW w:w="1356" w:type="pct"/>
                  <w:vMerge w:val="restar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宜良明丰造纸厂厂界北</w:t>
                  </w:r>
                </w:p>
              </w:tc>
              <w:tc>
                <w:tcPr>
                  <w:tcW w:w="48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昼间</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57.7</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58.0</w:t>
                  </w:r>
                </w:p>
              </w:tc>
              <w:tc>
                <w:tcPr>
                  <w:tcW w:w="64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70</w:t>
                  </w:r>
                </w:p>
              </w:tc>
              <w:tc>
                <w:tcPr>
                  <w:tcW w:w="483"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9" w:type="pct"/>
                  <w:vMerge w:val="continue"/>
                  <w:vAlign w:val="center"/>
                </w:tcPr>
                <w:p>
                  <w:pPr>
                    <w:adjustRightInd w:val="0"/>
                    <w:snapToGrid w:val="0"/>
                    <w:spacing w:line="276" w:lineRule="auto"/>
                    <w:jc w:val="center"/>
                    <w:rPr>
                      <w:rFonts w:ascii="Times New Roman" w:hAnsi="Times New Roman"/>
                      <w:color w:val="auto"/>
                      <w:sz w:val="21"/>
                      <w:szCs w:val="21"/>
                    </w:rPr>
                  </w:pPr>
                </w:p>
              </w:tc>
              <w:tc>
                <w:tcPr>
                  <w:tcW w:w="1356" w:type="pct"/>
                  <w:vMerge w:val="continue"/>
                  <w:vAlign w:val="center"/>
                </w:tcPr>
                <w:p>
                  <w:pPr>
                    <w:adjustRightInd w:val="0"/>
                    <w:snapToGrid w:val="0"/>
                    <w:spacing w:line="276" w:lineRule="auto"/>
                    <w:jc w:val="center"/>
                    <w:rPr>
                      <w:rFonts w:ascii="Times New Roman" w:hAnsi="Times New Roman"/>
                      <w:color w:val="auto"/>
                      <w:sz w:val="21"/>
                      <w:szCs w:val="21"/>
                    </w:rPr>
                  </w:pPr>
                </w:p>
              </w:tc>
              <w:tc>
                <w:tcPr>
                  <w:tcW w:w="48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夜间</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46.4</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46.2</w:t>
                  </w:r>
                </w:p>
              </w:tc>
              <w:tc>
                <w:tcPr>
                  <w:tcW w:w="64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55</w:t>
                  </w:r>
                </w:p>
              </w:tc>
              <w:tc>
                <w:tcPr>
                  <w:tcW w:w="483"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9" w:type="pct"/>
                  <w:vMerge w:val="restart"/>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N4</w:t>
                  </w:r>
                </w:p>
              </w:tc>
              <w:tc>
                <w:tcPr>
                  <w:tcW w:w="1356" w:type="pct"/>
                  <w:vMerge w:val="restar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宜良明丰造纸厂厂界西</w:t>
                  </w:r>
                </w:p>
              </w:tc>
              <w:tc>
                <w:tcPr>
                  <w:tcW w:w="48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昼间</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56.5</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56.2</w:t>
                  </w:r>
                </w:p>
              </w:tc>
              <w:tc>
                <w:tcPr>
                  <w:tcW w:w="64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70</w:t>
                  </w:r>
                </w:p>
              </w:tc>
              <w:tc>
                <w:tcPr>
                  <w:tcW w:w="483"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9" w:type="pct"/>
                  <w:vMerge w:val="continue"/>
                  <w:vAlign w:val="center"/>
                </w:tcPr>
                <w:p>
                  <w:pPr>
                    <w:adjustRightInd w:val="0"/>
                    <w:snapToGrid w:val="0"/>
                    <w:spacing w:line="276" w:lineRule="auto"/>
                    <w:jc w:val="center"/>
                    <w:rPr>
                      <w:rFonts w:ascii="Times New Roman" w:hAnsi="Times New Roman"/>
                      <w:color w:val="auto"/>
                      <w:sz w:val="21"/>
                      <w:szCs w:val="21"/>
                    </w:rPr>
                  </w:pPr>
                </w:p>
              </w:tc>
              <w:tc>
                <w:tcPr>
                  <w:tcW w:w="1356" w:type="pct"/>
                  <w:vMerge w:val="continue"/>
                  <w:vAlign w:val="center"/>
                </w:tcPr>
                <w:p>
                  <w:pPr>
                    <w:adjustRightInd w:val="0"/>
                    <w:snapToGrid w:val="0"/>
                    <w:spacing w:line="276" w:lineRule="auto"/>
                    <w:jc w:val="center"/>
                    <w:rPr>
                      <w:rFonts w:ascii="Times New Roman" w:hAnsi="Times New Roman"/>
                      <w:color w:val="auto"/>
                      <w:sz w:val="21"/>
                      <w:szCs w:val="21"/>
                    </w:rPr>
                  </w:pPr>
                </w:p>
              </w:tc>
              <w:tc>
                <w:tcPr>
                  <w:tcW w:w="48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夜间</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46.3</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45.8</w:t>
                  </w:r>
                </w:p>
              </w:tc>
              <w:tc>
                <w:tcPr>
                  <w:tcW w:w="64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55</w:t>
                  </w:r>
                </w:p>
              </w:tc>
              <w:tc>
                <w:tcPr>
                  <w:tcW w:w="483"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9" w:type="pct"/>
                  <w:vMerge w:val="restart"/>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N5</w:t>
                  </w:r>
                </w:p>
              </w:tc>
              <w:tc>
                <w:tcPr>
                  <w:tcW w:w="1356" w:type="pct"/>
                  <w:vMerge w:val="restar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西南侧最近住户</w:t>
                  </w:r>
                </w:p>
              </w:tc>
              <w:tc>
                <w:tcPr>
                  <w:tcW w:w="48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昼间</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67.2</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64.8</w:t>
                  </w:r>
                </w:p>
              </w:tc>
              <w:tc>
                <w:tcPr>
                  <w:tcW w:w="64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70</w:t>
                  </w:r>
                </w:p>
              </w:tc>
              <w:tc>
                <w:tcPr>
                  <w:tcW w:w="483"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9" w:type="pct"/>
                  <w:vMerge w:val="continue"/>
                  <w:vAlign w:val="center"/>
                </w:tcPr>
                <w:p>
                  <w:pPr>
                    <w:adjustRightInd w:val="0"/>
                    <w:snapToGrid w:val="0"/>
                    <w:spacing w:line="280" w:lineRule="exact"/>
                    <w:ind w:firstLine="480"/>
                    <w:jc w:val="center"/>
                    <w:rPr>
                      <w:rFonts w:ascii="Times New Roman" w:hAnsi="Times New Roman"/>
                      <w:color w:val="auto"/>
                      <w:szCs w:val="21"/>
                    </w:rPr>
                  </w:pPr>
                </w:p>
              </w:tc>
              <w:tc>
                <w:tcPr>
                  <w:tcW w:w="1356" w:type="pct"/>
                  <w:vMerge w:val="continue"/>
                  <w:vAlign w:val="center"/>
                </w:tcPr>
                <w:p>
                  <w:pPr>
                    <w:adjustRightInd w:val="0"/>
                    <w:snapToGrid w:val="0"/>
                    <w:spacing w:line="276" w:lineRule="auto"/>
                    <w:jc w:val="center"/>
                    <w:rPr>
                      <w:rFonts w:ascii="Times New Roman" w:hAnsi="Times New Roman"/>
                      <w:color w:val="auto"/>
                      <w:sz w:val="21"/>
                      <w:szCs w:val="21"/>
                    </w:rPr>
                  </w:pPr>
                </w:p>
              </w:tc>
              <w:tc>
                <w:tcPr>
                  <w:tcW w:w="48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夜间</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46.6</w:t>
                  </w:r>
                </w:p>
              </w:tc>
              <w:tc>
                <w:tcPr>
                  <w:tcW w:w="891"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48.1</w:t>
                  </w:r>
                </w:p>
              </w:tc>
              <w:tc>
                <w:tcPr>
                  <w:tcW w:w="64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55</w:t>
                  </w:r>
                </w:p>
              </w:tc>
              <w:tc>
                <w:tcPr>
                  <w:tcW w:w="483"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达标</w:t>
                  </w:r>
                </w:p>
              </w:tc>
            </w:tr>
          </w:tbl>
          <w:p>
            <w:pPr>
              <w:adjustRightInd w:val="0"/>
              <w:snapToGrid w:val="0"/>
              <w:spacing w:before="163" w:beforeLines="50" w:line="360" w:lineRule="auto"/>
              <w:ind w:firstLine="480" w:firstLineChars="200"/>
              <w:rPr>
                <w:rFonts w:ascii="Times New Roman" w:hAnsi="Times New Roman"/>
                <w:color w:val="auto"/>
              </w:rPr>
            </w:pPr>
            <w:r>
              <w:rPr>
                <w:rFonts w:hint="eastAsia" w:ascii="Times New Roman" w:hAnsi="Times New Roman"/>
                <w:color w:val="auto"/>
              </w:rPr>
              <w:t>根据监测结果，</w:t>
            </w:r>
            <w:r>
              <w:rPr>
                <w:rFonts w:ascii="Times New Roman" w:hAnsi="Times New Roman"/>
                <w:color w:val="auto"/>
              </w:rPr>
              <w:t>项目区域</w:t>
            </w:r>
            <w:r>
              <w:rPr>
                <w:rFonts w:hint="eastAsia" w:ascii="Times New Roman" w:hAnsi="Times New Roman"/>
                <w:color w:val="auto"/>
              </w:rPr>
              <w:t>的</w:t>
            </w:r>
            <w:r>
              <w:rPr>
                <w:rFonts w:ascii="Times New Roman" w:hAnsi="Times New Roman"/>
                <w:color w:val="auto"/>
              </w:rPr>
              <w:t>宜良明丰造纸厂东</w:t>
            </w:r>
            <w:r>
              <w:rPr>
                <w:rFonts w:hint="eastAsia" w:ascii="Times New Roman" w:hAnsi="Times New Roman"/>
                <w:color w:val="auto"/>
              </w:rPr>
              <w:t>、南</w:t>
            </w:r>
            <w:r>
              <w:rPr>
                <w:rFonts w:ascii="Times New Roman" w:hAnsi="Times New Roman"/>
                <w:color w:val="auto"/>
              </w:rPr>
              <w:t>厂界</w:t>
            </w:r>
            <w:r>
              <w:rPr>
                <w:rFonts w:hint="eastAsia" w:ascii="Times New Roman" w:hAnsi="Times New Roman"/>
                <w:color w:val="auto"/>
              </w:rPr>
              <w:t>的</w:t>
            </w:r>
            <w:r>
              <w:rPr>
                <w:rFonts w:ascii="Times New Roman" w:hAnsi="Times New Roman"/>
                <w:color w:val="auto"/>
              </w:rPr>
              <w:t>声环境</w:t>
            </w:r>
            <w:r>
              <w:rPr>
                <w:rFonts w:hint="eastAsia" w:ascii="Times New Roman" w:hAnsi="Times New Roman"/>
                <w:color w:val="auto"/>
              </w:rPr>
              <w:t>质量现状监测值均能达到</w:t>
            </w:r>
            <w:r>
              <w:rPr>
                <w:rFonts w:ascii="Times New Roman" w:hAnsi="Times New Roman"/>
                <w:color w:val="auto"/>
              </w:rPr>
              <w:t>GB3096-2008《声环境质量标准》2类标准</w:t>
            </w:r>
            <w:r>
              <w:rPr>
                <w:rFonts w:hint="eastAsia" w:ascii="Times New Roman" w:hAnsi="Times New Roman"/>
                <w:color w:val="auto"/>
              </w:rPr>
              <w:t>限值要求，</w:t>
            </w:r>
            <w:r>
              <w:rPr>
                <w:rFonts w:ascii="Times New Roman" w:hAnsi="Times New Roman"/>
                <w:color w:val="auto"/>
              </w:rPr>
              <w:t>宜良明丰造纸厂</w:t>
            </w:r>
            <w:r>
              <w:rPr>
                <w:rFonts w:hint="eastAsia" w:ascii="Times New Roman" w:hAnsi="Times New Roman"/>
                <w:color w:val="auto"/>
              </w:rPr>
              <w:t>北、西</w:t>
            </w:r>
            <w:r>
              <w:rPr>
                <w:rFonts w:ascii="Times New Roman" w:hAnsi="Times New Roman"/>
                <w:color w:val="auto"/>
              </w:rPr>
              <w:t>厂界</w:t>
            </w:r>
            <w:r>
              <w:rPr>
                <w:rFonts w:hint="eastAsia" w:ascii="Times New Roman" w:hAnsi="Times New Roman"/>
                <w:color w:val="auto"/>
              </w:rPr>
              <w:t>和西南侧最近住户处的</w:t>
            </w:r>
            <w:r>
              <w:rPr>
                <w:rFonts w:ascii="Times New Roman" w:hAnsi="Times New Roman"/>
                <w:color w:val="auto"/>
              </w:rPr>
              <w:t>声环境</w:t>
            </w:r>
            <w:r>
              <w:rPr>
                <w:rFonts w:hint="eastAsia" w:ascii="Times New Roman" w:hAnsi="Times New Roman"/>
                <w:color w:val="auto"/>
              </w:rPr>
              <w:t>质量现状监测值均能达到</w:t>
            </w:r>
            <w:r>
              <w:rPr>
                <w:rFonts w:ascii="Times New Roman" w:hAnsi="Times New Roman"/>
                <w:color w:val="auto"/>
              </w:rPr>
              <w:t>GB3096-2008《声环境质量标准》4a类标准</w:t>
            </w:r>
            <w:r>
              <w:rPr>
                <w:rFonts w:hint="eastAsia" w:ascii="Times New Roman" w:hAnsi="Times New Roman"/>
                <w:color w:val="auto"/>
              </w:rPr>
              <w:t>限值要求</w:t>
            </w:r>
            <w:r>
              <w:rPr>
                <w:rFonts w:ascii="Times New Roman" w:hAnsi="Times New Roman"/>
                <w:color w:val="auto"/>
              </w:rPr>
              <w:t>。</w:t>
            </w:r>
            <w:r>
              <w:rPr>
                <w:rFonts w:hint="eastAsia" w:ascii="Times New Roman" w:hAnsi="Times New Roman"/>
                <w:color w:val="auto"/>
              </w:rPr>
              <w:t>说明本项目所在区域声环境质量良好。</w:t>
            </w:r>
          </w:p>
          <w:p>
            <w:pPr>
              <w:adjustRightInd w:val="0"/>
              <w:snapToGrid w:val="0"/>
              <w:spacing w:before="100" w:beforeAutospacing="1" w:line="360" w:lineRule="auto"/>
              <w:rPr>
                <w:rFonts w:ascii="Times New Roman" w:hAnsi="Times New Roman"/>
                <w:b/>
                <w:bCs/>
                <w:color w:val="auto"/>
              </w:rPr>
            </w:pPr>
            <w:r>
              <w:rPr>
                <w:rFonts w:ascii="Times New Roman" w:hAnsi="Times New Roman"/>
                <w:b/>
                <w:bCs/>
                <w:color w:val="auto"/>
              </w:rPr>
              <w:t>4、生态环境质量现状</w:t>
            </w:r>
          </w:p>
          <w:p>
            <w:pPr>
              <w:adjustRightInd w:val="0"/>
              <w:snapToGrid w:val="0"/>
              <w:spacing w:before="100" w:beforeAutospacing="1" w:line="360" w:lineRule="auto"/>
              <w:ind w:firstLine="446" w:firstLineChars="186"/>
              <w:rPr>
                <w:rFonts w:ascii="Times New Roman" w:hAnsi="Times New Roman"/>
                <w:b/>
                <w:bCs/>
                <w:color w:val="auto"/>
                <w:sz w:val="28"/>
                <w:szCs w:val="28"/>
              </w:rPr>
            </w:pPr>
            <w:r>
              <w:rPr>
                <w:rFonts w:ascii="Times New Roman" w:hAnsi="Times New Roman"/>
                <w:color w:val="auto"/>
                <w:szCs w:val="22"/>
              </w:rPr>
              <w:t>根据现场踏勘调查，项目评价范围内不涉及需要特殊保护的生态敏感目标分布，未发现珍稀濒危动植物物种、国家级和省级重点保护的动植物物种及区域特有物种分布。</w:t>
            </w:r>
            <w:r>
              <w:rPr>
                <w:rFonts w:ascii="Times New Roman" w:hAnsi="Times New Roman"/>
                <w:color w:val="auto"/>
                <w:szCs w:val="22"/>
              </w:rPr>
              <w:t>项目所在区域为工业、农业混合区，区域内地表主要为农田、次生植被、道路、人工建设的水泥地、建筑物以及一定量人工种植的绿化带，已无天然植被。评价区域内生物多样性较差，生态环境自身调控能力较低，生物多样性单一</w:t>
            </w:r>
            <w:r>
              <w:rPr>
                <w:rFonts w:ascii="Times New Roman" w:hAns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9" w:hRule="atLeast"/>
        </w:trPr>
        <w:tc>
          <w:tcPr>
            <w:tcW w:w="91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Times New Roman" w:hAnsi="Times New Roman"/>
                <w:b/>
                <w:bCs/>
                <w:color w:val="auto"/>
                <w:sz w:val="28"/>
                <w:szCs w:val="28"/>
              </w:rPr>
            </w:pPr>
            <w:r>
              <w:rPr>
                <w:rFonts w:ascii="Times New Roman" w:hAnsi="Times New Roman"/>
                <w:b/>
                <w:bCs/>
                <w:color w:val="auto"/>
                <w:sz w:val="28"/>
                <w:szCs w:val="28"/>
              </w:rPr>
              <w:t>主要环境保护目标（列出名单及保护级别）：</w:t>
            </w:r>
          </w:p>
          <w:p>
            <w:pPr>
              <w:adjustRightInd w:val="0"/>
              <w:snapToGrid w:val="0"/>
              <w:spacing w:line="360" w:lineRule="auto"/>
              <w:ind w:firstLine="480" w:firstLineChars="200"/>
              <w:rPr>
                <w:rFonts w:ascii="Times New Roman" w:hAnsi="Times New Roman"/>
                <w:color w:val="auto"/>
                <w:kern w:val="0"/>
              </w:rPr>
            </w:pPr>
            <w:r>
              <w:rPr>
                <w:rFonts w:ascii="Times New Roman" w:hAnsi="Times New Roman"/>
                <w:color w:val="auto"/>
                <w:kern w:val="0"/>
              </w:rPr>
              <w:t>项目周边主要环境保护目标见下表。</w:t>
            </w:r>
          </w:p>
          <w:p>
            <w:pPr>
              <w:adjustRightInd w:val="0"/>
              <w:snapToGrid w:val="0"/>
              <w:ind w:firstLine="21" w:firstLineChars="10"/>
              <w:jc w:val="center"/>
              <w:rPr>
                <w:rFonts w:ascii="Times New Roman" w:hAnsi="Times New Roman"/>
                <w:b/>
                <w:bCs/>
                <w:color w:val="auto"/>
                <w:sz w:val="21"/>
                <w:szCs w:val="21"/>
              </w:rPr>
            </w:pPr>
            <w:r>
              <w:rPr>
                <w:rFonts w:ascii="Times New Roman" w:hAnsi="Times New Roman"/>
                <w:b/>
                <w:bCs/>
                <w:color w:val="auto"/>
                <w:sz w:val="21"/>
                <w:szCs w:val="21"/>
              </w:rPr>
              <w:t>表3-8   项目主要大气</w:t>
            </w:r>
            <w:r>
              <w:rPr>
                <w:rFonts w:hint="eastAsia" w:ascii="Times New Roman" w:hAnsi="Times New Roman"/>
                <w:b/>
                <w:bCs/>
                <w:color w:val="auto"/>
                <w:sz w:val="21"/>
                <w:szCs w:val="21"/>
              </w:rPr>
              <w:t>环境</w:t>
            </w:r>
            <w:r>
              <w:rPr>
                <w:rFonts w:ascii="Times New Roman" w:hAnsi="Times New Roman"/>
                <w:b/>
                <w:bCs/>
                <w:color w:val="auto"/>
                <w:sz w:val="21"/>
                <w:szCs w:val="21"/>
              </w:rPr>
              <w:t>保护目标</w:t>
            </w:r>
          </w:p>
          <w:tbl>
            <w:tblPr>
              <w:tblStyle w:val="38"/>
              <w:tblW w:w="9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897"/>
              <w:gridCol w:w="1141"/>
              <w:gridCol w:w="962"/>
              <w:gridCol w:w="1386"/>
              <w:gridCol w:w="1157"/>
              <w:gridCol w:w="979"/>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vMerge w:val="restart"/>
                  <w:noWrap/>
                  <w:vAlign w:val="center"/>
                </w:tcPr>
                <w:p>
                  <w:pPr>
                    <w:tabs>
                      <w:tab w:val="left" w:pos="7937"/>
                    </w:tabs>
                    <w:adjustRightInd w:val="0"/>
                    <w:snapToGrid w:val="0"/>
                    <w:spacing w:line="360" w:lineRule="exact"/>
                    <w:jc w:val="center"/>
                    <w:rPr>
                      <w:rFonts w:ascii="Times New Roman" w:hAnsi="Times New Roman"/>
                      <w:b/>
                      <w:bCs/>
                      <w:snapToGrid w:val="0"/>
                      <w:color w:val="auto"/>
                      <w:sz w:val="21"/>
                      <w:szCs w:val="21"/>
                    </w:rPr>
                  </w:pPr>
                  <w:r>
                    <w:rPr>
                      <w:rFonts w:ascii="Times New Roman" w:hAnsi="Times New Roman"/>
                      <w:b/>
                      <w:bCs/>
                      <w:snapToGrid w:val="0"/>
                      <w:color w:val="auto"/>
                      <w:sz w:val="21"/>
                      <w:szCs w:val="21"/>
                    </w:rPr>
                    <w:t>名称</w:t>
                  </w:r>
                </w:p>
              </w:tc>
              <w:tc>
                <w:tcPr>
                  <w:tcW w:w="2038" w:type="dxa"/>
                  <w:gridSpan w:val="2"/>
                  <w:noWrap/>
                  <w:vAlign w:val="center"/>
                </w:tcPr>
                <w:p>
                  <w:pPr>
                    <w:tabs>
                      <w:tab w:val="left" w:pos="7937"/>
                    </w:tabs>
                    <w:adjustRightInd w:val="0"/>
                    <w:snapToGrid w:val="0"/>
                    <w:spacing w:line="360" w:lineRule="exact"/>
                    <w:jc w:val="center"/>
                    <w:rPr>
                      <w:rFonts w:ascii="Times New Roman" w:hAnsi="Times New Roman"/>
                      <w:b/>
                      <w:bCs/>
                      <w:snapToGrid w:val="0"/>
                      <w:color w:val="auto"/>
                      <w:sz w:val="21"/>
                      <w:szCs w:val="21"/>
                    </w:rPr>
                  </w:pPr>
                  <w:r>
                    <w:rPr>
                      <w:rFonts w:ascii="Times New Roman" w:hAnsi="Times New Roman"/>
                      <w:b/>
                      <w:bCs/>
                      <w:snapToGrid w:val="0"/>
                      <w:color w:val="auto"/>
                      <w:sz w:val="21"/>
                      <w:szCs w:val="21"/>
                    </w:rPr>
                    <w:t>坐标/m</w:t>
                  </w:r>
                </w:p>
              </w:tc>
              <w:tc>
                <w:tcPr>
                  <w:tcW w:w="962" w:type="dxa"/>
                  <w:vMerge w:val="restart"/>
                  <w:noWrap/>
                  <w:vAlign w:val="center"/>
                </w:tcPr>
                <w:p>
                  <w:pPr>
                    <w:tabs>
                      <w:tab w:val="left" w:pos="7937"/>
                    </w:tabs>
                    <w:adjustRightInd w:val="0"/>
                    <w:snapToGrid w:val="0"/>
                    <w:spacing w:line="360" w:lineRule="exact"/>
                    <w:jc w:val="center"/>
                    <w:rPr>
                      <w:rFonts w:ascii="Times New Roman" w:hAnsi="Times New Roman"/>
                      <w:b/>
                      <w:bCs/>
                      <w:snapToGrid w:val="0"/>
                      <w:color w:val="auto"/>
                      <w:sz w:val="21"/>
                      <w:szCs w:val="21"/>
                    </w:rPr>
                  </w:pPr>
                  <w:r>
                    <w:rPr>
                      <w:rFonts w:ascii="Times New Roman" w:hAnsi="Times New Roman"/>
                      <w:b/>
                      <w:bCs/>
                      <w:snapToGrid w:val="0"/>
                      <w:color w:val="auto"/>
                      <w:sz w:val="21"/>
                      <w:szCs w:val="21"/>
                    </w:rPr>
                    <w:t>保护对象</w:t>
                  </w:r>
                </w:p>
              </w:tc>
              <w:tc>
                <w:tcPr>
                  <w:tcW w:w="1386" w:type="dxa"/>
                  <w:vMerge w:val="restart"/>
                  <w:noWrap/>
                  <w:vAlign w:val="center"/>
                </w:tcPr>
                <w:p>
                  <w:pPr>
                    <w:tabs>
                      <w:tab w:val="left" w:pos="7937"/>
                    </w:tabs>
                    <w:adjustRightInd w:val="0"/>
                    <w:snapToGrid w:val="0"/>
                    <w:spacing w:line="360" w:lineRule="exact"/>
                    <w:jc w:val="center"/>
                    <w:rPr>
                      <w:rFonts w:ascii="Times New Roman" w:hAnsi="Times New Roman"/>
                      <w:b/>
                      <w:bCs/>
                      <w:snapToGrid w:val="0"/>
                      <w:color w:val="auto"/>
                      <w:sz w:val="21"/>
                      <w:szCs w:val="21"/>
                    </w:rPr>
                  </w:pPr>
                  <w:r>
                    <w:rPr>
                      <w:rFonts w:ascii="Times New Roman" w:hAnsi="Times New Roman"/>
                      <w:b/>
                      <w:bCs/>
                      <w:snapToGrid w:val="0"/>
                      <w:color w:val="auto"/>
                      <w:sz w:val="21"/>
                      <w:szCs w:val="21"/>
                    </w:rPr>
                    <w:t>保护内容</w:t>
                  </w:r>
                </w:p>
              </w:tc>
              <w:tc>
                <w:tcPr>
                  <w:tcW w:w="1157" w:type="dxa"/>
                  <w:vMerge w:val="restart"/>
                  <w:noWrap/>
                  <w:vAlign w:val="center"/>
                </w:tcPr>
                <w:p>
                  <w:pPr>
                    <w:tabs>
                      <w:tab w:val="left" w:pos="7937"/>
                    </w:tabs>
                    <w:adjustRightInd w:val="0"/>
                    <w:snapToGrid w:val="0"/>
                    <w:spacing w:line="360" w:lineRule="exact"/>
                    <w:jc w:val="center"/>
                    <w:rPr>
                      <w:rFonts w:ascii="Times New Roman" w:hAnsi="Times New Roman"/>
                      <w:b/>
                      <w:bCs/>
                      <w:snapToGrid w:val="0"/>
                      <w:color w:val="auto"/>
                      <w:sz w:val="21"/>
                      <w:szCs w:val="21"/>
                    </w:rPr>
                  </w:pPr>
                  <w:r>
                    <w:rPr>
                      <w:rFonts w:ascii="Times New Roman" w:hAnsi="Times New Roman"/>
                      <w:b/>
                      <w:bCs/>
                      <w:snapToGrid w:val="0"/>
                      <w:color w:val="auto"/>
                      <w:sz w:val="21"/>
                      <w:szCs w:val="21"/>
                    </w:rPr>
                    <w:t>环境功能区</w:t>
                  </w:r>
                </w:p>
              </w:tc>
              <w:tc>
                <w:tcPr>
                  <w:tcW w:w="979" w:type="dxa"/>
                  <w:vMerge w:val="restart"/>
                  <w:noWrap/>
                  <w:vAlign w:val="center"/>
                </w:tcPr>
                <w:p>
                  <w:pPr>
                    <w:tabs>
                      <w:tab w:val="left" w:pos="7937"/>
                    </w:tabs>
                    <w:adjustRightInd w:val="0"/>
                    <w:snapToGrid w:val="0"/>
                    <w:spacing w:line="360" w:lineRule="exact"/>
                    <w:jc w:val="center"/>
                    <w:rPr>
                      <w:rFonts w:ascii="Times New Roman" w:hAnsi="Times New Roman"/>
                      <w:b/>
                      <w:bCs/>
                      <w:snapToGrid w:val="0"/>
                      <w:color w:val="auto"/>
                      <w:sz w:val="21"/>
                      <w:szCs w:val="21"/>
                    </w:rPr>
                  </w:pPr>
                  <w:r>
                    <w:rPr>
                      <w:rFonts w:ascii="Times New Roman" w:hAnsi="Times New Roman"/>
                      <w:b/>
                      <w:bCs/>
                      <w:snapToGrid w:val="0"/>
                      <w:color w:val="auto"/>
                      <w:sz w:val="21"/>
                      <w:szCs w:val="21"/>
                    </w:rPr>
                    <w:t>相对厂址方位</w:t>
                  </w:r>
                </w:p>
              </w:tc>
              <w:tc>
                <w:tcPr>
                  <w:tcW w:w="1652" w:type="dxa"/>
                  <w:vMerge w:val="restart"/>
                  <w:noWrap/>
                  <w:vAlign w:val="center"/>
                </w:tcPr>
                <w:p>
                  <w:pPr>
                    <w:tabs>
                      <w:tab w:val="left" w:pos="7937"/>
                    </w:tabs>
                    <w:adjustRightInd w:val="0"/>
                    <w:snapToGrid w:val="0"/>
                    <w:spacing w:line="360" w:lineRule="exact"/>
                    <w:jc w:val="both"/>
                    <w:rPr>
                      <w:rFonts w:ascii="Times New Roman" w:hAnsi="Times New Roman"/>
                      <w:b/>
                      <w:bCs/>
                      <w:snapToGrid w:val="0"/>
                      <w:color w:val="auto"/>
                      <w:sz w:val="21"/>
                      <w:szCs w:val="21"/>
                    </w:rPr>
                  </w:pPr>
                  <w:r>
                    <w:rPr>
                      <w:rFonts w:ascii="Times New Roman" w:hAnsi="Times New Roman"/>
                      <w:b/>
                      <w:bCs/>
                      <w:snapToGrid w:val="0"/>
                      <w:color w:val="auto"/>
                      <w:sz w:val="2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vMerge w:val="continue"/>
                  <w:noWrap/>
                  <w:vAlign w:val="center"/>
                </w:tcPr>
                <w:p>
                  <w:pPr>
                    <w:tabs>
                      <w:tab w:val="left" w:pos="7937"/>
                    </w:tabs>
                    <w:adjustRightInd w:val="0"/>
                    <w:snapToGrid w:val="0"/>
                    <w:spacing w:line="360" w:lineRule="exact"/>
                    <w:jc w:val="center"/>
                    <w:rPr>
                      <w:rFonts w:ascii="Times New Roman" w:hAnsi="Times New Roman"/>
                      <w:b/>
                      <w:bCs/>
                      <w:snapToGrid w:val="0"/>
                      <w:color w:val="auto"/>
                      <w:sz w:val="21"/>
                      <w:szCs w:val="21"/>
                    </w:rPr>
                  </w:pPr>
                </w:p>
              </w:tc>
              <w:tc>
                <w:tcPr>
                  <w:tcW w:w="897" w:type="dxa"/>
                  <w:noWrap/>
                  <w:vAlign w:val="center"/>
                </w:tcPr>
                <w:p>
                  <w:pPr>
                    <w:tabs>
                      <w:tab w:val="left" w:pos="7937"/>
                    </w:tabs>
                    <w:adjustRightInd w:val="0"/>
                    <w:snapToGrid w:val="0"/>
                    <w:spacing w:line="360" w:lineRule="exact"/>
                    <w:jc w:val="center"/>
                    <w:rPr>
                      <w:rFonts w:ascii="Times New Roman" w:hAnsi="Times New Roman"/>
                      <w:b/>
                      <w:bCs/>
                      <w:snapToGrid w:val="0"/>
                      <w:color w:val="auto"/>
                      <w:sz w:val="21"/>
                      <w:szCs w:val="21"/>
                    </w:rPr>
                  </w:pPr>
                  <w:r>
                    <w:rPr>
                      <w:rFonts w:ascii="Times New Roman" w:hAnsi="Times New Roman"/>
                      <w:b/>
                      <w:bCs/>
                      <w:snapToGrid w:val="0"/>
                      <w:color w:val="auto"/>
                      <w:sz w:val="21"/>
                      <w:szCs w:val="21"/>
                    </w:rPr>
                    <w:t>X</w:t>
                  </w:r>
                </w:p>
              </w:tc>
              <w:tc>
                <w:tcPr>
                  <w:tcW w:w="1141" w:type="dxa"/>
                  <w:noWrap/>
                  <w:vAlign w:val="center"/>
                </w:tcPr>
                <w:p>
                  <w:pPr>
                    <w:tabs>
                      <w:tab w:val="left" w:pos="7937"/>
                    </w:tabs>
                    <w:adjustRightInd w:val="0"/>
                    <w:snapToGrid w:val="0"/>
                    <w:spacing w:line="360" w:lineRule="exact"/>
                    <w:jc w:val="center"/>
                    <w:rPr>
                      <w:rFonts w:ascii="Times New Roman" w:hAnsi="Times New Roman"/>
                      <w:b/>
                      <w:bCs/>
                      <w:snapToGrid w:val="0"/>
                      <w:color w:val="auto"/>
                      <w:sz w:val="21"/>
                      <w:szCs w:val="21"/>
                    </w:rPr>
                  </w:pPr>
                  <w:r>
                    <w:rPr>
                      <w:rFonts w:ascii="Times New Roman" w:hAnsi="Times New Roman"/>
                      <w:b/>
                      <w:bCs/>
                      <w:snapToGrid w:val="0"/>
                      <w:color w:val="auto"/>
                      <w:sz w:val="21"/>
                      <w:szCs w:val="21"/>
                    </w:rPr>
                    <w:t>Y</w:t>
                  </w:r>
                </w:p>
              </w:tc>
              <w:tc>
                <w:tcPr>
                  <w:tcW w:w="962" w:type="dxa"/>
                  <w:vMerge w:val="continue"/>
                  <w:noWrap/>
                  <w:vAlign w:val="center"/>
                </w:tcPr>
                <w:p>
                  <w:pPr>
                    <w:tabs>
                      <w:tab w:val="left" w:pos="7937"/>
                    </w:tabs>
                    <w:adjustRightInd w:val="0"/>
                    <w:snapToGrid w:val="0"/>
                    <w:spacing w:line="360" w:lineRule="exact"/>
                    <w:jc w:val="center"/>
                    <w:rPr>
                      <w:rFonts w:ascii="Times New Roman" w:hAnsi="Times New Roman"/>
                      <w:b/>
                      <w:bCs/>
                      <w:snapToGrid w:val="0"/>
                      <w:color w:val="auto"/>
                      <w:sz w:val="21"/>
                      <w:szCs w:val="21"/>
                    </w:rPr>
                  </w:pPr>
                </w:p>
              </w:tc>
              <w:tc>
                <w:tcPr>
                  <w:tcW w:w="1386" w:type="dxa"/>
                  <w:vMerge w:val="continue"/>
                  <w:noWrap/>
                  <w:vAlign w:val="center"/>
                </w:tcPr>
                <w:p>
                  <w:pPr>
                    <w:tabs>
                      <w:tab w:val="left" w:pos="7937"/>
                    </w:tabs>
                    <w:adjustRightInd w:val="0"/>
                    <w:snapToGrid w:val="0"/>
                    <w:spacing w:line="360" w:lineRule="exact"/>
                    <w:jc w:val="center"/>
                    <w:rPr>
                      <w:rFonts w:ascii="Times New Roman" w:hAnsi="Times New Roman"/>
                      <w:b/>
                      <w:bCs/>
                      <w:snapToGrid w:val="0"/>
                      <w:color w:val="auto"/>
                      <w:sz w:val="21"/>
                      <w:szCs w:val="21"/>
                    </w:rPr>
                  </w:pPr>
                </w:p>
              </w:tc>
              <w:tc>
                <w:tcPr>
                  <w:tcW w:w="1157" w:type="dxa"/>
                  <w:vMerge w:val="continue"/>
                  <w:noWrap/>
                  <w:vAlign w:val="center"/>
                </w:tcPr>
                <w:p>
                  <w:pPr>
                    <w:tabs>
                      <w:tab w:val="left" w:pos="7937"/>
                    </w:tabs>
                    <w:adjustRightInd w:val="0"/>
                    <w:snapToGrid w:val="0"/>
                    <w:spacing w:line="360" w:lineRule="exact"/>
                    <w:jc w:val="center"/>
                    <w:rPr>
                      <w:rFonts w:ascii="Times New Roman" w:hAnsi="Times New Roman"/>
                      <w:b/>
                      <w:bCs/>
                      <w:snapToGrid w:val="0"/>
                      <w:color w:val="auto"/>
                      <w:sz w:val="21"/>
                      <w:szCs w:val="21"/>
                    </w:rPr>
                  </w:pPr>
                </w:p>
              </w:tc>
              <w:tc>
                <w:tcPr>
                  <w:tcW w:w="979" w:type="dxa"/>
                  <w:vMerge w:val="continue"/>
                  <w:noWrap/>
                  <w:vAlign w:val="center"/>
                </w:tcPr>
                <w:p>
                  <w:pPr>
                    <w:tabs>
                      <w:tab w:val="left" w:pos="7937"/>
                    </w:tabs>
                    <w:adjustRightInd w:val="0"/>
                    <w:snapToGrid w:val="0"/>
                    <w:spacing w:line="360" w:lineRule="exact"/>
                    <w:jc w:val="center"/>
                    <w:rPr>
                      <w:rFonts w:ascii="Times New Roman" w:hAnsi="Times New Roman"/>
                      <w:b/>
                      <w:bCs/>
                      <w:snapToGrid w:val="0"/>
                      <w:color w:val="auto"/>
                      <w:sz w:val="21"/>
                      <w:szCs w:val="21"/>
                    </w:rPr>
                  </w:pPr>
                </w:p>
              </w:tc>
              <w:tc>
                <w:tcPr>
                  <w:tcW w:w="1652" w:type="dxa"/>
                  <w:vMerge w:val="continue"/>
                  <w:noWrap/>
                  <w:vAlign w:val="center"/>
                </w:tcPr>
                <w:p>
                  <w:pPr>
                    <w:tabs>
                      <w:tab w:val="left" w:pos="7937"/>
                    </w:tabs>
                    <w:adjustRightInd w:val="0"/>
                    <w:snapToGrid w:val="0"/>
                    <w:spacing w:line="360" w:lineRule="exact"/>
                    <w:jc w:val="center"/>
                    <w:rPr>
                      <w:rFonts w:ascii="Times New Roman" w:hAnsi="Times New Roman"/>
                      <w:b/>
                      <w:bCs/>
                      <w:snapToGrid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snapToGrid w:val="0"/>
                      <w:color w:val="auto"/>
                      <w:sz w:val="21"/>
                      <w:szCs w:val="21"/>
                    </w:rPr>
                  </w:pPr>
                  <w:r>
                    <w:rPr>
                      <w:rFonts w:ascii="Times New Roman" w:hAnsi="Times New Roman"/>
                      <w:color w:val="auto"/>
                      <w:kern w:val="0"/>
                      <w:sz w:val="21"/>
                      <w:szCs w:val="21"/>
                      <w:lang w:bidi="ar"/>
                    </w:rPr>
                    <w:t>小薛营</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315917</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2764454</w:t>
                  </w:r>
                </w:p>
              </w:tc>
              <w:tc>
                <w:tcPr>
                  <w:tcW w:w="962" w:type="dxa"/>
                  <w:noWrap/>
                  <w:vAlign w:val="center"/>
                </w:tcPr>
                <w:p>
                  <w:pPr>
                    <w:adjustRightInd w:val="0"/>
                    <w:snapToGrid w:val="0"/>
                    <w:rPr>
                      <w:rFonts w:ascii="Times New Roman" w:hAnsi="Times New Roman"/>
                      <w:snapToGrid w:val="0"/>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约900人</w:t>
                  </w:r>
                </w:p>
              </w:tc>
              <w:tc>
                <w:tcPr>
                  <w:tcW w:w="1157" w:type="dxa"/>
                  <w:vMerge w:val="restart"/>
                  <w:noWrap/>
                  <w:vAlign w:val="center"/>
                </w:tcPr>
                <w:p>
                  <w:pPr>
                    <w:widowControl/>
                    <w:adjustRightInd w:val="0"/>
                    <w:snapToGrid w:val="0"/>
                    <w:jc w:val="center"/>
                    <w:textAlignment w:val="center"/>
                    <w:rPr>
                      <w:rFonts w:ascii="Times New Roman" w:hAnsi="Times New Roman"/>
                      <w:color w:val="auto"/>
                      <w:sz w:val="21"/>
                      <w:szCs w:val="21"/>
                    </w:rPr>
                  </w:pPr>
                  <w:r>
                    <w:rPr>
                      <w:rFonts w:ascii="Times New Roman" w:hAnsi="Times New Roman"/>
                      <w:color w:val="auto"/>
                      <w:sz w:val="21"/>
                      <w:szCs w:val="21"/>
                    </w:rPr>
                    <w:t>GB3095-2012</w:t>
                  </w:r>
                  <w:r>
                    <w:rPr>
                      <w:rFonts w:ascii="Times New Roman" w:hAnsi="Times New Roman"/>
                      <w:color w:val="auto"/>
                      <w:spacing w:val="8"/>
                      <w:sz w:val="21"/>
                      <w:szCs w:val="21"/>
                    </w:rPr>
                    <w:t>《环境空气质量标准》2类</w:t>
                  </w: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东北面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snapToGrid w:val="0"/>
                      <w:color w:val="auto"/>
                      <w:sz w:val="21"/>
                      <w:szCs w:val="21"/>
                    </w:rPr>
                  </w:pPr>
                  <w:r>
                    <w:rPr>
                      <w:rFonts w:ascii="Times New Roman" w:hAnsi="Times New Roman"/>
                      <w:color w:val="auto"/>
                      <w:kern w:val="0"/>
                      <w:sz w:val="21"/>
                      <w:szCs w:val="21"/>
                      <w:lang w:bidi="ar"/>
                    </w:rPr>
                    <w:t>下河营</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316463</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2764010</w:t>
                  </w:r>
                </w:p>
              </w:tc>
              <w:tc>
                <w:tcPr>
                  <w:tcW w:w="962" w:type="dxa"/>
                  <w:noWrap/>
                  <w:vAlign w:val="center"/>
                </w:tcPr>
                <w:p>
                  <w:pPr>
                    <w:tabs>
                      <w:tab w:val="left" w:pos="239"/>
                    </w:tabs>
                    <w:adjustRightInd w:val="0"/>
                    <w:snapToGrid w:val="0"/>
                    <w:rPr>
                      <w:rFonts w:ascii="Times New Roman" w:hAnsi="Times New Roman"/>
                      <w:snapToGrid w:val="0"/>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约450人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东北面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snapToGrid w:val="0"/>
                      <w:color w:val="auto"/>
                      <w:sz w:val="21"/>
                      <w:szCs w:val="21"/>
                    </w:rPr>
                  </w:pPr>
                  <w:r>
                    <w:rPr>
                      <w:rFonts w:ascii="Times New Roman" w:hAnsi="Times New Roman"/>
                      <w:color w:val="auto"/>
                      <w:kern w:val="0"/>
                      <w:sz w:val="21"/>
                      <w:szCs w:val="21"/>
                      <w:lang w:bidi="ar"/>
                    </w:rPr>
                    <w:t>安家桥村</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316144</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2763585</w:t>
                  </w:r>
                </w:p>
              </w:tc>
              <w:tc>
                <w:tcPr>
                  <w:tcW w:w="962" w:type="dxa"/>
                  <w:noWrap/>
                  <w:vAlign w:val="center"/>
                </w:tcPr>
                <w:p>
                  <w:pPr>
                    <w:adjustRightInd w:val="0"/>
                    <w:snapToGrid w:val="0"/>
                    <w:rPr>
                      <w:rFonts w:ascii="Times New Roman" w:hAnsi="Times New Roman"/>
                      <w:snapToGrid w:val="0"/>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约1000人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东北面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snapToGrid w:val="0"/>
                      <w:color w:val="auto"/>
                      <w:sz w:val="21"/>
                      <w:szCs w:val="21"/>
                    </w:rPr>
                  </w:pPr>
                  <w:r>
                    <w:rPr>
                      <w:rFonts w:ascii="Times New Roman" w:hAnsi="Times New Roman"/>
                      <w:color w:val="auto"/>
                      <w:kern w:val="0"/>
                      <w:sz w:val="21"/>
                      <w:szCs w:val="21"/>
                      <w:lang w:bidi="ar"/>
                    </w:rPr>
                    <w:t>狗街子</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316390</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2763190</w:t>
                  </w:r>
                </w:p>
              </w:tc>
              <w:tc>
                <w:tcPr>
                  <w:tcW w:w="962" w:type="dxa"/>
                  <w:noWrap/>
                  <w:vAlign w:val="center"/>
                </w:tcPr>
                <w:p>
                  <w:pPr>
                    <w:adjustRightInd w:val="0"/>
                    <w:snapToGrid w:val="0"/>
                    <w:rPr>
                      <w:rFonts w:ascii="Times New Roman" w:hAnsi="Times New Roman"/>
                      <w:snapToGrid w:val="0"/>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约1200人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rPr>
                    <w:t>东北面</w:t>
                  </w:r>
                </w:p>
              </w:tc>
              <w:tc>
                <w:tcPr>
                  <w:tcW w:w="1652" w:type="dxa"/>
                  <w:noWrap/>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rPr>
                    <w:t>2290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snapToGrid w:val="0"/>
                      <w:color w:val="auto"/>
                      <w:sz w:val="21"/>
                      <w:szCs w:val="21"/>
                    </w:rPr>
                  </w:pPr>
                  <w:r>
                    <w:rPr>
                      <w:rFonts w:ascii="Times New Roman" w:hAnsi="Times New Roman"/>
                      <w:color w:val="auto"/>
                      <w:kern w:val="0"/>
                      <w:sz w:val="21"/>
                      <w:szCs w:val="21"/>
                      <w:lang w:bidi="ar"/>
                    </w:rPr>
                    <w:t>古城村和南北村</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316169</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2762204</w:t>
                  </w:r>
                </w:p>
              </w:tc>
              <w:tc>
                <w:tcPr>
                  <w:tcW w:w="962" w:type="dxa"/>
                  <w:noWrap/>
                  <w:vAlign w:val="center"/>
                </w:tcPr>
                <w:p>
                  <w:pPr>
                    <w:adjustRightInd w:val="0"/>
                    <w:snapToGrid w:val="0"/>
                    <w:rPr>
                      <w:rFonts w:ascii="Times New Roman" w:hAnsi="Times New Roman"/>
                      <w:snapToGrid w:val="0"/>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约3000人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东面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snapToGrid w:val="0"/>
                      <w:color w:val="auto"/>
                      <w:sz w:val="21"/>
                      <w:szCs w:val="21"/>
                    </w:rPr>
                  </w:pPr>
                  <w:r>
                    <w:rPr>
                      <w:rFonts w:ascii="Times New Roman" w:hAnsi="Times New Roman"/>
                      <w:color w:val="auto"/>
                      <w:kern w:val="0"/>
                      <w:sz w:val="21"/>
                      <w:szCs w:val="21"/>
                      <w:lang w:bidi="ar"/>
                    </w:rPr>
                    <w:t>老古城</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315733</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2761994</w:t>
                  </w:r>
                </w:p>
              </w:tc>
              <w:tc>
                <w:tcPr>
                  <w:tcW w:w="962" w:type="dxa"/>
                  <w:noWrap/>
                  <w:vAlign w:val="center"/>
                </w:tcPr>
                <w:p>
                  <w:pPr>
                    <w:adjustRightInd w:val="0"/>
                    <w:snapToGrid w:val="0"/>
                    <w:rPr>
                      <w:rFonts w:ascii="Times New Roman" w:hAnsi="Times New Roman"/>
                      <w:snapToGrid w:val="0"/>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约800人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东面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snapToGrid w:val="0"/>
                      <w:color w:val="auto"/>
                      <w:sz w:val="21"/>
                      <w:szCs w:val="21"/>
                    </w:rPr>
                  </w:pPr>
                  <w:r>
                    <w:rPr>
                      <w:rFonts w:ascii="Times New Roman" w:hAnsi="Times New Roman"/>
                      <w:color w:val="auto"/>
                      <w:kern w:val="0"/>
                      <w:sz w:val="21"/>
                      <w:szCs w:val="21"/>
                      <w:lang w:bidi="ar"/>
                    </w:rPr>
                    <w:t>南北村散户</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316083</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2760629</w:t>
                  </w:r>
                </w:p>
              </w:tc>
              <w:tc>
                <w:tcPr>
                  <w:tcW w:w="962" w:type="dxa"/>
                  <w:noWrap/>
                  <w:vAlign w:val="center"/>
                </w:tcPr>
                <w:p>
                  <w:pPr>
                    <w:adjustRightInd w:val="0"/>
                    <w:snapToGrid w:val="0"/>
                    <w:rPr>
                      <w:rFonts w:ascii="Times New Roman" w:hAnsi="Times New Roman"/>
                      <w:snapToGrid w:val="0"/>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约450人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东北面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snapToGrid w:val="0"/>
                      <w:color w:val="auto"/>
                      <w:sz w:val="21"/>
                      <w:szCs w:val="21"/>
                    </w:rPr>
                  </w:pPr>
                  <w:r>
                    <w:rPr>
                      <w:rFonts w:ascii="Times New Roman" w:hAnsi="Times New Roman"/>
                      <w:color w:val="auto"/>
                      <w:kern w:val="0"/>
                      <w:sz w:val="21"/>
                      <w:szCs w:val="21"/>
                      <w:lang w:bidi="ar"/>
                    </w:rPr>
                    <w:t>陈家渡村</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314892</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2763573</w:t>
                  </w:r>
                </w:p>
              </w:tc>
              <w:tc>
                <w:tcPr>
                  <w:tcW w:w="962" w:type="dxa"/>
                  <w:noWrap/>
                  <w:vAlign w:val="center"/>
                </w:tcPr>
                <w:p>
                  <w:pPr>
                    <w:adjustRightInd w:val="0"/>
                    <w:snapToGrid w:val="0"/>
                    <w:rPr>
                      <w:rFonts w:ascii="Times New Roman" w:hAnsi="Times New Roman"/>
                      <w:snapToGrid w:val="0"/>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约1000人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东北面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snapToGrid w:val="0"/>
                      <w:color w:val="auto"/>
                      <w:sz w:val="21"/>
                      <w:szCs w:val="21"/>
                    </w:rPr>
                  </w:pPr>
                  <w:r>
                    <w:rPr>
                      <w:rFonts w:ascii="Times New Roman" w:hAnsi="Times New Roman"/>
                      <w:color w:val="auto"/>
                      <w:kern w:val="0"/>
                      <w:sz w:val="21"/>
                      <w:szCs w:val="21"/>
                      <w:lang w:bidi="ar"/>
                    </w:rPr>
                    <w:t>大唐营</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314517</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2762932</w:t>
                  </w:r>
                </w:p>
              </w:tc>
              <w:tc>
                <w:tcPr>
                  <w:tcW w:w="962" w:type="dxa"/>
                  <w:noWrap/>
                  <w:vAlign w:val="center"/>
                </w:tcPr>
                <w:p>
                  <w:pPr>
                    <w:adjustRightInd w:val="0"/>
                    <w:snapToGrid w:val="0"/>
                    <w:rPr>
                      <w:rFonts w:ascii="Times New Roman" w:hAnsi="Times New Roman"/>
                      <w:snapToGrid w:val="0"/>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约400人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东北面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黑希村</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314640</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2760528</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约400人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大唐营散户</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314088</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2762963</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约50人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泉村头</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313640</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2764436</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约500人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夏官营</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313333</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2764140</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约300人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永丰村</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313388</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2763875</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约200人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西北面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左营</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313437</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2763314</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约1000人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西北面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马家营</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313228</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2762599</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约300人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西面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小唐营散户</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313861</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2762106</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约50人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hint="eastAsia" w:ascii="Times New Roman" w:hAnsi="Times New Roman"/>
                      <w:color w:val="auto"/>
                      <w:spacing w:val="8"/>
                      <w:sz w:val="21"/>
                      <w:szCs w:val="21"/>
                    </w:rPr>
                    <w:t>西</w:t>
                  </w:r>
                  <w:r>
                    <w:rPr>
                      <w:rFonts w:ascii="Times New Roman" w:hAnsi="Times New Roman"/>
                      <w:color w:val="auto"/>
                      <w:spacing w:val="8"/>
                      <w:sz w:val="21"/>
                      <w:szCs w:val="21"/>
                    </w:rPr>
                    <w:t>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小唐营</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314137</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2761841</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约500人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兰家营1号片区</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313928</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2761008</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约900人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兰家营2号片区</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313283</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2761452</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约1000人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西南面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蓬莱</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313713</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2760102</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约100人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高桥村</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312912</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2760441</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约200人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西南面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温泉村</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312068</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2760330</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约300人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西南面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下栗者</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312080</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2760805</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约300人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西南面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上栗者</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311620</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2760928</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约200人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西南面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保洪村</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312289</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2762371</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约600人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西面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河溪营</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312719</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2763709</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约700人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西北面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ascii="Times New Roman" w:hAnsi="Times New Roman"/>
                      <w:color w:val="auto"/>
                      <w:kern w:val="0"/>
                      <w:sz w:val="21"/>
                      <w:szCs w:val="21"/>
                    </w:rPr>
                  </w:pPr>
                  <w:r>
                    <w:rPr>
                      <w:rFonts w:ascii="Times New Roman" w:hAnsi="Times New Roman"/>
                      <w:color w:val="auto"/>
                      <w:kern w:val="0"/>
                      <w:sz w:val="21"/>
                      <w:szCs w:val="21"/>
                      <w:lang w:bidi="ar"/>
                    </w:rPr>
                    <w:t>万户庄</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312946</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2764787</w:t>
                  </w:r>
                </w:p>
              </w:tc>
              <w:tc>
                <w:tcPr>
                  <w:tcW w:w="962" w:type="dxa"/>
                  <w:noWrap/>
                  <w:vAlign w:val="center"/>
                </w:tcPr>
                <w:p>
                  <w:pPr>
                    <w:adjustRightInd w:val="0"/>
                    <w:snapToGrid w:val="0"/>
                    <w:rPr>
                      <w:rFonts w:ascii="Times New Roman" w:hAnsi="Times New Roman"/>
                      <w:color w:val="auto"/>
                      <w:sz w:val="21"/>
                      <w:szCs w:val="21"/>
                    </w:rPr>
                  </w:pPr>
                  <w:r>
                    <w:rPr>
                      <w:rFonts w:ascii="Times New Roman" w:hAnsi="Times New Roman"/>
                      <w:color w:val="auto"/>
                      <w:spacing w:val="8"/>
                      <w:sz w:val="21"/>
                      <w:szCs w:val="21"/>
                    </w:rPr>
                    <w:t>居民点</w:t>
                  </w:r>
                </w:p>
              </w:tc>
              <w:tc>
                <w:tcPr>
                  <w:tcW w:w="1386" w:type="dxa"/>
                  <w:noWrap/>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spacing w:val="8"/>
                      <w:sz w:val="21"/>
                      <w:szCs w:val="21"/>
                    </w:rPr>
                    <w:t>约900人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z w:val="21"/>
                      <w:szCs w:val="21"/>
                    </w:rPr>
                    <w:t>西北面</w:t>
                  </w:r>
                </w:p>
              </w:tc>
              <w:tc>
                <w:tcPr>
                  <w:tcW w:w="1652" w:type="dxa"/>
                  <w:noWrap/>
                  <w:vAlign w:val="center"/>
                </w:tcPr>
                <w:p>
                  <w:pPr>
                    <w:adjustRightInd w:val="0"/>
                    <w:snapToGrid w:val="0"/>
                    <w:rPr>
                      <w:rFonts w:ascii="Times New Roman" w:hAnsi="Times New Roman"/>
                      <w:color w:val="auto"/>
                      <w:spacing w:val="8"/>
                      <w:sz w:val="21"/>
                      <w:szCs w:val="21"/>
                    </w:rPr>
                  </w:pPr>
                  <w:r>
                    <w:rPr>
                      <w:rFonts w:ascii="Times New Roman" w:hAnsi="Times New Roman"/>
                      <w:color w:val="auto"/>
                      <w:spacing w:val="8"/>
                      <w:sz w:val="21"/>
                      <w:szCs w:val="21"/>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9" w:type="dxa"/>
                  <w:noWrap/>
                  <w:vAlign w:val="center"/>
                </w:tcPr>
                <w:p>
                  <w:pPr>
                    <w:widowControl/>
                    <w:adjustRightInd w:val="0"/>
                    <w:snapToGrid w:val="0"/>
                    <w:jc w:val="center"/>
                    <w:textAlignment w:val="center"/>
                    <w:rPr>
                      <w:rFonts w:hint="eastAsia" w:ascii="Times New Roman" w:hAnsi="Times New Roman" w:eastAsia="宋体"/>
                      <w:color w:val="auto"/>
                      <w:kern w:val="0"/>
                      <w:sz w:val="21"/>
                      <w:szCs w:val="21"/>
                      <w:lang w:eastAsia="zh-CN" w:bidi="ar"/>
                    </w:rPr>
                  </w:pPr>
                  <w:r>
                    <w:rPr>
                      <w:rFonts w:hint="eastAsia" w:ascii="Times New Roman" w:hAnsi="Times New Roman"/>
                      <w:color w:val="auto"/>
                      <w:kern w:val="0"/>
                      <w:sz w:val="21"/>
                      <w:szCs w:val="21"/>
                      <w:lang w:eastAsia="zh-CN" w:bidi="ar"/>
                    </w:rPr>
                    <w:t>瓦窑</w:t>
                  </w:r>
                </w:p>
              </w:tc>
              <w:tc>
                <w:tcPr>
                  <w:tcW w:w="89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313867</w:t>
                  </w:r>
                </w:p>
              </w:tc>
              <w:tc>
                <w:tcPr>
                  <w:tcW w:w="114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2762112</w:t>
                  </w:r>
                </w:p>
              </w:tc>
              <w:tc>
                <w:tcPr>
                  <w:tcW w:w="962" w:type="dxa"/>
                  <w:noWrap/>
                  <w:vAlign w:val="center"/>
                </w:tcPr>
                <w:p>
                  <w:pPr>
                    <w:adjustRightInd w:val="0"/>
                    <w:snapToGrid w:val="0"/>
                    <w:rPr>
                      <w:rFonts w:hint="eastAsia" w:ascii="Times New Roman" w:hAnsi="Times New Roman" w:eastAsia="宋体"/>
                      <w:color w:val="auto"/>
                      <w:spacing w:val="8"/>
                      <w:sz w:val="21"/>
                      <w:szCs w:val="21"/>
                      <w:lang w:eastAsia="zh-CN"/>
                    </w:rPr>
                  </w:pPr>
                  <w:r>
                    <w:rPr>
                      <w:rFonts w:hint="eastAsia" w:ascii="Times New Roman" w:hAnsi="Times New Roman"/>
                      <w:color w:val="auto"/>
                      <w:spacing w:val="8"/>
                      <w:sz w:val="21"/>
                      <w:szCs w:val="21"/>
                      <w:lang w:eastAsia="zh-CN"/>
                    </w:rPr>
                    <w:t>居民点</w:t>
                  </w:r>
                </w:p>
              </w:tc>
              <w:tc>
                <w:tcPr>
                  <w:tcW w:w="1386" w:type="dxa"/>
                  <w:noWrap/>
                  <w:vAlign w:val="center"/>
                </w:tcPr>
                <w:p>
                  <w:pPr>
                    <w:adjustRightInd w:val="0"/>
                    <w:snapToGrid w:val="0"/>
                    <w:jc w:val="center"/>
                    <w:rPr>
                      <w:rFonts w:hint="default" w:ascii="Times New Roman" w:hAnsi="Times New Roman" w:eastAsia="宋体"/>
                      <w:color w:val="auto"/>
                      <w:spacing w:val="8"/>
                      <w:sz w:val="21"/>
                      <w:szCs w:val="21"/>
                      <w:lang w:val="en-US" w:eastAsia="zh-CN"/>
                    </w:rPr>
                  </w:pPr>
                  <w:r>
                    <w:rPr>
                      <w:rFonts w:hint="eastAsia" w:ascii="Times New Roman" w:hAnsi="Times New Roman"/>
                      <w:color w:val="auto"/>
                      <w:spacing w:val="8"/>
                      <w:sz w:val="21"/>
                      <w:szCs w:val="21"/>
                      <w:lang w:eastAsia="zh-CN"/>
                    </w:rPr>
                    <w:t>约</w:t>
                  </w:r>
                  <w:r>
                    <w:rPr>
                      <w:rFonts w:hint="eastAsia" w:ascii="Times New Roman" w:hAnsi="Times New Roman"/>
                      <w:color w:val="auto"/>
                      <w:spacing w:val="8"/>
                      <w:sz w:val="21"/>
                      <w:szCs w:val="21"/>
                      <w:lang w:val="en-US" w:eastAsia="zh-CN"/>
                    </w:rPr>
                    <w:t>100人</w:t>
                  </w:r>
                </w:p>
              </w:tc>
              <w:tc>
                <w:tcPr>
                  <w:tcW w:w="1157" w:type="dxa"/>
                  <w:vMerge w:val="continue"/>
                  <w:noWrap/>
                  <w:vAlign w:val="center"/>
                </w:tcPr>
                <w:p>
                  <w:pPr>
                    <w:widowControl/>
                    <w:adjustRightInd w:val="0"/>
                    <w:snapToGrid w:val="0"/>
                    <w:jc w:val="center"/>
                    <w:textAlignment w:val="center"/>
                    <w:rPr>
                      <w:rFonts w:ascii="Times New Roman" w:hAnsi="Times New Roman"/>
                      <w:color w:val="auto"/>
                      <w:kern w:val="0"/>
                      <w:sz w:val="21"/>
                      <w:szCs w:val="21"/>
                      <w:lang w:bidi="ar"/>
                    </w:rPr>
                  </w:pPr>
                </w:p>
              </w:tc>
              <w:tc>
                <w:tcPr>
                  <w:tcW w:w="979" w:type="dxa"/>
                  <w:noWrap/>
                  <w:vAlign w:val="center"/>
                </w:tcPr>
                <w:p>
                  <w:pPr>
                    <w:adjustRightInd w:val="0"/>
                    <w:snapToGrid w:val="0"/>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西南面</w:t>
                  </w:r>
                </w:p>
              </w:tc>
              <w:tc>
                <w:tcPr>
                  <w:tcW w:w="1652" w:type="dxa"/>
                  <w:noWrap/>
                  <w:vAlign w:val="center"/>
                </w:tcPr>
                <w:p>
                  <w:pPr>
                    <w:adjustRightInd w:val="0"/>
                    <w:snapToGrid w:val="0"/>
                    <w:rPr>
                      <w:rFonts w:hint="default" w:ascii="Times New Roman" w:hAnsi="Times New Roman" w:eastAsia="宋体"/>
                      <w:color w:val="auto"/>
                      <w:spacing w:val="8"/>
                      <w:sz w:val="21"/>
                      <w:szCs w:val="21"/>
                      <w:lang w:val="en-US" w:eastAsia="zh-CN"/>
                    </w:rPr>
                  </w:pPr>
                  <w:r>
                    <w:rPr>
                      <w:rFonts w:hint="eastAsia" w:ascii="Times New Roman" w:hAnsi="Times New Roman"/>
                      <w:color w:val="auto"/>
                      <w:spacing w:val="8"/>
                      <w:sz w:val="21"/>
                      <w:szCs w:val="21"/>
                      <w:lang w:val="en-US" w:eastAsia="zh-CN"/>
                    </w:rPr>
                    <w:t>410</w:t>
                  </w:r>
                </w:p>
              </w:tc>
            </w:tr>
          </w:tbl>
          <w:p>
            <w:pPr>
              <w:keepNext w:val="0"/>
              <w:keepLines w:val="0"/>
              <w:pageBreakBefore w:val="0"/>
              <w:widowControl w:val="0"/>
              <w:kinsoku/>
              <w:wordWrap/>
              <w:overflowPunct/>
              <w:topLinePunct w:val="0"/>
              <w:autoSpaceDE/>
              <w:autoSpaceDN/>
              <w:bidi w:val="0"/>
              <w:adjustRightInd w:val="0"/>
              <w:snapToGrid w:val="0"/>
              <w:ind w:firstLine="18" w:firstLineChars="10"/>
              <w:jc w:val="both"/>
              <w:textAlignment w:val="auto"/>
              <w:rPr>
                <w:rFonts w:hint="default" w:ascii="Times New Roman" w:hAnsi="Times New Roman" w:eastAsia="宋体"/>
                <w:b/>
                <w:bCs/>
                <w:color w:val="auto"/>
                <w:sz w:val="18"/>
                <w:szCs w:val="18"/>
                <w:lang w:val="en-US" w:eastAsia="zh-CN"/>
              </w:rPr>
            </w:pPr>
            <w:r>
              <w:rPr>
                <w:rFonts w:hint="eastAsia" w:ascii="Times New Roman" w:hAnsi="Times New Roman"/>
                <w:b/>
                <w:bCs/>
                <w:color w:val="auto"/>
                <w:sz w:val="18"/>
                <w:szCs w:val="18"/>
                <w:lang w:eastAsia="zh-CN"/>
              </w:rPr>
              <w:t>注：坐标系为</w:t>
            </w:r>
            <w:r>
              <w:rPr>
                <w:rFonts w:hint="eastAsia" w:ascii="Times New Roman" w:hAnsi="Times New Roman"/>
                <w:b/>
                <w:bCs/>
                <w:color w:val="auto"/>
                <w:sz w:val="18"/>
                <w:szCs w:val="18"/>
                <w:lang w:val="en-US" w:eastAsia="zh-CN"/>
              </w:rPr>
              <w:t>UTM坐标。</w:t>
            </w:r>
          </w:p>
          <w:p>
            <w:pPr>
              <w:adjustRightInd w:val="0"/>
              <w:snapToGrid w:val="0"/>
              <w:spacing w:before="163" w:beforeLines="50"/>
              <w:ind w:firstLine="21" w:firstLineChars="10"/>
              <w:jc w:val="center"/>
              <w:rPr>
                <w:rFonts w:ascii="Times New Roman" w:hAnsi="Times New Roman"/>
                <w:b/>
                <w:bCs/>
                <w:color w:val="auto"/>
                <w:sz w:val="21"/>
                <w:szCs w:val="21"/>
              </w:rPr>
            </w:pPr>
          </w:p>
          <w:p>
            <w:pPr>
              <w:adjustRightInd w:val="0"/>
              <w:snapToGrid w:val="0"/>
              <w:spacing w:before="163" w:beforeLines="50"/>
              <w:ind w:firstLine="21" w:firstLineChars="10"/>
              <w:jc w:val="center"/>
              <w:rPr>
                <w:rFonts w:ascii="Times New Roman" w:hAnsi="Times New Roman"/>
                <w:b/>
                <w:bCs/>
                <w:color w:val="auto"/>
                <w:sz w:val="21"/>
                <w:szCs w:val="21"/>
              </w:rPr>
            </w:pPr>
          </w:p>
          <w:p>
            <w:pPr>
              <w:adjustRightInd w:val="0"/>
              <w:snapToGrid w:val="0"/>
              <w:spacing w:before="163" w:beforeLines="50"/>
              <w:ind w:firstLine="21" w:firstLineChars="10"/>
              <w:jc w:val="center"/>
              <w:rPr>
                <w:rFonts w:ascii="Times New Roman" w:hAnsi="Times New Roman"/>
                <w:b/>
                <w:bCs/>
                <w:color w:val="auto"/>
                <w:sz w:val="21"/>
                <w:szCs w:val="21"/>
              </w:rPr>
            </w:pPr>
          </w:p>
          <w:p>
            <w:pPr>
              <w:adjustRightInd w:val="0"/>
              <w:snapToGrid w:val="0"/>
              <w:spacing w:before="163" w:beforeLines="50"/>
              <w:ind w:firstLine="21" w:firstLineChars="10"/>
              <w:jc w:val="center"/>
              <w:rPr>
                <w:rFonts w:ascii="Times New Roman" w:hAnsi="Times New Roman"/>
                <w:b/>
                <w:bCs/>
                <w:color w:val="auto"/>
                <w:sz w:val="21"/>
                <w:szCs w:val="21"/>
              </w:rPr>
            </w:pPr>
            <w:r>
              <w:rPr>
                <w:rFonts w:ascii="Times New Roman" w:hAnsi="Times New Roman"/>
                <w:b/>
                <w:bCs/>
                <w:color w:val="auto"/>
                <w:sz w:val="21"/>
                <w:szCs w:val="21"/>
              </w:rPr>
              <w:t>表3-9   项目</w:t>
            </w:r>
            <w:r>
              <w:rPr>
                <w:rFonts w:hint="eastAsia" w:ascii="Times New Roman" w:hAnsi="Times New Roman"/>
                <w:b/>
                <w:bCs/>
                <w:color w:val="auto"/>
                <w:sz w:val="21"/>
                <w:szCs w:val="21"/>
              </w:rPr>
              <w:t>声</w:t>
            </w:r>
            <w:r>
              <w:rPr>
                <w:rFonts w:ascii="Times New Roman" w:hAnsi="Times New Roman"/>
                <w:b/>
                <w:bCs/>
                <w:color w:val="auto"/>
                <w:sz w:val="21"/>
                <w:szCs w:val="21"/>
              </w:rPr>
              <w:t>环境保护目标</w:t>
            </w:r>
            <w:r>
              <w:rPr>
                <w:rFonts w:hint="eastAsia" w:ascii="Times New Roman" w:hAnsi="Times New Roman"/>
                <w:b/>
                <w:bCs/>
                <w:color w:val="auto"/>
                <w:sz w:val="21"/>
                <w:szCs w:val="21"/>
              </w:rPr>
              <w:t>一览表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1641"/>
              <w:gridCol w:w="1536"/>
              <w:gridCol w:w="1202"/>
              <w:gridCol w:w="900"/>
              <w:gridCol w:w="1064"/>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86" w:type="pct"/>
                  <w:vMerge w:val="restar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名称</w:t>
                  </w:r>
                </w:p>
              </w:tc>
              <w:tc>
                <w:tcPr>
                  <w:tcW w:w="1789" w:type="pct"/>
                  <w:gridSpan w:val="2"/>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坐标(经纬度）</w:t>
                  </w:r>
                </w:p>
              </w:tc>
              <w:tc>
                <w:tcPr>
                  <w:tcW w:w="677" w:type="pct"/>
                  <w:vMerge w:val="restar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保护对象及内容</w:t>
                  </w:r>
                </w:p>
              </w:tc>
              <w:tc>
                <w:tcPr>
                  <w:tcW w:w="507" w:type="pct"/>
                  <w:vMerge w:val="restar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环境功能区</w:t>
                  </w:r>
                </w:p>
              </w:tc>
              <w:tc>
                <w:tcPr>
                  <w:tcW w:w="599" w:type="pct"/>
                  <w:vMerge w:val="restar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相对厂址方位</w:t>
                  </w:r>
                </w:p>
              </w:tc>
              <w:tc>
                <w:tcPr>
                  <w:tcW w:w="543" w:type="pct"/>
                  <w:vMerge w:val="restar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86" w:type="pct"/>
                  <w:vMerge w:val="continue"/>
                  <w:vAlign w:val="center"/>
                </w:tcPr>
                <w:p>
                  <w:pPr>
                    <w:adjustRightInd w:val="0"/>
                    <w:snapToGrid w:val="0"/>
                    <w:jc w:val="center"/>
                    <w:rPr>
                      <w:rFonts w:ascii="Times New Roman" w:hAnsi="Times New Roman"/>
                      <w:color w:val="auto"/>
                      <w:sz w:val="21"/>
                      <w:szCs w:val="21"/>
                    </w:rPr>
                  </w:pPr>
                </w:p>
              </w:tc>
              <w:tc>
                <w:tcPr>
                  <w:tcW w:w="924" w:type="pc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kern w:val="0"/>
                      <w:sz w:val="21"/>
                      <w:szCs w:val="21"/>
                      <w:lang w:bidi="ar"/>
                    </w:rPr>
                    <w:t>经度</w:t>
                  </w:r>
                </w:p>
              </w:tc>
              <w:tc>
                <w:tcPr>
                  <w:tcW w:w="865" w:type="pc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纬度</w:t>
                  </w:r>
                </w:p>
              </w:tc>
              <w:tc>
                <w:tcPr>
                  <w:tcW w:w="677" w:type="pct"/>
                  <w:vMerge w:val="continue"/>
                  <w:vAlign w:val="center"/>
                </w:tcPr>
                <w:p>
                  <w:pPr>
                    <w:adjustRightInd w:val="0"/>
                    <w:snapToGrid w:val="0"/>
                    <w:jc w:val="center"/>
                    <w:rPr>
                      <w:rFonts w:ascii="Times New Roman" w:hAnsi="Times New Roman"/>
                      <w:color w:val="auto"/>
                      <w:sz w:val="21"/>
                      <w:szCs w:val="21"/>
                    </w:rPr>
                  </w:pPr>
                </w:p>
              </w:tc>
              <w:tc>
                <w:tcPr>
                  <w:tcW w:w="507" w:type="pct"/>
                  <w:vMerge w:val="continue"/>
                  <w:vAlign w:val="center"/>
                </w:tcPr>
                <w:p>
                  <w:pPr>
                    <w:adjustRightInd w:val="0"/>
                    <w:snapToGrid w:val="0"/>
                    <w:jc w:val="center"/>
                    <w:rPr>
                      <w:rFonts w:ascii="Times New Roman" w:hAnsi="Times New Roman"/>
                      <w:color w:val="auto"/>
                      <w:sz w:val="21"/>
                      <w:szCs w:val="21"/>
                    </w:rPr>
                  </w:pPr>
                </w:p>
              </w:tc>
              <w:tc>
                <w:tcPr>
                  <w:tcW w:w="599" w:type="pct"/>
                  <w:vMerge w:val="continue"/>
                  <w:vAlign w:val="center"/>
                </w:tcPr>
                <w:p>
                  <w:pPr>
                    <w:adjustRightInd w:val="0"/>
                    <w:snapToGrid w:val="0"/>
                    <w:jc w:val="center"/>
                    <w:rPr>
                      <w:rFonts w:ascii="Times New Roman" w:hAnsi="Times New Roman"/>
                      <w:color w:val="auto"/>
                      <w:sz w:val="21"/>
                      <w:szCs w:val="21"/>
                    </w:rPr>
                  </w:pPr>
                </w:p>
              </w:tc>
              <w:tc>
                <w:tcPr>
                  <w:tcW w:w="543" w:type="pct"/>
                  <w:vMerge w:val="continue"/>
                  <w:vAlign w:val="center"/>
                </w:tcPr>
                <w:p>
                  <w:pPr>
                    <w:adjustRightInd w:val="0"/>
                    <w:snapToGrid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886" w:type="pct"/>
                  <w:vAlign w:val="center"/>
                </w:tcPr>
                <w:p>
                  <w:pPr>
                    <w:adjustRightInd w:val="0"/>
                    <w:snapToGrid w:val="0"/>
                    <w:spacing w:line="360" w:lineRule="exact"/>
                    <w:rPr>
                      <w:rFonts w:ascii="Times New Roman" w:hAnsi="Times New Roman"/>
                      <w:color w:val="auto"/>
                      <w:sz w:val="21"/>
                      <w:szCs w:val="21"/>
                    </w:rPr>
                  </w:pPr>
                  <w:r>
                    <w:rPr>
                      <w:rFonts w:ascii="Times New Roman" w:hAnsi="Times New Roman"/>
                      <w:color w:val="auto"/>
                      <w:sz w:val="21"/>
                      <w:szCs w:val="21"/>
                    </w:rPr>
                    <w:t>小唐营散户</w:t>
                  </w:r>
                </w:p>
              </w:tc>
              <w:tc>
                <w:tcPr>
                  <w:tcW w:w="924"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103°9′29.9398″</w:t>
                  </w:r>
                </w:p>
              </w:tc>
              <w:tc>
                <w:tcPr>
                  <w:tcW w:w="86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24°57′44.9388″</w:t>
                  </w:r>
                </w:p>
              </w:tc>
              <w:tc>
                <w:tcPr>
                  <w:tcW w:w="677"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居民</w:t>
                  </w:r>
                </w:p>
              </w:tc>
              <w:tc>
                <w:tcPr>
                  <w:tcW w:w="507" w:type="pct"/>
                  <w:vAlign w:val="center"/>
                </w:tcPr>
                <w:p>
                  <w:pPr>
                    <w:adjustRightInd w:val="0"/>
                    <w:snapToGrid w:val="0"/>
                    <w:jc w:val="center"/>
                    <w:rPr>
                      <w:rFonts w:ascii="Times New Roman" w:hAnsi="Times New Roman"/>
                      <w:color w:val="auto"/>
                      <w:spacing w:val="8"/>
                      <w:sz w:val="21"/>
                      <w:szCs w:val="21"/>
                    </w:rPr>
                  </w:pPr>
                  <w:r>
                    <w:rPr>
                      <w:rFonts w:ascii="Times New Roman" w:hAnsi="Times New Roman"/>
                      <w:color w:val="auto"/>
                      <w:spacing w:val="8"/>
                      <w:sz w:val="21"/>
                      <w:szCs w:val="21"/>
                    </w:rPr>
                    <w:t>4a类声环境</w:t>
                  </w:r>
                </w:p>
              </w:tc>
              <w:tc>
                <w:tcPr>
                  <w:tcW w:w="599"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西南</w:t>
                  </w:r>
                </w:p>
              </w:tc>
              <w:tc>
                <w:tcPr>
                  <w:tcW w:w="543"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90</w:t>
                  </w:r>
                </w:p>
              </w:tc>
            </w:tr>
          </w:tbl>
          <w:p>
            <w:pPr>
              <w:adjustRightInd w:val="0"/>
              <w:snapToGrid w:val="0"/>
              <w:spacing w:line="360" w:lineRule="auto"/>
              <w:rPr>
                <w:rFonts w:ascii="Times New Roman" w:hAnsi="Times New Roman"/>
                <w:color w:val="auto"/>
                <w:kern w:val="0"/>
              </w:rPr>
            </w:pPr>
            <w:r>
              <w:rPr>
                <w:rFonts w:ascii="Times New Roman" w:hAnsi="Times New Roman"/>
                <w:color w:val="auto"/>
                <w:kern w:val="0"/>
                <w:sz w:val="28"/>
              </w:rPr>
              <w:t xml:space="preserve">   </w:t>
            </w:r>
            <w:r>
              <w:rPr>
                <w:rFonts w:ascii="Times New Roman" w:hAnsi="Times New Roman"/>
                <w:color w:val="auto"/>
                <w:kern w:val="0"/>
              </w:rPr>
              <w:t>具体保护目标见附图2。</w:t>
            </w:r>
          </w:p>
          <w:p>
            <w:pPr>
              <w:pStyle w:val="2"/>
              <w:adjustRightInd w:val="0"/>
              <w:snapToGrid w:val="0"/>
              <w:rPr>
                <w:rFonts w:ascii="Times New Roman" w:hAnsi="Times New Roman" w:cs="Times New Roman"/>
                <w:color w:val="auto"/>
                <w:kern w:val="0"/>
              </w:rPr>
            </w:pPr>
          </w:p>
          <w:p>
            <w:pPr>
              <w:adjustRightInd w:val="0"/>
              <w:snapToGrid w:val="0"/>
              <w:rPr>
                <w:rFonts w:ascii="Times New Roman" w:hAnsi="Times New Roman"/>
                <w:color w:val="auto"/>
                <w:kern w:val="0"/>
              </w:rPr>
            </w:pPr>
          </w:p>
          <w:p>
            <w:pPr>
              <w:pStyle w:val="2"/>
              <w:adjustRightInd w:val="0"/>
              <w:snapToGrid w:val="0"/>
              <w:rPr>
                <w:rFonts w:ascii="Times New Roman" w:hAnsi="Times New Roman" w:cs="Times New Roman"/>
                <w:color w:val="auto"/>
                <w:kern w:val="0"/>
              </w:rPr>
            </w:pPr>
          </w:p>
          <w:p>
            <w:pPr>
              <w:adjustRightInd w:val="0"/>
              <w:snapToGrid w:val="0"/>
              <w:rPr>
                <w:rFonts w:ascii="Times New Roman" w:hAnsi="Times New Roman"/>
                <w:color w:val="auto"/>
                <w:kern w:val="0"/>
              </w:rPr>
            </w:pPr>
          </w:p>
          <w:p>
            <w:pPr>
              <w:adjustRightInd w:val="0"/>
              <w:snapToGrid w:val="0"/>
              <w:rPr>
                <w:rFonts w:ascii="Times New Roman" w:hAnsi="Times New Roman"/>
                <w:color w:val="auto"/>
                <w:kern w:val="0"/>
              </w:rPr>
            </w:pPr>
          </w:p>
          <w:p>
            <w:pPr>
              <w:pStyle w:val="16"/>
              <w:adjustRightInd w:val="0"/>
              <w:snapToGrid w:val="0"/>
              <w:rPr>
                <w:rFonts w:ascii="Times New Roman" w:hAnsi="Times New Roman"/>
                <w:color w:val="auto"/>
                <w:kern w:val="0"/>
              </w:rPr>
            </w:pPr>
          </w:p>
          <w:p>
            <w:pPr>
              <w:rPr>
                <w:rFonts w:ascii="Times New Roman" w:hAnsi="Times New Roman"/>
                <w:color w:val="auto"/>
                <w:kern w:val="0"/>
              </w:rPr>
            </w:pPr>
          </w:p>
          <w:p>
            <w:pPr>
              <w:pStyle w:val="2"/>
              <w:rPr>
                <w:rFonts w:ascii="Times New Roman" w:hAnsi="Times New Roman"/>
                <w:color w:val="auto"/>
                <w:kern w:val="0"/>
              </w:rPr>
            </w:pPr>
          </w:p>
          <w:p>
            <w:pPr>
              <w:rPr>
                <w:rFonts w:ascii="Times New Roman" w:hAnsi="Times New Roman"/>
                <w:color w:val="auto"/>
                <w:kern w:val="0"/>
              </w:rPr>
            </w:pPr>
          </w:p>
          <w:p>
            <w:pPr>
              <w:pStyle w:val="2"/>
              <w:rPr>
                <w:rFonts w:ascii="Times New Roman" w:hAnsi="Times New Roman"/>
                <w:color w:val="auto"/>
                <w:kern w:val="0"/>
              </w:rPr>
            </w:pPr>
          </w:p>
          <w:p>
            <w:pPr>
              <w:rPr>
                <w:rFonts w:ascii="Times New Roman" w:hAnsi="Times New Roman"/>
                <w:color w:val="auto"/>
                <w:kern w:val="0"/>
              </w:rPr>
            </w:pPr>
          </w:p>
          <w:p>
            <w:pPr>
              <w:pStyle w:val="2"/>
              <w:rPr>
                <w:rFonts w:ascii="Times New Roman" w:hAnsi="Times New Roman"/>
                <w:color w:val="auto"/>
                <w:kern w:val="0"/>
              </w:rPr>
            </w:pPr>
          </w:p>
          <w:p>
            <w:pPr>
              <w:rPr>
                <w:rFonts w:ascii="Times New Roman" w:hAnsi="Times New Roman"/>
                <w:color w:val="auto"/>
                <w:kern w:val="0"/>
              </w:rPr>
            </w:pPr>
          </w:p>
          <w:p>
            <w:pPr>
              <w:pStyle w:val="2"/>
              <w:rPr>
                <w:rFonts w:ascii="Times New Roman" w:hAnsi="Times New Roman"/>
                <w:color w:val="auto"/>
                <w:kern w:val="0"/>
              </w:rPr>
            </w:pPr>
          </w:p>
          <w:p>
            <w:pPr>
              <w:rPr>
                <w:rFonts w:ascii="Times New Roman" w:hAnsi="Times New Roman"/>
                <w:color w:val="auto"/>
                <w:kern w:val="0"/>
              </w:rPr>
            </w:pPr>
          </w:p>
          <w:p>
            <w:pPr>
              <w:pStyle w:val="2"/>
              <w:rPr>
                <w:rFonts w:ascii="Times New Roman" w:hAnsi="Times New Roman"/>
                <w:color w:val="auto"/>
                <w:kern w:val="0"/>
              </w:rPr>
            </w:pPr>
          </w:p>
          <w:p>
            <w:pPr>
              <w:rPr>
                <w:rFonts w:ascii="Times New Roman" w:hAnsi="Times New Roman"/>
                <w:color w:val="auto"/>
                <w:kern w:val="0"/>
              </w:rPr>
            </w:pPr>
          </w:p>
          <w:p>
            <w:pPr>
              <w:pStyle w:val="2"/>
              <w:rPr>
                <w:rFonts w:ascii="Times New Roman" w:hAnsi="Times New Roman"/>
                <w:color w:val="auto"/>
                <w:kern w:val="0"/>
              </w:rPr>
            </w:pPr>
          </w:p>
          <w:p>
            <w:pPr>
              <w:rPr>
                <w:rFonts w:ascii="Times New Roman" w:hAnsi="Times New Roman"/>
                <w:color w:val="auto"/>
                <w:kern w:val="0"/>
              </w:rPr>
            </w:pPr>
          </w:p>
          <w:p>
            <w:pPr>
              <w:pStyle w:val="2"/>
              <w:rPr>
                <w:rFonts w:ascii="Times New Roman" w:hAnsi="Times New Roman"/>
                <w:color w:val="auto"/>
                <w:kern w:val="0"/>
              </w:rPr>
            </w:pPr>
          </w:p>
          <w:p>
            <w:pPr>
              <w:rPr>
                <w:rFonts w:ascii="Times New Roman" w:hAnsi="Times New Roman"/>
                <w:color w:val="auto"/>
                <w:kern w:val="0"/>
              </w:rPr>
            </w:pPr>
          </w:p>
          <w:p>
            <w:pPr>
              <w:pStyle w:val="2"/>
              <w:rPr>
                <w:rFonts w:ascii="Times New Roman" w:hAnsi="Times New Roman"/>
                <w:color w:val="auto"/>
                <w:kern w:val="0"/>
              </w:rPr>
            </w:pPr>
          </w:p>
          <w:p>
            <w:pPr>
              <w:rPr>
                <w:rFonts w:ascii="Times New Roman" w:hAnsi="Times New Roman"/>
                <w:color w:val="auto"/>
                <w:kern w:val="0"/>
              </w:rPr>
            </w:pPr>
          </w:p>
          <w:p>
            <w:pPr>
              <w:pStyle w:val="2"/>
              <w:rPr>
                <w:rFonts w:ascii="Times New Roman" w:hAnsi="Times New Roman"/>
                <w:color w:val="auto"/>
                <w:kern w:val="0"/>
              </w:rPr>
            </w:pPr>
          </w:p>
          <w:p>
            <w:pPr>
              <w:rPr>
                <w:rFonts w:ascii="Times New Roman" w:hAnsi="Times New Roman"/>
                <w:color w:val="auto"/>
                <w:kern w:val="0"/>
              </w:rPr>
            </w:pPr>
          </w:p>
          <w:p>
            <w:pPr>
              <w:pStyle w:val="2"/>
              <w:rPr>
                <w:rFonts w:ascii="Times New Roman" w:hAnsi="Times New Roman"/>
                <w:color w:val="auto"/>
                <w:kern w:val="0"/>
              </w:rPr>
            </w:pPr>
          </w:p>
          <w:p>
            <w:pPr>
              <w:rPr>
                <w:rFonts w:ascii="Times New Roman" w:hAnsi="Times New Roman"/>
                <w:color w:val="auto"/>
                <w:kern w:val="0"/>
              </w:rPr>
            </w:pPr>
          </w:p>
          <w:p>
            <w:pPr>
              <w:pStyle w:val="2"/>
              <w:rPr>
                <w:rFonts w:ascii="Times New Roman" w:hAnsi="Times New Roman"/>
                <w:color w:val="auto"/>
                <w:kern w:val="0"/>
              </w:rPr>
            </w:pPr>
          </w:p>
          <w:p>
            <w:pPr>
              <w:rPr>
                <w:rFonts w:ascii="Times New Roman" w:hAnsi="Times New Roman"/>
                <w:color w:val="auto"/>
                <w:kern w:val="0"/>
              </w:rPr>
            </w:pPr>
          </w:p>
          <w:p>
            <w:pPr>
              <w:pStyle w:val="2"/>
              <w:rPr>
                <w:rFonts w:ascii="Times New Roman" w:hAnsi="Times New Roman"/>
                <w:color w:val="auto"/>
                <w:kern w:val="0"/>
              </w:rPr>
            </w:pPr>
          </w:p>
          <w:p/>
          <w:p>
            <w:pPr>
              <w:adjustRightInd w:val="0"/>
              <w:snapToGrid w:val="0"/>
              <w:rPr>
                <w:rFonts w:ascii="Times New Roman" w:hAnsi="Times New Roman"/>
                <w:color w:val="auto"/>
              </w:rPr>
            </w:pPr>
          </w:p>
          <w:p>
            <w:pPr>
              <w:pStyle w:val="16"/>
              <w:adjustRightInd w:val="0"/>
              <w:snapToGrid w:val="0"/>
              <w:rPr>
                <w:rFonts w:ascii="Times New Roman" w:hAnsi="Times New Roman"/>
                <w:color w:val="auto"/>
              </w:rPr>
            </w:pPr>
          </w:p>
          <w:p>
            <w:pPr>
              <w:pStyle w:val="2"/>
              <w:adjustRightInd w:val="0"/>
              <w:snapToGrid w:val="0"/>
              <w:rPr>
                <w:rFonts w:ascii="Times New Roman" w:hAnsi="Times New Roman" w:cs="Times New Roman"/>
                <w:color w:val="auto"/>
              </w:rPr>
            </w:pPr>
          </w:p>
          <w:p>
            <w:pPr>
              <w:pStyle w:val="94"/>
              <w:adjustRightInd w:val="0"/>
              <w:spacing w:line="336" w:lineRule="auto"/>
              <w:rPr>
                <w:rFonts w:ascii="Times New Roman" w:hAnsi="Times New Roman"/>
                <w:color w:val="auto"/>
              </w:rPr>
            </w:pPr>
            <w:r>
              <w:rPr>
                <w:rFonts w:ascii="Times New Roman" w:hAnsi="Times New Roman"/>
                <w:color w:val="auto"/>
              </w:rPr>
              <w:t xml:space="preserve">   </w:t>
            </w:r>
          </w:p>
        </w:tc>
      </w:tr>
      <w:bookmarkEnd w:id="16"/>
    </w:tbl>
    <w:p>
      <w:pPr>
        <w:adjustRightInd w:val="0"/>
        <w:snapToGrid w:val="0"/>
        <w:spacing w:after="120" w:line="320" w:lineRule="atLeast"/>
        <w:outlineLvl w:val="0"/>
        <w:rPr>
          <w:rFonts w:ascii="Times New Roman" w:hAnsi="Times New Roman"/>
          <w:b/>
          <w:bCs/>
          <w:color w:val="auto"/>
          <w:sz w:val="30"/>
          <w:szCs w:val="30"/>
        </w:rPr>
      </w:pPr>
      <w:bookmarkStart w:id="18" w:name="_Toc31574"/>
      <w:r>
        <w:rPr>
          <w:rFonts w:ascii="Times New Roman" w:hAnsi="Times New Roman"/>
          <w:b/>
          <w:bCs/>
          <w:color w:val="auto"/>
          <w:sz w:val="30"/>
          <w:szCs w:val="30"/>
        </w:rPr>
        <w:br w:type="page"/>
      </w:r>
    </w:p>
    <w:p>
      <w:pPr>
        <w:adjustRightInd w:val="0"/>
        <w:snapToGrid w:val="0"/>
        <w:spacing w:after="120" w:line="320" w:lineRule="atLeast"/>
        <w:outlineLvl w:val="0"/>
        <w:rPr>
          <w:rFonts w:ascii="Times New Roman" w:hAnsi="Times New Roman"/>
          <w:b/>
          <w:bCs/>
          <w:color w:val="auto"/>
          <w:sz w:val="30"/>
          <w:szCs w:val="30"/>
        </w:rPr>
      </w:pPr>
      <w:r>
        <w:rPr>
          <w:rFonts w:ascii="Times New Roman" w:hAnsi="Times New Roman"/>
          <w:b/>
          <w:bCs/>
          <w:color w:val="auto"/>
          <w:sz w:val="30"/>
          <w:szCs w:val="30"/>
        </w:rPr>
        <w:t>表四、评价适用标准</w:t>
      </w:r>
      <w:bookmarkEnd w:id="18"/>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8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after="120" w:line="320" w:lineRule="atLeast"/>
              <w:jc w:val="center"/>
              <w:outlineLvl w:val="0"/>
              <w:rPr>
                <w:rFonts w:ascii="Times New Roman" w:hAnsi="Times New Roman"/>
                <w:b/>
                <w:bCs/>
                <w:color w:val="auto"/>
              </w:rPr>
            </w:pPr>
            <w:r>
              <w:rPr>
                <w:rFonts w:ascii="Times New Roman" w:hAnsi="Times New Roman"/>
                <w:b/>
                <w:bCs/>
                <w:color w:val="auto"/>
              </w:rPr>
              <w:t>环</w:t>
            </w:r>
          </w:p>
          <w:p>
            <w:pPr>
              <w:adjustRightInd w:val="0"/>
              <w:snapToGrid w:val="0"/>
              <w:spacing w:after="120" w:line="320" w:lineRule="atLeast"/>
              <w:jc w:val="center"/>
              <w:outlineLvl w:val="0"/>
              <w:rPr>
                <w:rFonts w:ascii="Times New Roman" w:hAnsi="Times New Roman"/>
                <w:b/>
                <w:bCs/>
                <w:color w:val="auto"/>
              </w:rPr>
            </w:pPr>
            <w:r>
              <w:rPr>
                <w:rFonts w:ascii="Times New Roman" w:hAnsi="Times New Roman"/>
                <w:b/>
                <w:bCs/>
                <w:color w:val="auto"/>
              </w:rPr>
              <w:t>境</w:t>
            </w:r>
          </w:p>
          <w:p>
            <w:pPr>
              <w:adjustRightInd w:val="0"/>
              <w:snapToGrid w:val="0"/>
              <w:spacing w:after="120" w:line="320" w:lineRule="atLeast"/>
              <w:jc w:val="center"/>
              <w:outlineLvl w:val="0"/>
              <w:rPr>
                <w:rFonts w:ascii="Times New Roman" w:hAnsi="Times New Roman"/>
                <w:b/>
                <w:bCs/>
                <w:color w:val="auto"/>
              </w:rPr>
            </w:pPr>
            <w:r>
              <w:rPr>
                <w:rFonts w:ascii="Times New Roman" w:hAnsi="Times New Roman"/>
                <w:b/>
                <w:bCs/>
                <w:color w:val="auto"/>
              </w:rPr>
              <w:t>质</w:t>
            </w:r>
          </w:p>
          <w:p>
            <w:pPr>
              <w:adjustRightInd w:val="0"/>
              <w:snapToGrid w:val="0"/>
              <w:spacing w:after="120" w:line="320" w:lineRule="atLeast"/>
              <w:jc w:val="center"/>
              <w:outlineLvl w:val="0"/>
              <w:rPr>
                <w:rFonts w:ascii="Times New Roman" w:hAnsi="Times New Roman"/>
                <w:b/>
                <w:bCs/>
                <w:color w:val="auto"/>
              </w:rPr>
            </w:pPr>
            <w:r>
              <w:rPr>
                <w:rFonts w:ascii="Times New Roman" w:hAnsi="Times New Roman"/>
                <w:b/>
                <w:bCs/>
                <w:color w:val="auto"/>
              </w:rPr>
              <w:t>量</w:t>
            </w:r>
          </w:p>
          <w:p>
            <w:pPr>
              <w:adjustRightInd w:val="0"/>
              <w:snapToGrid w:val="0"/>
              <w:spacing w:after="120" w:line="320" w:lineRule="atLeast"/>
              <w:jc w:val="center"/>
              <w:outlineLvl w:val="0"/>
              <w:rPr>
                <w:rFonts w:ascii="Times New Roman" w:hAnsi="Times New Roman"/>
                <w:b/>
                <w:bCs/>
                <w:color w:val="auto"/>
              </w:rPr>
            </w:pPr>
            <w:r>
              <w:rPr>
                <w:rFonts w:ascii="Times New Roman" w:hAnsi="Times New Roman"/>
                <w:b/>
                <w:bCs/>
                <w:color w:val="auto"/>
              </w:rPr>
              <w:t>标</w:t>
            </w:r>
          </w:p>
          <w:p>
            <w:pPr>
              <w:adjustRightInd w:val="0"/>
              <w:snapToGrid w:val="0"/>
              <w:spacing w:after="120" w:line="320" w:lineRule="atLeast"/>
              <w:jc w:val="center"/>
              <w:outlineLvl w:val="0"/>
              <w:rPr>
                <w:rFonts w:ascii="Times New Roman" w:hAnsi="Times New Roman"/>
                <w:b/>
                <w:bCs/>
                <w:color w:val="auto"/>
              </w:rPr>
            </w:pPr>
            <w:r>
              <w:rPr>
                <w:rFonts w:ascii="Times New Roman" w:hAnsi="Times New Roman"/>
                <w:b/>
                <w:bCs/>
                <w:color w:val="auto"/>
              </w:rPr>
              <w:t>准</w:t>
            </w:r>
          </w:p>
        </w:tc>
        <w:tc>
          <w:tcPr>
            <w:tcW w:w="4679"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Times New Roman" w:hAnsi="Times New Roman"/>
                <w:b/>
                <w:bCs/>
                <w:color w:val="auto"/>
              </w:rPr>
            </w:pPr>
            <w:r>
              <w:rPr>
                <w:rFonts w:ascii="Times New Roman" w:hAnsi="Times New Roman"/>
                <w:b/>
                <w:bCs/>
                <w:color w:val="auto"/>
              </w:rPr>
              <w:t>1、环境空气质量</w:t>
            </w:r>
          </w:p>
          <w:p>
            <w:pPr>
              <w:adjustRightInd w:val="0"/>
              <w:snapToGrid w:val="0"/>
              <w:spacing w:line="360" w:lineRule="auto"/>
              <w:ind w:firstLine="480" w:firstLineChars="200"/>
              <w:rPr>
                <w:rFonts w:ascii="Times New Roman" w:hAnsi="Times New Roman"/>
                <w:color w:val="auto"/>
                <w:szCs w:val="22"/>
              </w:rPr>
            </w:pPr>
            <w:r>
              <w:rPr>
                <w:rFonts w:ascii="Times New Roman" w:hAnsi="Times New Roman"/>
                <w:color w:val="auto"/>
                <w:szCs w:val="22"/>
              </w:rPr>
              <w:t>项目区环境空气质量执行国家《环境空气质量标准》（GB3095-2012）中的二级标准，标准值如下表：</w:t>
            </w:r>
          </w:p>
          <w:p>
            <w:pPr>
              <w:adjustRightInd w:val="0"/>
              <w:snapToGrid w:val="0"/>
              <w:jc w:val="center"/>
              <w:rPr>
                <w:rFonts w:ascii="Times New Roman" w:hAnsi="Times New Roman"/>
                <w:b/>
                <w:color w:val="auto"/>
                <w:kern w:val="2"/>
                <w:sz w:val="21"/>
                <w:szCs w:val="21"/>
              </w:rPr>
            </w:pPr>
            <w:r>
              <w:rPr>
                <w:rFonts w:ascii="Times New Roman" w:hAnsi="Times New Roman"/>
                <w:b/>
                <w:color w:val="auto"/>
                <w:kern w:val="2"/>
                <w:sz w:val="21"/>
                <w:szCs w:val="21"/>
              </w:rPr>
              <w:t>表4-1   环境空气质量标准</w:t>
            </w:r>
          </w:p>
          <w:tbl>
            <w:tblPr>
              <w:tblStyle w:val="38"/>
              <w:tblpPr w:leftFromText="180" w:rightFromText="180" w:vertAnchor="text" w:horzAnchor="margin" w:tblpXSpec="center" w:tblpY="20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282"/>
              <w:gridCol w:w="990"/>
              <w:gridCol w:w="1097"/>
              <w:gridCol w:w="1097"/>
              <w:gridCol w:w="1005"/>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077" w:type="pct"/>
                  <w:vMerge w:val="restart"/>
                  <w:tcBorders>
                    <w:top w:val="single" w:color="auto" w:sz="4" w:space="0"/>
                    <w:left w:val="single" w:color="auto" w:sz="4" w:space="0"/>
                    <w:bottom w:val="single" w:color="auto" w:sz="4" w:space="0"/>
                    <w:right w:val="single" w:color="auto" w:sz="4" w:space="0"/>
                  </w:tcBorders>
                  <w:vAlign w:val="center"/>
                </w:tcPr>
                <w:p>
                  <w:pPr>
                    <w:pStyle w:val="89"/>
                    <w:adjustRightInd w:val="0"/>
                    <w:snapToGrid w:val="0"/>
                    <w:spacing w:line="276" w:lineRule="auto"/>
                    <w:ind w:right="210"/>
                    <w:rPr>
                      <w:rFonts w:ascii="Times New Roman" w:hAnsi="Times New Roman"/>
                      <w:b/>
                      <w:bCs/>
                      <w:color w:val="auto"/>
                      <w:sz w:val="21"/>
                      <w:szCs w:val="21"/>
                    </w:rPr>
                  </w:pPr>
                  <w:r>
                    <w:rPr>
                      <w:rFonts w:ascii="Times New Roman" w:hAnsi="Times New Roman"/>
                      <w:b/>
                      <w:bCs/>
                      <w:color w:val="auto"/>
                      <w:sz w:val="21"/>
                      <w:szCs w:val="21"/>
                    </w:rPr>
                    <w:t>执行标准</w:t>
                  </w:r>
                </w:p>
              </w:tc>
              <w:tc>
                <w:tcPr>
                  <w:tcW w:w="754" w:type="pct"/>
                  <w:vMerge w:val="restart"/>
                  <w:tcBorders>
                    <w:top w:val="single" w:color="auto" w:sz="4" w:space="0"/>
                    <w:left w:val="single" w:color="auto" w:sz="4" w:space="0"/>
                    <w:bottom w:val="single" w:color="auto" w:sz="4" w:space="0"/>
                    <w:right w:val="single" w:color="auto" w:sz="4" w:space="0"/>
                  </w:tcBorders>
                  <w:vAlign w:val="center"/>
                </w:tcPr>
                <w:p>
                  <w:pPr>
                    <w:pStyle w:val="89"/>
                    <w:adjustRightInd w:val="0"/>
                    <w:snapToGrid w:val="0"/>
                    <w:spacing w:line="276" w:lineRule="auto"/>
                    <w:rPr>
                      <w:rFonts w:ascii="Times New Roman" w:hAnsi="Times New Roman"/>
                      <w:b/>
                      <w:bCs/>
                      <w:color w:val="auto"/>
                      <w:sz w:val="21"/>
                      <w:szCs w:val="21"/>
                    </w:rPr>
                  </w:pPr>
                  <w:r>
                    <w:rPr>
                      <w:rFonts w:ascii="Times New Roman" w:hAnsi="Times New Roman"/>
                      <w:b/>
                      <w:bCs/>
                      <w:color w:val="auto"/>
                      <w:sz w:val="21"/>
                      <w:szCs w:val="21"/>
                    </w:rPr>
                    <w:t>污染物指标</w:t>
                  </w:r>
                </w:p>
              </w:tc>
              <w:tc>
                <w:tcPr>
                  <w:tcW w:w="582" w:type="pct"/>
                  <w:vMerge w:val="restart"/>
                  <w:tcBorders>
                    <w:top w:val="single" w:color="auto" w:sz="4" w:space="0"/>
                    <w:left w:val="single" w:color="auto" w:sz="4" w:space="0"/>
                    <w:bottom w:val="single" w:color="auto" w:sz="4" w:space="0"/>
                    <w:right w:val="single" w:color="auto" w:sz="4" w:space="0"/>
                  </w:tcBorders>
                  <w:vAlign w:val="center"/>
                </w:tcPr>
                <w:p>
                  <w:pPr>
                    <w:pStyle w:val="89"/>
                    <w:adjustRightInd w:val="0"/>
                    <w:snapToGrid w:val="0"/>
                    <w:spacing w:line="276" w:lineRule="auto"/>
                    <w:rPr>
                      <w:rFonts w:ascii="Times New Roman" w:hAnsi="Times New Roman"/>
                      <w:b/>
                      <w:bCs/>
                      <w:color w:val="auto"/>
                      <w:sz w:val="21"/>
                      <w:szCs w:val="21"/>
                    </w:rPr>
                  </w:pPr>
                  <w:r>
                    <w:rPr>
                      <w:rFonts w:ascii="Times New Roman" w:hAnsi="Times New Roman"/>
                      <w:b/>
                      <w:bCs/>
                      <w:color w:val="auto"/>
                      <w:sz w:val="21"/>
                      <w:szCs w:val="21"/>
                    </w:rPr>
                    <w:t>单位</w:t>
                  </w:r>
                </w:p>
              </w:tc>
              <w:tc>
                <w:tcPr>
                  <w:tcW w:w="2587" w:type="pct"/>
                  <w:gridSpan w:val="4"/>
                  <w:tcBorders>
                    <w:top w:val="single" w:color="auto" w:sz="4" w:space="0"/>
                    <w:left w:val="single" w:color="auto" w:sz="4" w:space="0"/>
                    <w:bottom w:val="single" w:color="auto" w:sz="4" w:space="0"/>
                    <w:right w:val="single" w:color="auto" w:sz="4" w:space="0"/>
                  </w:tcBorders>
                  <w:vAlign w:val="center"/>
                </w:tcPr>
                <w:p>
                  <w:pPr>
                    <w:pStyle w:val="89"/>
                    <w:adjustRightInd w:val="0"/>
                    <w:snapToGrid w:val="0"/>
                    <w:spacing w:line="276" w:lineRule="auto"/>
                    <w:rPr>
                      <w:rFonts w:ascii="Times New Roman" w:hAnsi="Times New Roman"/>
                      <w:b/>
                      <w:bCs/>
                      <w:color w:val="auto"/>
                      <w:sz w:val="21"/>
                      <w:szCs w:val="21"/>
                    </w:rPr>
                  </w:pPr>
                  <w:r>
                    <w:rPr>
                      <w:rFonts w:ascii="Times New Roman" w:hAnsi="Times New Roman"/>
                      <w:b/>
                      <w:bCs/>
                      <w:color w:val="auto"/>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077" w:type="pct"/>
                  <w:vMerge w:val="continue"/>
                  <w:tcBorders>
                    <w:top w:val="single" w:color="auto" w:sz="4" w:space="0"/>
                    <w:left w:val="single" w:color="auto" w:sz="4" w:space="0"/>
                    <w:bottom w:val="single" w:color="auto" w:sz="4" w:space="0"/>
                    <w:right w:val="single" w:color="auto" w:sz="4" w:space="0"/>
                  </w:tcBorders>
                  <w:vAlign w:val="center"/>
                </w:tcPr>
                <w:p>
                  <w:pPr>
                    <w:pStyle w:val="89"/>
                    <w:adjustRightInd w:val="0"/>
                    <w:snapToGrid w:val="0"/>
                    <w:spacing w:line="276" w:lineRule="auto"/>
                    <w:ind w:firstLine="482"/>
                    <w:rPr>
                      <w:rFonts w:ascii="Times New Roman" w:hAnsi="Times New Roman"/>
                      <w:b/>
                      <w:bCs/>
                      <w:color w:val="auto"/>
                      <w:sz w:val="21"/>
                      <w:szCs w:val="21"/>
                    </w:rPr>
                  </w:pPr>
                </w:p>
              </w:tc>
              <w:tc>
                <w:tcPr>
                  <w:tcW w:w="754" w:type="pct"/>
                  <w:vMerge w:val="continue"/>
                  <w:tcBorders>
                    <w:top w:val="single" w:color="auto" w:sz="4" w:space="0"/>
                    <w:left w:val="single" w:color="auto" w:sz="4" w:space="0"/>
                    <w:bottom w:val="single" w:color="auto" w:sz="4" w:space="0"/>
                    <w:right w:val="single" w:color="auto" w:sz="4" w:space="0"/>
                  </w:tcBorders>
                  <w:vAlign w:val="center"/>
                </w:tcPr>
                <w:p>
                  <w:pPr>
                    <w:pStyle w:val="89"/>
                    <w:adjustRightInd w:val="0"/>
                    <w:snapToGrid w:val="0"/>
                    <w:spacing w:line="276" w:lineRule="auto"/>
                    <w:ind w:firstLine="482"/>
                    <w:rPr>
                      <w:rFonts w:ascii="Times New Roman" w:hAnsi="Times New Roman"/>
                      <w:b/>
                      <w:bCs/>
                      <w:color w:val="auto"/>
                      <w:sz w:val="21"/>
                      <w:szCs w:val="21"/>
                    </w:rPr>
                  </w:pPr>
                </w:p>
              </w:tc>
              <w:tc>
                <w:tcPr>
                  <w:tcW w:w="582" w:type="pct"/>
                  <w:vMerge w:val="continue"/>
                  <w:tcBorders>
                    <w:top w:val="single" w:color="auto" w:sz="4" w:space="0"/>
                    <w:left w:val="single" w:color="auto" w:sz="4" w:space="0"/>
                    <w:bottom w:val="single" w:color="auto" w:sz="4" w:space="0"/>
                    <w:right w:val="single" w:color="auto" w:sz="4" w:space="0"/>
                  </w:tcBorders>
                  <w:vAlign w:val="center"/>
                </w:tcPr>
                <w:p>
                  <w:pPr>
                    <w:pStyle w:val="89"/>
                    <w:adjustRightInd w:val="0"/>
                    <w:snapToGrid w:val="0"/>
                    <w:spacing w:line="276" w:lineRule="auto"/>
                    <w:ind w:firstLine="482"/>
                    <w:rPr>
                      <w:rFonts w:ascii="Times New Roman" w:hAnsi="Times New Roman"/>
                      <w:b/>
                      <w:bCs/>
                      <w:color w:val="auto"/>
                      <w:sz w:val="21"/>
                      <w:szCs w:val="21"/>
                    </w:rPr>
                  </w:pPr>
                </w:p>
              </w:tc>
              <w:tc>
                <w:tcPr>
                  <w:tcW w:w="645" w:type="pct"/>
                  <w:tcBorders>
                    <w:top w:val="single" w:color="auto" w:sz="4" w:space="0"/>
                    <w:left w:val="single" w:color="auto" w:sz="4" w:space="0"/>
                    <w:bottom w:val="single" w:color="auto" w:sz="4" w:space="0"/>
                    <w:right w:val="single" w:color="auto" w:sz="4" w:space="0"/>
                  </w:tcBorders>
                  <w:vAlign w:val="center"/>
                </w:tcPr>
                <w:p>
                  <w:pPr>
                    <w:pStyle w:val="89"/>
                    <w:adjustRightInd w:val="0"/>
                    <w:snapToGrid w:val="0"/>
                    <w:spacing w:line="276" w:lineRule="auto"/>
                    <w:rPr>
                      <w:rFonts w:ascii="Times New Roman" w:hAnsi="Times New Roman"/>
                      <w:b/>
                      <w:bCs/>
                      <w:color w:val="auto"/>
                      <w:sz w:val="21"/>
                      <w:szCs w:val="21"/>
                    </w:rPr>
                  </w:pPr>
                  <w:r>
                    <w:rPr>
                      <w:rFonts w:ascii="Times New Roman" w:hAnsi="Times New Roman"/>
                      <w:b/>
                      <w:bCs/>
                      <w:color w:val="auto"/>
                      <w:sz w:val="21"/>
                      <w:szCs w:val="21"/>
                    </w:rPr>
                    <w:t>小时</w:t>
                  </w:r>
                </w:p>
              </w:tc>
              <w:tc>
                <w:tcPr>
                  <w:tcW w:w="645" w:type="pct"/>
                  <w:tcBorders>
                    <w:top w:val="single" w:color="auto" w:sz="4" w:space="0"/>
                    <w:left w:val="single" w:color="auto" w:sz="4" w:space="0"/>
                    <w:bottom w:val="single" w:color="auto" w:sz="4" w:space="0"/>
                    <w:right w:val="single" w:color="auto" w:sz="4" w:space="0"/>
                  </w:tcBorders>
                  <w:vAlign w:val="center"/>
                </w:tcPr>
                <w:p>
                  <w:pPr>
                    <w:pStyle w:val="89"/>
                    <w:adjustRightInd w:val="0"/>
                    <w:snapToGrid w:val="0"/>
                    <w:spacing w:line="276" w:lineRule="auto"/>
                    <w:rPr>
                      <w:rFonts w:ascii="Times New Roman" w:hAnsi="Times New Roman"/>
                      <w:b/>
                      <w:bCs/>
                      <w:color w:val="auto"/>
                      <w:sz w:val="21"/>
                      <w:szCs w:val="21"/>
                    </w:rPr>
                  </w:pPr>
                  <w:r>
                    <w:rPr>
                      <w:rFonts w:ascii="Times New Roman" w:hAnsi="Times New Roman"/>
                      <w:b/>
                      <w:bCs/>
                      <w:color w:val="auto"/>
                      <w:sz w:val="21"/>
                      <w:szCs w:val="21"/>
                    </w:rPr>
                    <w:t>日均</w:t>
                  </w:r>
                </w:p>
              </w:tc>
              <w:tc>
                <w:tcPr>
                  <w:tcW w:w="591" w:type="pct"/>
                  <w:tcBorders>
                    <w:top w:val="single" w:color="auto" w:sz="4" w:space="0"/>
                    <w:left w:val="single" w:color="auto" w:sz="4" w:space="0"/>
                    <w:bottom w:val="single" w:color="auto" w:sz="4" w:space="0"/>
                    <w:right w:val="single" w:color="auto" w:sz="4" w:space="0"/>
                  </w:tcBorders>
                  <w:vAlign w:val="center"/>
                </w:tcPr>
                <w:p>
                  <w:pPr>
                    <w:pStyle w:val="89"/>
                    <w:adjustRightInd w:val="0"/>
                    <w:snapToGrid w:val="0"/>
                    <w:spacing w:line="276" w:lineRule="auto"/>
                    <w:rPr>
                      <w:rFonts w:ascii="Times New Roman" w:hAnsi="Times New Roman"/>
                      <w:b/>
                      <w:bCs/>
                      <w:color w:val="auto"/>
                      <w:sz w:val="21"/>
                      <w:szCs w:val="21"/>
                    </w:rPr>
                  </w:pPr>
                  <w:r>
                    <w:rPr>
                      <w:rFonts w:ascii="Times New Roman" w:hAnsi="Times New Roman"/>
                      <w:b/>
                      <w:bCs/>
                      <w:color w:val="auto"/>
                      <w:sz w:val="21"/>
                      <w:szCs w:val="21"/>
                    </w:rPr>
                    <w:t>年均</w:t>
                  </w:r>
                </w:p>
              </w:tc>
              <w:tc>
                <w:tcPr>
                  <w:tcW w:w="707" w:type="pct"/>
                  <w:tcBorders>
                    <w:top w:val="single" w:color="auto" w:sz="4" w:space="0"/>
                    <w:left w:val="single" w:color="auto" w:sz="4" w:space="0"/>
                    <w:bottom w:val="single" w:color="auto" w:sz="4" w:space="0"/>
                    <w:right w:val="single" w:color="auto" w:sz="4" w:space="0"/>
                  </w:tcBorders>
                  <w:vAlign w:val="center"/>
                </w:tcPr>
                <w:p>
                  <w:pPr>
                    <w:pStyle w:val="89"/>
                    <w:adjustRightInd w:val="0"/>
                    <w:snapToGrid w:val="0"/>
                    <w:spacing w:line="276" w:lineRule="auto"/>
                    <w:rPr>
                      <w:rFonts w:ascii="Times New Roman" w:hAnsi="Times New Roman"/>
                      <w:b/>
                      <w:bCs/>
                      <w:color w:val="auto"/>
                      <w:sz w:val="21"/>
                      <w:szCs w:val="21"/>
                    </w:rPr>
                  </w:pPr>
                  <w:r>
                    <w:rPr>
                      <w:rFonts w:ascii="Times New Roman" w:hAnsi="Times New Roman"/>
                      <w:b/>
                      <w:bCs/>
                      <w:color w:val="auto"/>
                      <w:sz w:val="21"/>
                      <w:szCs w:val="21"/>
                    </w:rPr>
                    <w:t>日最大8h平均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077" w:type="pct"/>
                  <w:vMerge w:val="restart"/>
                  <w:tcBorders>
                    <w:top w:val="single" w:color="auto" w:sz="4" w:space="0"/>
                    <w:left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《环境空气质量标准》（GB3095-2012）</w:t>
                  </w:r>
                  <w:r>
                    <w:rPr>
                      <w:rFonts w:hint="eastAsia" w:ascii="Times New Roman" w:hAnsi="Times New Roman"/>
                      <w:color w:val="auto"/>
                      <w:sz w:val="21"/>
                      <w:szCs w:val="21"/>
                    </w:rPr>
                    <w:t>二级标准</w:t>
                  </w:r>
                </w:p>
              </w:tc>
              <w:tc>
                <w:tcPr>
                  <w:tcW w:w="7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SO</w:t>
                  </w:r>
                  <w:r>
                    <w:rPr>
                      <w:rFonts w:ascii="Times New Roman" w:hAnsi="Times New Roman"/>
                      <w:color w:val="auto"/>
                      <w:sz w:val="21"/>
                      <w:szCs w:val="21"/>
                      <w:vertAlign w:val="subscript"/>
                    </w:rPr>
                    <w:t>2</w:t>
                  </w:r>
                </w:p>
              </w:tc>
              <w:tc>
                <w:tcPr>
                  <w:tcW w:w="58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hint="default" w:ascii="Times New Roman" w:hAnsi="Times New Roman" w:cs="Times New Roman"/>
                      <w:color w:val="auto"/>
                      <w:sz w:val="21"/>
                      <w:szCs w:val="21"/>
                      <w:lang w:eastAsia="zh-CN"/>
                    </w:rPr>
                    <w:t>μ</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p>
              </w:tc>
              <w:tc>
                <w:tcPr>
                  <w:tcW w:w="64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500</w:t>
                  </w:r>
                </w:p>
              </w:tc>
              <w:tc>
                <w:tcPr>
                  <w:tcW w:w="64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150</w:t>
                  </w:r>
                </w:p>
              </w:tc>
              <w:tc>
                <w:tcPr>
                  <w:tcW w:w="59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60</w:t>
                  </w:r>
                </w:p>
              </w:tc>
              <w:tc>
                <w:tcPr>
                  <w:tcW w:w="70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077" w:type="pct"/>
                  <w:vMerge w:val="continue"/>
                  <w:tcBorders>
                    <w:left w:val="single" w:color="auto" w:sz="4" w:space="0"/>
                    <w:right w:val="single" w:color="auto" w:sz="4" w:space="0"/>
                  </w:tcBorders>
                  <w:vAlign w:val="center"/>
                </w:tcPr>
                <w:p>
                  <w:pPr>
                    <w:pStyle w:val="89"/>
                    <w:adjustRightInd w:val="0"/>
                    <w:snapToGrid w:val="0"/>
                    <w:spacing w:line="276" w:lineRule="auto"/>
                    <w:ind w:firstLine="482"/>
                    <w:rPr>
                      <w:rFonts w:ascii="Times New Roman" w:hAnsi="Times New Roman"/>
                      <w:color w:val="auto"/>
                      <w:sz w:val="21"/>
                      <w:szCs w:val="21"/>
                    </w:rPr>
                  </w:pPr>
                </w:p>
              </w:tc>
              <w:tc>
                <w:tcPr>
                  <w:tcW w:w="7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NO</w:t>
                  </w:r>
                  <w:r>
                    <w:rPr>
                      <w:rFonts w:ascii="Times New Roman" w:hAnsi="Times New Roman"/>
                      <w:color w:val="auto"/>
                      <w:sz w:val="21"/>
                      <w:szCs w:val="21"/>
                      <w:vertAlign w:val="subscript"/>
                    </w:rPr>
                    <w:t>2</w:t>
                  </w:r>
                </w:p>
              </w:tc>
              <w:tc>
                <w:tcPr>
                  <w:tcW w:w="58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hint="default" w:ascii="Times New Roman" w:hAnsi="Times New Roman" w:cs="Times New Roman"/>
                      <w:color w:val="auto"/>
                      <w:sz w:val="21"/>
                      <w:szCs w:val="21"/>
                      <w:lang w:eastAsia="zh-CN"/>
                    </w:rPr>
                    <w:t>μ</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p>
              </w:tc>
              <w:tc>
                <w:tcPr>
                  <w:tcW w:w="64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250</w:t>
                  </w:r>
                </w:p>
              </w:tc>
              <w:tc>
                <w:tcPr>
                  <w:tcW w:w="64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100</w:t>
                  </w:r>
                </w:p>
              </w:tc>
              <w:tc>
                <w:tcPr>
                  <w:tcW w:w="59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50</w:t>
                  </w:r>
                </w:p>
              </w:tc>
              <w:tc>
                <w:tcPr>
                  <w:tcW w:w="70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077" w:type="pct"/>
                  <w:vMerge w:val="continue"/>
                  <w:tcBorders>
                    <w:left w:val="single" w:color="auto" w:sz="4" w:space="0"/>
                    <w:right w:val="single" w:color="auto" w:sz="4" w:space="0"/>
                  </w:tcBorders>
                  <w:vAlign w:val="center"/>
                </w:tcPr>
                <w:p>
                  <w:pPr>
                    <w:pStyle w:val="89"/>
                    <w:adjustRightInd w:val="0"/>
                    <w:snapToGrid w:val="0"/>
                    <w:spacing w:line="276" w:lineRule="auto"/>
                    <w:ind w:firstLine="482"/>
                    <w:rPr>
                      <w:rFonts w:ascii="Times New Roman" w:hAnsi="Times New Roman"/>
                      <w:color w:val="auto"/>
                      <w:sz w:val="21"/>
                      <w:szCs w:val="21"/>
                    </w:rPr>
                  </w:pPr>
                </w:p>
              </w:tc>
              <w:tc>
                <w:tcPr>
                  <w:tcW w:w="7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vertAlign w:val="subscript"/>
                    </w:rPr>
                  </w:pPr>
                  <w:r>
                    <w:rPr>
                      <w:rFonts w:ascii="Times New Roman" w:hAnsi="Times New Roman"/>
                      <w:color w:val="auto"/>
                      <w:sz w:val="21"/>
                      <w:szCs w:val="21"/>
                    </w:rPr>
                    <w:t>PM</w:t>
                  </w:r>
                  <w:r>
                    <w:rPr>
                      <w:rFonts w:ascii="Times New Roman" w:hAnsi="Times New Roman"/>
                      <w:color w:val="auto"/>
                      <w:sz w:val="21"/>
                      <w:szCs w:val="21"/>
                      <w:vertAlign w:val="subscript"/>
                    </w:rPr>
                    <w:t>10</w:t>
                  </w:r>
                </w:p>
              </w:tc>
              <w:tc>
                <w:tcPr>
                  <w:tcW w:w="58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hint="default" w:ascii="Times New Roman" w:hAnsi="Times New Roman" w:cs="Times New Roman"/>
                      <w:color w:val="auto"/>
                      <w:sz w:val="21"/>
                      <w:szCs w:val="21"/>
                      <w:lang w:eastAsia="zh-CN"/>
                    </w:rPr>
                    <w:t>μ</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p>
              </w:tc>
              <w:tc>
                <w:tcPr>
                  <w:tcW w:w="64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c>
                <w:tcPr>
                  <w:tcW w:w="64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150</w:t>
                  </w:r>
                </w:p>
              </w:tc>
              <w:tc>
                <w:tcPr>
                  <w:tcW w:w="59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70</w:t>
                  </w:r>
                </w:p>
              </w:tc>
              <w:tc>
                <w:tcPr>
                  <w:tcW w:w="70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077" w:type="pct"/>
                  <w:vMerge w:val="continue"/>
                  <w:tcBorders>
                    <w:left w:val="single" w:color="auto" w:sz="4" w:space="0"/>
                    <w:right w:val="single" w:color="auto" w:sz="4" w:space="0"/>
                  </w:tcBorders>
                  <w:vAlign w:val="center"/>
                </w:tcPr>
                <w:p>
                  <w:pPr>
                    <w:pStyle w:val="89"/>
                    <w:adjustRightInd w:val="0"/>
                    <w:snapToGrid w:val="0"/>
                    <w:spacing w:line="276" w:lineRule="auto"/>
                    <w:ind w:firstLine="482"/>
                    <w:rPr>
                      <w:rFonts w:ascii="Times New Roman" w:hAnsi="Times New Roman"/>
                      <w:color w:val="auto"/>
                      <w:sz w:val="21"/>
                      <w:szCs w:val="21"/>
                    </w:rPr>
                  </w:pPr>
                </w:p>
              </w:tc>
              <w:tc>
                <w:tcPr>
                  <w:tcW w:w="7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PM</w:t>
                  </w:r>
                  <w:r>
                    <w:rPr>
                      <w:rFonts w:ascii="Times New Roman" w:hAnsi="Times New Roman"/>
                      <w:color w:val="auto"/>
                      <w:sz w:val="21"/>
                      <w:szCs w:val="21"/>
                      <w:vertAlign w:val="subscript"/>
                    </w:rPr>
                    <w:t>2.5</w:t>
                  </w:r>
                </w:p>
              </w:tc>
              <w:tc>
                <w:tcPr>
                  <w:tcW w:w="58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hint="default" w:ascii="Times New Roman" w:hAnsi="Times New Roman" w:cs="Times New Roman"/>
                      <w:color w:val="auto"/>
                      <w:sz w:val="21"/>
                      <w:szCs w:val="21"/>
                      <w:lang w:eastAsia="zh-CN"/>
                    </w:rPr>
                    <w:t>μ</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p>
              </w:tc>
              <w:tc>
                <w:tcPr>
                  <w:tcW w:w="64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c>
                <w:tcPr>
                  <w:tcW w:w="64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c>
                <w:tcPr>
                  <w:tcW w:w="59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75</w:t>
                  </w:r>
                </w:p>
              </w:tc>
              <w:tc>
                <w:tcPr>
                  <w:tcW w:w="70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077" w:type="pct"/>
                  <w:vMerge w:val="continue"/>
                  <w:tcBorders>
                    <w:left w:val="single" w:color="auto" w:sz="4" w:space="0"/>
                    <w:right w:val="single" w:color="auto" w:sz="4" w:space="0"/>
                  </w:tcBorders>
                  <w:vAlign w:val="center"/>
                </w:tcPr>
                <w:p>
                  <w:pPr>
                    <w:pStyle w:val="89"/>
                    <w:adjustRightInd w:val="0"/>
                    <w:snapToGrid w:val="0"/>
                    <w:spacing w:line="276" w:lineRule="auto"/>
                    <w:ind w:firstLine="482"/>
                    <w:rPr>
                      <w:rFonts w:ascii="Times New Roman" w:hAnsi="Times New Roman"/>
                      <w:color w:val="auto"/>
                      <w:sz w:val="21"/>
                      <w:szCs w:val="21"/>
                    </w:rPr>
                  </w:pPr>
                </w:p>
              </w:tc>
              <w:tc>
                <w:tcPr>
                  <w:tcW w:w="7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臭氧</w:t>
                  </w:r>
                </w:p>
              </w:tc>
              <w:tc>
                <w:tcPr>
                  <w:tcW w:w="58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hint="default" w:ascii="Times New Roman" w:hAnsi="Times New Roman" w:cs="Times New Roman"/>
                      <w:color w:val="auto"/>
                      <w:sz w:val="21"/>
                      <w:szCs w:val="21"/>
                      <w:lang w:eastAsia="zh-CN"/>
                    </w:rPr>
                    <w:t>μ</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p>
              </w:tc>
              <w:tc>
                <w:tcPr>
                  <w:tcW w:w="64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200</w:t>
                  </w:r>
                </w:p>
              </w:tc>
              <w:tc>
                <w:tcPr>
                  <w:tcW w:w="64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c>
                <w:tcPr>
                  <w:tcW w:w="59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c>
                <w:tcPr>
                  <w:tcW w:w="70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077" w:type="pct"/>
                  <w:vMerge w:val="continue"/>
                  <w:tcBorders>
                    <w:left w:val="single" w:color="auto" w:sz="4" w:space="0"/>
                    <w:right w:val="single" w:color="auto" w:sz="4" w:space="0"/>
                  </w:tcBorders>
                  <w:vAlign w:val="center"/>
                </w:tcPr>
                <w:p>
                  <w:pPr>
                    <w:pStyle w:val="89"/>
                    <w:adjustRightInd w:val="0"/>
                    <w:snapToGrid w:val="0"/>
                    <w:spacing w:line="276" w:lineRule="auto"/>
                    <w:ind w:firstLine="482"/>
                    <w:rPr>
                      <w:rFonts w:ascii="Times New Roman" w:hAnsi="Times New Roman"/>
                      <w:color w:val="auto"/>
                      <w:sz w:val="21"/>
                      <w:szCs w:val="21"/>
                    </w:rPr>
                  </w:pPr>
                </w:p>
              </w:tc>
              <w:tc>
                <w:tcPr>
                  <w:tcW w:w="7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一氧化碳</w:t>
                  </w:r>
                </w:p>
              </w:tc>
              <w:tc>
                <w:tcPr>
                  <w:tcW w:w="58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hint="default" w:ascii="Times New Roman" w:hAnsi="Times New Roman" w:cs="Times New Roman"/>
                      <w:color w:val="auto"/>
                      <w:sz w:val="21"/>
                      <w:szCs w:val="21"/>
                      <w:lang w:eastAsia="zh-CN"/>
                    </w:rPr>
                    <w:t>μ</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p>
              </w:tc>
              <w:tc>
                <w:tcPr>
                  <w:tcW w:w="64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10</w:t>
                  </w:r>
                </w:p>
              </w:tc>
              <w:tc>
                <w:tcPr>
                  <w:tcW w:w="64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4</w:t>
                  </w:r>
                </w:p>
              </w:tc>
              <w:tc>
                <w:tcPr>
                  <w:tcW w:w="59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c>
                <w:tcPr>
                  <w:tcW w:w="70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077" w:type="pct"/>
                  <w:vMerge w:val="continue"/>
                  <w:tcBorders>
                    <w:left w:val="single" w:color="auto" w:sz="4" w:space="0"/>
                    <w:bottom w:val="single" w:color="auto" w:sz="4" w:space="0"/>
                    <w:right w:val="single" w:color="auto" w:sz="4" w:space="0"/>
                  </w:tcBorders>
                  <w:vAlign w:val="center"/>
                </w:tcPr>
                <w:p>
                  <w:pPr>
                    <w:pStyle w:val="89"/>
                    <w:adjustRightInd w:val="0"/>
                    <w:snapToGrid w:val="0"/>
                    <w:spacing w:line="276" w:lineRule="auto"/>
                    <w:ind w:firstLine="482"/>
                    <w:rPr>
                      <w:rFonts w:ascii="Times New Roman" w:hAnsi="Times New Roman"/>
                      <w:color w:val="auto"/>
                      <w:sz w:val="21"/>
                      <w:szCs w:val="21"/>
                    </w:rPr>
                  </w:pPr>
                </w:p>
              </w:tc>
              <w:tc>
                <w:tcPr>
                  <w:tcW w:w="7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TSP</w:t>
                  </w:r>
                </w:p>
              </w:tc>
              <w:tc>
                <w:tcPr>
                  <w:tcW w:w="58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hint="default" w:ascii="Times New Roman" w:hAnsi="Times New Roman" w:cs="Times New Roman"/>
                      <w:color w:val="auto"/>
                      <w:sz w:val="21"/>
                      <w:szCs w:val="21"/>
                      <w:lang w:eastAsia="zh-CN"/>
                    </w:rPr>
                    <w:t>μ</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p>
              </w:tc>
              <w:tc>
                <w:tcPr>
                  <w:tcW w:w="64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c>
                <w:tcPr>
                  <w:tcW w:w="64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300</w:t>
                  </w:r>
                </w:p>
              </w:tc>
              <w:tc>
                <w:tcPr>
                  <w:tcW w:w="59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200</w:t>
                  </w:r>
                </w:p>
              </w:tc>
              <w:tc>
                <w:tcPr>
                  <w:tcW w:w="70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w:t>
                  </w:r>
                </w:p>
              </w:tc>
            </w:tr>
          </w:tbl>
          <w:p>
            <w:pPr>
              <w:adjustRightInd w:val="0"/>
              <w:snapToGrid w:val="0"/>
              <w:spacing w:line="360" w:lineRule="auto"/>
              <w:rPr>
                <w:rFonts w:ascii="Times New Roman" w:hAnsi="Times New Roman"/>
                <w:b/>
                <w:bCs/>
                <w:color w:val="auto"/>
              </w:rPr>
            </w:pPr>
            <w:r>
              <w:rPr>
                <w:rFonts w:ascii="Times New Roman" w:hAnsi="Times New Roman"/>
                <w:b/>
                <w:bCs/>
                <w:color w:val="auto"/>
              </w:rPr>
              <w:t>2、地表水环境</w:t>
            </w:r>
          </w:p>
          <w:p>
            <w:pPr>
              <w:adjustRightInd w:val="0"/>
              <w:snapToGrid w:val="0"/>
              <w:spacing w:line="360" w:lineRule="auto"/>
              <w:ind w:firstLine="480" w:firstLineChars="200"/>
              <w:rPr>
                <w:rFonts w:ascii="Times New Roman" w:hAnsi="Times New Roman"/>
                <w:color w:val="auto"/>
                <w:szCs w:val="22"/>
              </w:rPr>
            </w:pPr>
            <w:r>
              <w:rPr>
                <w:rFonts w:ascii="Times New Roman" w:hAnsi="Times New Roman"/>
                <w:color w:val="auto"/>
                <w:szCs w:val="22"/>
              </w:rPr>
              <w:t>项目区附近地地表水体主要是南盘江支流南盘江老河道，水质执行GB3838-2002《地表水环境质量标准》</w:t>
            </w:r>
            <w:r>
              <w:rPr>
                <w:rFonts w:hint="eastAsia" w:ascii="宋体" w:hAnsi="宋体" w:cs="宋体"/>
                <w:color w:val="auto"/>
              </w:rPr>
              <w:t>Ⅳ</w:t>
            </w:r>
            <w:r>
              <w:rPr>
                <w:rFonts w:ascii="Times New Roman" w:hAnsi="Times New Roman"/>
                <w:color w:val="auto"/>
              </w:rPr>
              <w:t>类</w:t>
            </w:r>
            <w:r>
              <w:rPr>
                <w:rFonts w:ascii="Times New Roman" w:hAnsi="Times New Roman"/>
                <w:color w:val="auto"/>
                <w:szCs w:val="22"/>
              </w:rPr>
              <w:t>水质标准，标准值如表4-2。</w:t>
            </w:r>
          </w:p>
          <w:p>
            <w:pPr>
              <w:adjustRightInd w:val="0"/>
              <w:snapToGrid w:val="0"/>
              <w:jc w:val="center"/>
              <w:rPr>
                <w:rFonts w:ascii="Times New Roman" w:hAnsi="Times New Roman"/>
                <w:b/>
                <w:color w:val="auto"/>
                <w:kern w:val="2"/>
                <w:sz w:val="21"/>
                <w:szCs w:val="21"/>
              </w:rPr>
            </w:pPr>
            <w:r>
              <w:rPr>
                <w:rFonts w:ascii="Times New Roman" w:hAnsi="Times New Roman"/>
                <w:b/>
                <w:color w:val="auto"/>
                <w:kern w:val="2"/>
                <w:sz w:val="21"/>
                <w:szCs w:val="21"/>
              </w:rPr>
              <w:t>表4-2   地表水环境质量标准</w:t>
            </w:r>
            <w:r>
              <w:rPr>
                <w:rFonts w:hint="eastAsia" w:ascii="Times New Roman" w:hAnsi="Times New Roman"/>
                <w:b/>
                <w:color w:val="auto"/>
                <w:kern w:val="2"/>
                <w:sz w:val="21"/>
                <w:szCs w:val="21"/>
              </w:rPr>
              <w:t>（单位：</w:t>
            </w:r>
            <w:r>
              <w:rPr>
                <w:rFonts w:ascii="Times New Roman" w:hAnsi="Times New Roman"/>
                <w:b/>
                <w:color w:val="auto"/>
                <w:kern w:val="2"/>
                <w:sz w:val="21"/>
                <w:szCs w:val="21"/>
              </w:rPr>
              <w:t>mg/L</w:t>
            </w:r>
            <w:r>
              <w:rPr>
                <w:rFonts w:hint="eastAsia" w:ascii="Times New Roman" w:hAnsi="Times New Roman"/>
                <w:b/>
                <w:color w:val="auto"/>
                <w:kern w:val="2"/>
                <w:sz w:val="21"/>
                <w:szCs w:val="21"/>
              </w:rPr>
              <w:t>）</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1776"/>
              <w:gridCol w:w="667"/>
              <w:gridCol w:w="742"/>
              <w:gridCol w:w="610"/>
              <w:gridCol w:w="1546"/>
              <w:gridCol w:w="880"/>
              <w:gridCol w:w="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b/>
                      <w:bCs/>
                      <w:color w:val="auto"/>
                      <w:sz w:val="21"/>
                      <w:szCs w:val="21"/>
                    </w:rPr>
                  </w:pPr>
                  <w:r>
                    <w:rPr>
                      <w:rFonts w:hint="eastAsia" w:ascii="Times New Roman" w:hAnsi="Times New Roman"/>
                      <w:b/>
                      <w:bCs/>
                      <w:color w:val="auto"/>
                      <w:sz w:val="21"/>
                      <w:szCs w:val="21"/>
                    </w:rPr>
                    <w:t>项目</w:t>
                  </w:r>
                </w:p>
              </w:tc>
              <w:tc>
                <w:tcPr>
                  <w:tcW w:w="1043"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pH（无量纲）</w:t>
                  </w:r>
                </w:p>
              </w:tc>
              <w:tc>
                <w:tcPr>
                  <w:tcW w:w="39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b/>
                      <w:bCs/>
                      <w:color w:val="auto"/>
                      <w:sz w:val="21"/>
                      <w:szCs w:val="21"/>
                    </w:rPr>
                  </w:pPr>
                  <w:bookmarkStart w:id="19" w:name="_Toc260142420"/>
                  <w:bookmarkStart w:id="20" w:name="_Toc258243654"/>
                  <w:r>
                    <w:rPr>
                      <w:rFonts w:ascii="Times New Roman" w:hAnsi="Times New Roman"/>
                      <w:b/>
                      <w:bCs/>
                      <w:color w:val="auto"/>
                      <w:sz w:val="21"/>
                      <w:szCs w:val="21"/>
                    </w:rPr>
                    <w:t>COD</w:t>
                  </w:r>
                  <w:bookmarkEnd w:id="19"/>
                  <w:bookmarkEnd w:id="20"/>
                </w:p>
              </w:tc>
              <w:tc>
                <w:tcPr>
                  <w:tcW w:w="43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b/>
                      <w:bCs/>
                      <w:color w:val="auto"/>
                      <w:sz w:val="21"/>
                      <w:szCs w:val="21"/>
                    </w:rPr>
                  </w:pPr>
                  <w:bookmarkStart w:id="21" w:name="_Toc258243656"/>
                  <w:bookmarkStart w:id="22" w:name="_Toc260142422"/>
                  <w:r>
                    <w:rPr>
                      <w:rFonts w:ascii="Times New Roman" w:hAnsi="Times New Roman"/>
                      <w:b/>
                      <w:bCs/>
                      <w:color w:val="auto"/>
                      <w:sz w:val="21"/>
                      <w:szCs w:val="21"/>
                    </w:rPr>
                    <w:t>BOD</w:t>
                  </w:r>
                  <w:r>
                    <w:rPr>
                      <w:rFonts w:ascii="Times New Roman" w:hAnsi="Times New Roman"/>
                      <w:b/>
                      <w:bCs/>
                      <w:color w:val="auto"/>
                      <w:sz w:val="21"/>
                      <w:szCs w:val="21"/>
                      <w:vertAlign w:val="subscript"/>
                    </w:rPr>
                    <w:t>5</w:t>
                  </w:r>
                  <w:bookmarkEnd w:id="21"/>
                  <w:bookmarkEnd w:id="22"/>
                </w:p>
              </w:tc>
              <w:tc>
                <w:tcPr>
                  <w:tcW w:w="35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b/>
                      <w:bCs/>
                      <w:color w:val="auto"/>
                      <w:sz w:val="21"/>
                      <w:szCs w:val="21"/>
                    </w:rPr>
                  </w:pPr>
                  <w:bookmarkStart w:id="23" w:name="_Toc260142424"/>
                  <w:bookmarkStart w:id="24" w:name="_Toc258243658"/>
                  <w:r>
                    <w:rPr>
                      <w:rFonts w:ascii="Times New Roman" w:hAnsi="Times New Roman"/>
                      <w:b/>
                      <w:bCs/>
                      <w:color w:val="auto"/>
                      <w:sz w:val="21"/>
                      <w:szCs w:val="21"/>
                    </w:rPr>
                    <w:t>氨氮</w:t>
                  </w:r>
                  <w:bookmarkEnd w:id="23"/>
                  <w:bookmarkEnd w:id="24"/>
                </w:p>
              </w:tc>
              <w:tc>
                <w:tcPr>
                  <w:tcW w:w="90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b/>
                      <w:bCs/>
                      <w:color w:val="auto"/>
                      <w:sz w:val="21"/>
                      <w:szCs w:val="21"/>
                    </w:rPr>
                  </w:pPr>
                  <w:bookmarkStart w:id="25" w:name="_Toc260142426"/>
                  <w:bookmarkStart w:id="26" w:name="_Toc258243660"/>
                  <w:r>
                    <w:rPr>
                      <w:rFonts w:ascii="Times New Roman" w:hAnsi="Times New Roman"/>
                      <w:b/>
                      <w:bCs/>
                      <w:color w:val="auto"/>
                      <w:sz w:val="21"/>
                      <w:szCs w:val="21"/>
                    </w:rPr>
                    <w:t>总磷</w:t>
                  </w:r>
                  <w:bookmarkEnd w:id="25"/>
                  <w:bookmarkEnd w:id="26"/>
                </w:p>
              </w:tc>
              <w:tc>
                <w:tcPr>
                  <w:tcW w:w="51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石油类</w:t>
                  </w:r>
                </w:p>
              </w:tc>
              <w:tc>
                <w:tcPr>
                  <w:tcW w:w="35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sz w:val="21"/>
                      <w:szCs w:val="21"/>
                    </w:rPr>
                  </w:pPr>
                  <w:r>
                    <w:rPr>
                      <w:rFonts w:hint="eastAsia" w:ascii="宋体" w:hAnsi="宋体" w:cs="宋体"/>
                      <w:color w:val="auto"/>
                      <w:sz w:val="21"/>
                      <w:szCs w:val="21"/>
                    </w:rPr>
                    <w:t>Ⅳ类标准限值</w:t>
                  </w:r>
                </w:p>
              </w:tc>
              <w:tc>
                <w:tcPr>
                  <w:tcW w:w="1043"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sz w:val="21"/>
                      <w:szCs w:val="21"/>
                    </w:rPr>
                  </w:pPr>
                  <w:bookmarkStart w:id="27" w:name="_Toc260142430"/>
                  <w:bookmarkStart w:id="28" w:name="_Toc258243664"/>
                  <w:r>
                    <w:rPr>
                      <w:rFonts w:ascii="Times New Roman" w:hAnsi="Times New Roman"/>
                      <w:color w:val="auto"/>
                      <w:sz w:val="21"/>
                      <w:szCs w:val="21"/>
                    </w:rPr>
                    <w:t>6-9</w:t>
                  </w:r>
                  <w:bookmarkEnd w:id="27"/>
                  <w:bookmarkEnd w:id="28"/>
                </w:p>
              </w:tc>
              <w:tc>
                <w:tcPr>
                  <w:tcW w:w="39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sz w:val="21"/>
                      <w:szCs w:val="21"/>
                    </w:rPr>
                  </w:pPr>
                  <w:bookmarkStart w:id="29" w:name="_Toc258243665"/>
                  <w:bookmarkStart w:id="30" w:name="_Toc260142431"/>
                  <w:r>
                    <w:rPr>
                      <w:rFonts w:ascii="Times New Roman" w:hAnsi="Times New Roman"/>
                      <w:color w:val="auto"/>
                      <w:sz w:val="21"/>
                      <w:szCs w:val="21"/>
                    </w:rPr>
                    <w:t>30</w:t>
                  </w:r>
                  <w:bookmarkEnd w:id="29"/>
                  <w:bookmarkEnd w:id="30"/>
                </w:p>
              </w:tc>
              <w:tc>
                <w:tcPr>
                  <w:tcW w:w="43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6</w:t>
                  </w:r>
                </w:p>
              </w:tc>
              <w:tc>
                <w:tcPr>
                  <w:tcW w:w="35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sz w:val="21"/>
                      <w:szCs w:val="21"/>
                    </w:rPr>
                  </w:pPr>
                  <w:bookmarkStart w:id="31" w:name="_Toc260142433"/>
                  <w:bookmarkStart w:id="32" w:name="_Toc258243667"/>
                  <w:r>
                    <w:rPr>
                      <w:rFonts w:ascii="Times New Roman" w:hAnsi="Times New Roman"/>
                      <w:color w:val="auto"/>
                      <w:sz w:val="21"/>
                      <w:szCs w:val="21"/>
                    </w:rPr>
                    <w:t>1.</w:t>
                  </w:r>
                  <w:bookmarkEnd w:id="31"/>
                  <w:bookmarkEnd w:id="32"/>
                  <w:r>
                    <w:rPr>
                      <w:rFonts w:ascii="Times New Roman" w:hAnsi="Times New Roman"/>
                      <w:color w:val="auto"/>
                      <w:sz w:val="21"/>
                      <w:szCs w:val="21"/>
                    </w:rPr>
                    <w:t>5</w:t>
                  </w:r>
                </w:p>
              </w:tc>
              <w:tc>
                <w:tcPr>
                  <w:tcW w:w="90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sz w:val="21"/>
                      <w:szCs w:val="21"/>
                    </w:rPr>
                  </w:pPr>
                  <w:bookmarkStart w:id="33" w:name="_Toc260142434"/>
                  <w:bookmarkStart w:id="34" w:name="_Toc258243668"/>
                  <w:r>
                    <w:rPr>
                      <w:rFonts w:ascii="Times New Roman" w:hAnsi="Times New Roman"/>
                      <w:color w:val="auto"/>
                      <w:sz w:val="21"/>
                      <w:szCs w:val="21"/>
                    </w:rPr>
                    <w:t>0.</w:t>
                  </w:r>
                  <w:bookmarkEnd w:id="33"/>
                  <w:bookmarkEnd w:id="34"/>
                  <w:r>
                    <w:rPr>
                      <w:rFonts w:ascii="Times New Roman" w:hAnsi="Times New Roman"/>
                      <w:color w:val="auto"/>
                      <w:sz w:val="21"/>
                      <w:szCs w:val="21"/>
                    </w:rPr>
                    <w:t>3（湖0.1）</w:t>
                  </w:r>
                </w:p>
              </w:tc>
              <w:tc>
                <w:tcPr>
                  <w:tcW w:w="51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0.5</w:t>
                  </w:r>
                </w:p>
              </w:tc>
              <w:tc>
                <w:tcPr>
                  <w:tcW w:w="35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1.5</w:t>
                  </w:r>
                </w:p>
              </w:tc>
            </w:tr>
          </w:tbl>
          <w:p>
            <w:pPr>
              <w:adjustRightInd w:val="0"/>
              <w:snapToGrid w:val="0"/>
              <w:spacing w:line="360" w:lineRule="auto"/>
              <w:rPr>
                <w:rFonts w:ascii="Times New Roman" w:hAnsi="Times New Roman"/>
                <w:b/>
                <w:bCs/>
                <w:color w:val="auto"/>
              </w:rPr>
            </w:pPr>
            <w:r>
              <w:rPr>
                <w:rFonts w:ascii="Times New Roman" w:hAnsi="Times New Roman"/>
                <w:b/>
                <w:bCs/>
                <w:color w:val="auto"/>
              </w:rPr>
              <w:t>3、噪声</w:t>
            </w:r>
          </w:p>
          <w:p>
            <w:pPr>
              <w:adjustRightInd w:val="0"/>
              <w:snapToGrid w:val="0"/>
              <w:spacing w:line="360" w:lineRule="auto"/>
              <w:ind w:firstLine="480" w:firstLineChars="200"/>
              <w:rPr>
                <w:rFonts w:ascii="Times New Roman" w:hAnsi="Times New Roman"/>
                <w:color w:val="auto"/>
                <w:szCs w:val="22"/>
              </w:rPr>
            </w:pPr>
            <w:bookmarkStart w:id="35" w:name="OLE_LINK9"/>
            <w:r>
              <w:rPr>
                <w:rFonts w:ascii="Times New Roman" w:hAnsi="Times New Roman"/>
                <w:color w:val="auto"/>
                <w:szCs w:val="22"/>
              </w:rPr>
              <w:t>项目区域西侧为省道207，省道207两侧35米范围内声环境质量执行《声环境质量标准》（GB3096-2008）4a类标准，其余区域执行2类标准</w:t>
            </w:r>
            <w:bookmarkEnd w:id="35"/>
            <w:r>
              <w:rPr>
                <w:rFonts w:ascii="Times New Roman" w:hAnsi="Times New Roman"/>
                <w:color w:val="auto"/>
                <w:szCs w:val="22"/>
              </w:rPr>
              <w:t>。标准限值如表4-3。</w:t>
            </w:r>
          </w:p>
          <w:p>
            <w:pPr>
              <w:adjustRightInd w:val="0"/>
              <w:snapToGrid w:val="0"/>
              <w:jc w:val="center"/>
              <w:rPr>
                <w:rFonts w:ascii="Times New Roman" w:hAnsi="Times New Roman"/>
                <w:b/>
                <w:color w:val="auto"/>
                <w:kern w:val="2"/>
                <w:sz w:val="21"/>
                <w:szCs w:val="21"/>
              </w:rPr>
            </w:pPr>
            <w:r>
              <w:rPr>
                <w:rFonts w:ascii="Times New Roman" w:hAnsi="Times New Roman"/>
                <w:b/>
                <w:color w:val="auto"/>
                <w:kern w:val="2"/>
                <w:sz w:val="21"/>
                <w:szCs w:val="21"/>
              </w:rPr>
              <w:t>表4-3   声环境质量标准（单位：dB(A)）</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547"/>
              <w:gridCol w:w="1593"/>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pct"/>
                  <w:vMerge w:val="restar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76" w:lineRule="auto"/>
                    <w:rPr>
                      <w:rFonts w:ascii="Times New Roman" w:hAnsi="Times New Roman"/>
                      <w:b/>
                      <w:bCs/>
                      <w:color w:val="auto"/>
                      <w:sz w:val="21"/>
                      <w:szCs w:val="21"/>
                    </w:rPr>
                  </w:pPr>
                  <w:r>
                    <w:rPr>
                      <w:rFonts w:ascii="Times New Roman" w:hAnsi="Times New Roman"/>
                      <w:b/>
                      <w:bCs/>
                      <w:color w:val="auto"/>
                      <w:sz w:val="21"/>
                      <w:szCs w:val="21"/>
                    </w:rPr>
                    <w:t>类别</w:t>
                  </w:r>
                </w:p>
              </w:tc>
              <w:tc>
                <w:tcPr>
                  <w:tcW w:w="2084" w:type="pct"/>
                  <w:vMerge w:val="restar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76" w:lineRule="auto"/>
                    <w:rPr>
                      <w:rFonts w:ascii="Times New Roman" w:hAnsi="Times New Roman"/>
                      <w:b/>
                      <w:bCs/>
                      <w:color w:val="auto"/>
                      <w:sz w:val="21"/>
                      <w:szCs w:val="21"/>
                    </w:rPr>
                  </w:pPr>
                  <w:r>
                    <w:rPr>
                      <w:rFonts w:ascii="Times New Roman" w:hAnsi="Times New Roman"/>
                      <w:b/>
                      <w:bCs/>
                      <w:color w:val="auto"/>
                      <w:sz w:val="21"/>
                      <w:szCs w:val="21"/>
                    </w:rPr>
                    <w:t>适用区域</w:t>
                  </w:r>
                </w:p>
              </w:tc>
              <w:tc>
                <w:tcPr>
                  <w:tcW w:w="199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76" w:lineRule="auto"/>
                    <w:rPr>
                      <w:rFonts w:ascii="Times New Roman" w:hAnsi="Times New Roman"/>
                      <w:b/>
                      <w:bCs/>
                      <w:color w:val="auto"/>
                      <w:sz w:val="21"/>
                      <w:szCs w:val="21"/>
                    </w:rPr>
                  </w:pPr>
                  <w:r>
                    <w:rPr>
                      <w:rFonts w:ascii="Times New Roman" w:hAnsi="Times New Roman"/>
                      <w:b/>
                      <w:bCs/>
                      <w:color w:val="auto"/>
                      <w:sz w:val="21"/>
                      <w:szCs w:val="21"/>
                    </w:rPr>
                    <w:t>等效声级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pct"/>
                  <w:vMerge w:val="continue"/>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76" w:lineRule="auto"/>
                    <w:rPr>
                      <w:rFonts w:ascii="Times New Roman" w:hAnsi="Times New Roman"/>
                      <w:b/>
                      <w:bCs/>
                      <w:color w:val="auto"/>
                      <w:sz w:val="21"/>
                      <w:szCs w:val="21"/>
                    </w:rPr>
                  </w:pPr>
                </w:p>
              </w:tc>
              <w:tc>
                <w:tcPr>
                  <w:tcW w:w="2084" w:type="pct"/>
                  <w:vMerge w:val="continue"/>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76" w:lineRule="auto"/>
                    <w:rPr>
                      <w:rFonts w:ascii="Times New Roman" w:hAnsi="Times New Roman"/>
                      <w:b/>
                      <w:bCs/>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76" w:lineRule="auto"/>
                    <w:rPr>
                      <w:rFonts w:ascii="Times New Roman" w:hAnsi="Times New Roman"/>
                      <w:b/>
                      <w:bCs/>
                      <w:color w:val="auto"/>
                      <w:sz w:val="21"/>
                      <w:szCs w:val="21"/>
                    </w:rPr>
                  </w:pPr>
                  <w:r>
                    <w:rPr>
                      <w:rFonts w:ascii="Times New Roman" w:hAnsi="Times New Roman"/>
                      <w:b/>
                      <w:bCs/>
                      <w:color w:val="auto"/>
                      <w:sz w:val="21"/>
                      <w:szCs w:val="21"/>
                    </w:rPr>
                    <w:t>昼间</w:t>
                  </w:r>
                </w:p>
              </w:tc>
              <w:tc>
                <w:tcPr>
                  <w:tcW w:w="1063"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76" w:lineRule="auto"/>
                    <w:rPr>
                      <w:rFonts w:ascii="Times New Roman" w:hAnsi="Times New Roman"/>
                      <w:b/>
                      <w:bCs/>
                      <w:color w:val="auto"/>
                      <w:sz w:val="21"/>
                      <w:szCs w:val="21"/>
                    </w:rPr>
                  </w:pPr>
                  <w:r>
                    <w:rPr>
                      <w:rFonts w:ascii="Times New Roman" w:hAnsi="Times New Roman"/>
                      <w:b/>
                      <w:bCs/>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2类</w:t>
                  </w:r>
                </w:p>
              </w:tc>
              <w:tc>
                <w:tcPr>
                  <w:tcW w:w="2084"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76" w:lineRule="auto"/>
                    <w:rPr>
                      <w:rFonts w:ascii="Times New Roman" w:hAnsi="Times New Roman"/>
                      <w:color w:val="auto"/>
                      <w:sz w:val="21"/>
                      <w:szCs w:val="21"/>
                    </w:rPr>
                  </w:pPr>
                  <w:r>
                    <w:rPr>
                      <w:rFonts w:hint="eastAsia" w:ascii="Times New Roman" w:hAnsi="Times New Roman"/>
                      <w:color w:val="auto"/>
                      <w:sz w:val="21"/>
                      <w:szCs w:val="21"/>
                    </w:rPr>
                    <w:t>评价范围内其他区域</w:t>
                  </w:r>
                </w:p>
              </w:tc>
              <w:tc>
                <w:tcPr>
                  <w:tcW w:w="936"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60</w:t>
                  </w:r>
                </w:p>
              </w:tc>
              <w:tc>
                <w:tcPr>
                  <w:tcW w:w="1063"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4a</w:t>
                  </w:r>
                </w:p>
              </w:tc>
              <w:tc>
                <w:tcPr>
                  <w:tcW w:w="2084"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省道207两侧35米范围</w:t>
                  </w:r>
                </w:p>
              </w:tc>
              <w:tc>
                <w:tcPr>
                  <w:tcW w:w="936"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70</w:t>
                  </w:r>
                </w:p>
              </w:tc>
              <w:tc>
                <w:tcPr>
                  <w:tcW w:w="1063"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55</w:t>
                  </w:r>
                </w:p>
              </w:tc>
            </w:tr>
          </w:tbl>
          <w:p>
            <w:pPr>
              <w:adjustRightInd w:val="0"/>
              <w:snapToGrid w:val="0"/>
              <w:spacing w:line="360" w:lineRule="auto"/>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32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after="120" w:line="320" w:lineRule="atLeast"/>
              <w:jc w:val="center"/>
              <w:outlineLvl w:val="0"/>
              <w:rPr>
                <w:rFonts w:ascii="Times New Roman" w:hAnsi="Times New Roman"/>
                <w:b/>
                <w:bCs/>
                <w:color w:val="auto"/>
              </w:rPr>
            </w:pPr>
            <w:r>
              <w:rPr>
                <w:rFonts w:ascii="Times New Roman" w:hAnsi="Times New Roman"/>
                <w:b/>
                <w:bCs/>
                <w:color w:val="auto"/>
              </w:rPr>
              <w:t>污</w:t>
            </w:r>
          </w:p>
          <w:p>
            <w:pPr>
              <w:adjustRightInd w:val="0"/>
              <w:snapToGrid w:val="0"/>
              <w:spacing w:after="120" w:line="320" w:lineRule="atLeast"/>
              <w:jc w:val="center"/>
              <w:outlineLvl w:val="0"/>
              <w:rPr>
                <w:rFonts w:ascii="Times New Roman" w:hAnsi="Times New Roman"/>
                <w:b/>
                <w:bCs/>
                <w:color w:val="auto"/>
              </w:rPr>
            </w:pPr>
            <w:r>
              <w:rPr>
                <w:rFonts w:ascii="Times New Roman" w:hAnsi="Times New Roman"/>
                <w:b/>
                <w:bCs/>
                <w:color w:val="auto"/>
              </w:rPr>
              <w:t>染</w:t>
            </w:r>
          </w:p>
          <w:p>
            <w:pPr>
              <w:adjustRightInd w:val="0"/>
              <w:snapToGrid w:val="0"/>
              <w:spacing w:after="120" w:line="320" w:lineRule="atLeast"/>
              <w:jc w:val="center"/>
              <w:outlineLvl w:val="0"/>
              <w:rPr>
                <w:rFonts w:ascii="Times New Roman" w:hAnsi="Times New Roman"/>
                <w:b/>
                <w:bCs/>
                <w:color w:val="auto"/>
              </w:rPr>
            </w:pPr>
            <w:r>
              <w:rPr>
                <w:rFonts w:ascii="Times New Roman" w:hAnsi="Times New Roman"/>
                <w:b/>
                <w:bCs/>
                <w:color w:val="auto"/>
              </w:rPr>
              <w:t>物</w:t>
            </w:r>
          </w:p>
          <w:p>
            <w:pPr>
              <w:adjustRightInd w:val="0"/>
              <w:snapToGrid w:val="0"/>
              <w:spacing w:after="120" w:line="320" w:lineRule="atLeast"/>
              <w:jc w:val="center"/>
              <w:outlineLvl w:val="0"/>
              <w:rPr>
                <w:rFonts w:ascii="Times New Roman" w:hAnsi="Times New Roman"/>
                <w:b/>
                <w:bCs/>
                <w:color w:val="auto"/>
              </w:rPr>
            </w:pPr>
            <w:r>
              <w:rPr>
                <w:rFonts w:ascii="Times New Roman" w:hAnsi="Times New Roman"/>
                <w:b/>
                <w:bCs/>
                <w:color w:val="auto"/>
              </w:rPr>
              <w:t>排</w:t>
            </w:r>
          </w:p>
          <w:p>
            <w:pPr>
              <w:adjustRightInd w:val="0"/>
              <w:snapToGrid w:val="0"/>
              <w:spacing w:after="120" w:line="320" w:lineRule="atLeast"/>
              <w:jc w:val="center"/>
              <w:outlineLvl w:val="0"/>
              <w:rPr>
                <w:rFonts w:ascii="Times New Roman" w:hAnsi="Times New Roman"/>
                <w:b/>
                <w:bCs/>
                <w:color w:val="auto"/>
              </w:rPr>
            </w:pPr>
            <w:r>
              <w:rPr>
                <w:rFonts w:ascii="Times New Roman" w:hAnsi="Times New Roman"/>
                <w:b/>
                <w:bCs/>
                <w:color w:val="auto"/>
              </w:rPr>
              <w:t>放</w:t>
            </w:r>
          </w:p>
          <w:p>
            <w:pPr>
              <w:adjustRightInd w:val="0"/>
              <w:snapToGrid w:val="0"/>
              <w:spacing w:after="120" w:line="320" w:lineRule="atLeast"/>
              <w:jc w:val="center"/>
              <w:outlineLvl w:val="0"/>
              <w:rPr>
                <w:rFonts w:ascii="Times New Roman" w:hAnsi="Times New Roman"/>
                <w:b/>
                <w:bCs/>
                <w:color w:val="auto"/>
              </w:rPr>
            </w:pPr>
            <w:r>
              <w:rPr>
                <w:rFonts w:ascii="Times New Roman" w:hAnsi="Times New Roman"/>
                <w:b/>
                <w:bCs/>
                <w:color w:val="auto"/>
              </w:rPr>
              <w:t>标</w:t>
            </w:r>
          </w:p>
          <w:p>
            <w:pPr>
              <w:adjustRightInd w:val="0"/>
              <w:snapToGrid w:val="0"/>
              <w:spacing w:after="120" w:line="320" w:lineRule="atLeast"/>
              <w:jc w:val="center"/>
              <w:outlineLvl w:val="0"/>
              <w:rPr>
                <w:rFonts w:ascii="Times New Roman" w:hAnsi="Times New Roman"/>
                <w:b/>
                <w:bCs/>
                <w:color w:val="auto"/>
              </w:rPr>
            </w:pPr>
            <w:r>
              <w:rPr>
                <w:rFonts w:ascii="Times New Roman" w:hAnsi="Times New Roman"/>
                <w:b/>
                <w:bCs/>
                <w:color w:val="auto"/>
              </w:rPr>
              <w:t>准</w:t>
            </w:r>
          </w:p>
        </w:tc>
        <w:tc>
          <w:tcPr>
            <w:tcW w:w="4679"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Times New Roman" w:hAnsi="Times New Roman"/>
                <w:b/>
                <w:bCs/>
                <w:color w:val="auto"/>
              </w:rPr>
            </w:pPr>
            <w:r>
              <w:rPr>
                <w:rFonts w:ascii="Times New Roman" w:hAnsi="Times New Roman"/>
                <w:b/>
                <w:bCs/>
                <w:color w:val="auto"/>
              </w:rPr>
              <w:t>1、废气</w:t>
            </w:r>
          </w:p>
          <w:p>
            <w:pPr>
              <w:adjustRightInd w:val="0"/>
              <w:snapToGrid w:val="0"/>
              <w:spacing w:line="360" w:lineRule="auto"/>
              <w:ind w:firstLine="480" w:firstLineChars="200"/>
              <w:rPr>
                <w:rFonts w:ascii="宋体" w:hAnsi="宋体"/>
                <w:color w:val="auto"/>
                <w:kern w:val="2"/>
              </w:rPr>
            </w:pPr>
            <w:r>
              <w:rPr>
                <w:rFonts w:hint="eastAsia" w:ascii="宋体" w:hAnsi="宋体"/>
                <w:color w:val="auto"/>
                <w:kern w:val="2"/>
              </w:rPr>
              <w:t>①锅炉</w:t>
            </w:r>
            <w:r>
              <w:rPr>
                <w:rFonts w:ascii="宋体" w:hAnsi="宋体"/>
                <w:color w:val="auto"/>
                <w:kern w:val="2"/>
              </w:rPr>
              <w:t>烟气</w:t>
            </w:r>
          </w:p>
          <w:p>
            <w:pPr>
              <w:adjustRightInd w:val="0"/>
              <w:snapToGrid w:val="0"/>
              <w:spacing w:line="360" w:lineRule="auto"/>
              <w:ind w:firstLine="480" w:firstLineChars="200"/>
              <w:rPr>
                <w:rFonts w:ascii="Times New Roman" w:hAnsi="Times New Roman"/>
                <w:color w:val="auto"/>
                <w:kern w:val="2"/>
              </w:rPr>
            </w:pPr>
            <w:r>
              <w:rPr>
                <w:rFonts w:ascii="Times New Roman" w:hAnsi="Times New Roman"/>
                <w:color w:val="auto"/>
                <w:kern w:val="2"/>
              </w:rPr>
              <w:t>运营期</w:t>
            </w:r>
            <w:r>
              <w:rPr>
                <w:rFonts w:hint="eastAsia" w:ascii="Times New Roman" w:hAnsi="Times New Roman"/>
                <w:color w:val="auto"/>
                <w:kern w:val="2"/>
              </w:rPr>
              <w:t>项目共</w:t>
            </w:r>
            <w:r>
              <w:rPr>
                <w:rFonts w:ascii="Times New Roman" w:hAnsi="Times New Roman"/>
                <w:color w:val="auto"/>
                <w:kern w:val="2"/>
              </w:rPr>
              <w:t>设有</w:t>
            </w:r>
            <w:r>
              <w:rPr>
                <w:rFonts w:hint="eastAsia" w:ascii="Times New Roman" w:hAnsi="Times New Roman"/>
                <w:color w:val="auto"/>
                <w:kern w:val="2"/>
              </w:rPr>
              <w:t>2</w:t>
            </w:r>
            <w:r>
              <w:rPr>
                <w:rFonts w:ascii="Times New Roman" w:hAnsi="Times New Roman"/>
                <w:color w:val="auto"/>
                <w:kern w:val="2"/>
              </w:rPr>
              <w:t>台</w:t>
            </w:r>
            <w:r>
              <w:rPr>
                <w:rFonts w:hint="eastAsia" w:ascii="Times New Roman" w:hAnsi="Times New Roman"/>
                <w:color w:val="auto"/>
                <w:kern w:val="2"/>
              </w:rPr>
              <w:t>生物质</w:t>
            </w:r>
            <w:r>
              <w:rPr>
                <w:rFonts w:ascii="Times New Roman" w:hAnsi="Times New Roman"/>
                <w:color w:val="auto"/>
                <w:kern w:val="2"/>
              </w:rPr>
              <w:t>蒸汽锅炉，装机容量</w:t>
            </w:r>
            <w:r>
              <w:rPr>
                <w:rFonts w:hint="eastAsia" w:ascii="Times New Roman" w:hAnsi="Times New Roman"/>
                <w:color w:val="auto"/>
                <w:kern w:val="2"/>
              </w:rPr>
              <w:t>每台</w:t>
            </w:r>
            <w:r>
              <w:rPr>
                <w:rFonts w:ascii="Times New Roman" w:hAnsi="Times New Roman"/>
                <w:color w:val="auto"/>
                <w:kern w:val="2"/>
              </w:rPr>
              <w:t>为</w:t>
            </w:r>
            <w:r>
              <w:rPr>
                <w:rFonts w:hint="eastAsia" w:ascii="Times New Roman" w:hAnsi="Times New Roman"/>
                <w:color w:val="auto"/>
                <w:kern w:val="2"/>
              </w:rPr>
              <w:t>1</w:t>
            </w:r>
            <w:r>
              <w:rPr>
                <w:rFonts w:ascii="Times New Roman" w:hAnsi="Times New Roman"/>
                <w:color w:val="auto"/>
                <w:kern w:val="2"/>
              </w:rPr>
              <w:t>5t/h</w:t>
            </w:r>
            <w:r>
              <w:rPr>
                <w:rFonts w:hint="eastAsia" w:ascii="Times New Roman" w:hAnsi="Times New Roman"/>
                <w:color w:val="auto"/>
                <w:kern w:val="2"/>
              </w:rPr>
              <w:t>。本项目所在区域不属于高污染燃料禁燃区，根据</w:t>
            </w:r>
            <w:r>
              <w:rPr>
                <w:rFonts w:ascii="Times New Roman" w:hAnsi="Times New Roman"/>
                <w:color w:val="auto"/>
                <w:kern w:val="2"/>
              </w:rPr>
              <w:t>《锅炉大气污染物排放标准》（GB13271-2014）</w:t>
            </w:r>
            <w:r>
              <w:rPr>
                <w:rFonts w:hint="eastAsia" w:ascii="Times New Roman" w:hAnsi="Times New Roman"/>
                <w:color w:val="auto"/>
                <w:kern w:val="2"/>
              </w:rPr>
              <w:t>中“使用型煤、水煤浆、煤矸石、石油焦、油页岩、生物质成型燃料等的锅炉，参照本标准中燃煤锅炉排放控制要求执行。”的要求，本项目使用生物质成型燃料，则本项目生物质锅炉排放的烟气参照</w:t>
            </w:r>
            <w:r>
              <w:rPr>
                <w:rFonts w:ascii="Times New Roman" w:hAnsi="Times New Roman"/>
                <w:color w:val="auto"/>
                <w:kern w:val="2"/>
              </w:rPr>
              <w:t>执行</w:t>
            </w:r>
            <w:bookmarkStart w:id="36" w:name="_Hlk54365338"/>
            <w:r>
              <w:rPr>
                <w:rFonts w:ascii="Times New Roman" w:hAnsi="Times New Roman"/>
                <w:color w:val="auto"/>
                <w:kern w:val="2"/>
              </w:rPr>
              <w:t>《锅炉大气污染物排放标准》（GB13271-2014）中的表2</w:t>
            </w:r>
            <w:r>
              <w:rPr>
                <w:rFonts w:hint="eastAsia" w:ascii="Times New Roman" w:hAnsi="Times New Roman"/>
                <w:color w:val="auto"/>
                <w:kern w:val="2"/>
              </w:rPr>
              <w:t>中燃煤锅炉排放</w:t>
            </w:r>
            <w:r>
              <w:rPr>
                <w:rFonts w:ascii="Times New Roman" w:hAnsi="Times New Roman"/>
                <w:color w:val="auto"/>
                <w:kern w:val="2"/>
              </w:rPr>
              <w:t>标准</w:t>
            </w:r>
            <w:bookmarkEnd w:id="36"/>
            <w:r>
              <w:rPr>
                <w:rFonts w:hint="eastAsia" w:ascii="Times New Roman" w:hAnsi="Times New Roman"/>
                <w:color w:val="auto"/>
                <w:kern w:val="2"/>
              </w:rPr>
              <w:t>；锅炉烟囱最低允许高度参照该标准表4执行，本项目锅炉房设2台1</w:t>
            </w:r>
            <w:r>
              <w:rPr>
                <w:rFonts w:ascii="Times New Roman" w:hAnsi="Times New Roman"/>
                <w:color w:val="auto"/>
                <w:kern w:val="2"/>
              </w:rPr>
              <w:t>5t/h</w:t>
            </w:r>
            <w:r>
              <w:rPr>
                <w:rFonts w:hint="eastAsia" w:ascii="Times New Roman" w:hAnsi="Times New Roman"/>
                <w:color w:val="auto"/>
                <w:kern w:val="2"/>
              </w:rPr>
              <w:t>的生物质锅炉，一用一备，装机总容量为3</w:t>
            </w:r>
            <w:r>
              <w:rPr>
                <w:rFonts w:ascii="Times New Roman" w:hAnsi="Times New Roman"/>
                <w:color w:val="auto"/>
                <w:kern w:val="2"/>
              </w:rPr>
              <w:t>0t/h</w:t>
            </w:r>
            <w:r>
              <w:rPr>
                <w:rFonts w:hint="eastAsia" w:ascii="Times New Roman" w:hAnsi="Times New Roman"/>
                <w:color w:val="auto"/>
                <w:kern w:val="2"/>
              </w:rPr>
              <w:t>，</w:t>
            </w:r>
            <w:r>
              <w:rPr>
                <w:rFonts w:ascii="Times New Roman" w:hAnsi="Times New Roman"/>
                <w:color w:val="auto"/>
                <w:kern w:val="2"/>
              </w:rPr>
              <w:t>标准值见</w:t>
            </w:r>
            <w:r>
              <w:rPr>
                <w:rFonts w:hint="eastAsia" w:ascii="Times New Roman" w:hAnsi="Times New Roman"/>
                <w:color w:val="auto"/>
                <w:kern w:val="2"/>
              </w:rPr>
              <w:t>表4</w:t>
            </w:r>
            <w:r>
              <w:rPr>
                <w:rFonts w:ascii="Times New Roman" w:hAnsi="Times New Roman"/>
                <w:color w:val="auto"/>
                <w:kern w:val="2"/>
              </w:rPr>
              <w:t>-4。</w:t>
            </w:r>
          </w:p>
          <w:p>
            <w:pPr>
              <w:adjustRightInd w:val="0"/>
              <w:snapToGrid w:val="0"/>
              <w:jc w:val="center"/>
              <w:rPr>
                <w:rFonts w:ascii="Times New Roman" w:hAnsi="Times New Roman"/>
                <w:b/>
                <w:color w:val="auto"/>
                <w:kern w:val="2"/>
                <w:sz w:val="21"/>
                <w:szCs w:val="21"/>
              </w:rPr>
            </w:pPr>
            <w:bookmarkStart w:id="37" w:name="_Ref53221877"/>
            <w:r>
              <w:rPr>
                <w:rFonts w:ascii="Times New Roman" w:hAnsi="Times New Roman"/>
                <w:b/>
                <w:color w:val="auto"/>
                <w:kern w:val="2"/>
                <w:sz w:val="21"/>
                <w:szCs w:val="21"/>
              </w:rPr>
              <w:t>表</w:t>
            </w:r>
            <w:bookmarkEnd w:id="37"/>
            <w:r>
              <w:rPr>
                <w:rFonts w:ascii="Times New Roman" w:hAnsi="Times New Roman"/>
                <w:b/>
                <w:color w:val="auto"/>
                <w:kern w:val="2"/>
                <w:sz w:val="21"/>
                <w:szCs w:val="21"/>
              </w:rPr>
              <w:t xml:space="preserve">4-4   </w:t>
            </w:r>
            <w:r>
              <w:rPr>
                <w:rFonts w:hint="eastAsia" w:ascii="Times New Roman" w:hAnsi="Times New Roman"/>
                <w:b/>
                <w:color w:val="auto"/>
                <w:kern w:val="2"/>
                <w:sz w:val="21"/>
                <w:szCs w:val="21"/>
              </w:rPr>
              <w:t>新建</w:t>
            </w:r>
            <w:r>
              <w:rPr>
                <w:rFonts w:ascii="Times New Roman" w:hAnsi="Times New Roman"/>
                <w:b/>
                <w:color w:val="auto"/>
                <w:kern w:val="2"/>
                <w:sz w:val="21"/>
                <w:szCs w:val="21"/>
              </w:rPr>
              <w:t>锅炉大气污染物排放标准限值</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938"/>
              <w:gridCol w:w="1184"/>
              <w:gridCol w:w="1134"/>
              <w:gridCol w:w="2011"/>
              <w:gridCol w:w="2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adjustRightInd w:val="0"/>
                    <w:snapToGrid w:val="0"/>
                    <w:spacing w:line="276" w:lineRule="auto"/>
                    <w:jc w:val="center"/>
                    <w:rPr>
                      <w:rFonts w:ascii="Times New Roman" w:hAnsi="Times New Roman"/>
                      <w:b/>
                      <w:color w:val="auto"/>
                      <w:kern w:val="2"/>
                      <w:sz w:val="21"/>
                      <w:szCs w:val="21"/>
                    </w:rPr>
                  </w:pPr>
                  <w:r>
                    <w:rPr>
                      <w:rFonts w:ascii="Times New Roman" w:hAnsi="Times New Roman"/>
                      <w:b/>
                      <w:color w:val="auto"/>
                      <w:kern w:val="2"/>
                      <w:sz w:val="21"/>
                      <w:szCs w:val="21"/>
                    </w:rPr>
                    <w:t>标准类别</w:t>
                  </w:r>
                </w:p>
              </w:tc>
              <w:tc>
                <w:tcPr>
                  <w:tcW w:w="751" w:type="dxa"/>
                  <w:vAlign w:val="center"/>
                </w:tcPr>
                <w:p>
                  <w:pPr>
                    <w:adjustRightInd w:val="0"/>
                    <w:snapToGrid w:val="0"/>
                    <w:spacing w:line="276" w:lineRule="auto"/>
                    <w:jc w:val="center"/>
                    <w:rPr>
                      <w:rFonts w:ascii="Times New Roman" w:hAnsi="Times New Roman"/>
                      <w:b/>
                      <w:color w:val="auto"/>
                      <w:kern w:val="2"/>
                      <w:sz w:val="21"/>
                      <w:szCs w:val="21"/>
                    </w:rPr>
                  </w:pPr>
                  <w:r>
                    <w:rPr>
                      <w:rFonts w:ascii="Times New Roman" w:hAnsi="Times New Roman"/>
                      <w:b/>
                      <w:color w:val="auto"/>
                      <w:kern w:val="2"/>
                      <w:sz w:val="21"/>
                      <w:szCs w:val="21"/>
                    </w:rPr>
                    <w:t>颗粒物</w:t>
                  </w:r>
                </w:p>
                <w:p>
                  <w:pPr>
                    <w:adjustRightInd w:val="0"/>
                    <w:snapToGrid w:val="0"/>
                    <w:spacing w:line="276" w:lineRule="auto"/>
                    <w:jc w:val="center"/>
                    <w:rPr>
                      <w:rFonts w:ascii="Times New Roman" w:hAnsi="Times New Roman"/>
                      <w:b/>
                      <w:color w:val="auto"/>
                      <w:kern w:val="2"/>
                      <w:sz w:val="21"/>
                      <w:szCs w:val="21"/>
                    </w:rPr>
                  </w:pPr>
                  <w:r>
                    <w:rPr>
                      <w:rFonts w:ascii="Times New Roman" w:hAnsi="Times New Roman"/>
                      <w:b/>
                      <w:color w:val="auto"/>
                      <w:kern w:val="2"/>
                      <w:sz w:val="21"/>
                      <w:szCs w:val="21"/>
                    </w:rPr>
                    <w:t>(mg/m</w:t>
                  </w:r>
                  <w:r>
                    <w:rPr>
                      <w:rFonts w:ascii="Times New Roman" w:hAnsi="Times New Roman"/>
                      <w:b/>
                      <w:color w:val="auto"/>
                      <w:kern w:val="2"/>
                      <w:sz w:val="21"/>
                      <w:szCs w:val="21"/>
                      <w:vertAlign w:val="superscript"/>
                    </w:rPr>
                    <w:t>3</w:t>
                  </w:r>
                  <w:r>
                    <w:rPr>
                      <w:rFonts w:ascii="Times New Roman" w:hAnsi="Times New Roman"/>
                      <w:b/>
                      <w:color w:val="auto"/>
                      <w:kern w:val="2"/>
                      <w:sz w:val="21"/>
                      <w:szCs w:val="21"/>
                    </w:rPr>
                    <w:t>)</w:t>
                  </w:r>
                </w:p>
              </w:tc>
              <w:tc>
                <w:tcPr>
                  <w:tcW w:w="1184" w:type="dxa"/>
                  <w:vAlign w:val="center"/>
                </w:tcPr>
                <w:p>
                  <w:pPr>
                    <w:adjustRightInd w:val="0"/>
                    <w:snapToGrid w:val="0"/>
                    <w:spacing w:line="276" w:lineRule="auto"/>
                    <w:jc w:val="center"/>
                    <w:rPr>
                      <w:rFonts w:ascii="Times New Roman" w:hAnsi="Times New Roman"/>
                      <w:b/>
                      <w:color w:val="auto"/>
                      <w:kern w:val="2"/>
                      <w:sz w:val="21"/>
                      <w:szCs w:val="21"/>
                    </w:rPr>
                  </w:pPr>
                  <w:r>
                    <w:rPr>
                      <w:rFonts w:ascii="Times New Roman" w:hAnsi="Times New Roman"/>
                      <w:b/>
                      <w:color w:val="auto"/>
                      <w:kern w:val="2"/>
                      <w:sz w:val="21"/>
                      <w:szCs w:val="21"/>
                    </w:rPr>
                    <w:t>二氧化硫</w:t>
                  </w:r>
                </w:p>
                <w:p>
                  <w:pPr>
                    <w:adjustRightInd w:val="0"/>
                    <w:snapToGrid w:val="0"/>
                    <w:spacing w:line="276" w:lineRule="auto"/>
                    <w:jc w:val="center"/>
                    <w:rPr>
                      <w:rFonts w:ascii="Times New Roman" w:hAnsi="Times New Roman"/>
                      <w:b/>
                      <w:color w:val="auto"/>
                      <w:kern w:val="2"/>
                      <w:sz w:val="21"/>
                      <w:szCs w:val="21"/>
                    </w:rPr>
                  </w:pPr>
                  <w:r>
                    <w:rPr>
                      <w:rFonts w:ascii="Times New Roman" w:hAnsi="Times New Roman"/>
                      <w:b/>
                      <w:color w:val="auto"/>
                      <w:kern w:val="2"/>
                      <w:sz w:val="21"/>
                      <w:szCs w:val="21"/>
                    </w:rPr>
                    <w:t>(mg/m</w:t>
                  </w:r>
                  <w:r>
                    <w:rPr>
                      <w:rFonts w:ascii="Times New Roman" w:hAnsi="Times New Roman"/>
                      <w:b/>
                      <w:color w:val="auto"/>
                      <w:kern w:val="2"/>
                      <w:sz w:val="21"/>
                      <w:szCs w:val="21"/>
                      <w:vertAlign w:val="superscript"/>
                    </w:rPr>
                    <w:t>3</w:t>
                  </w:r>
                  <w:r>
                    <w:rPr>
                      <w:rFonts w:ascii="Times New Roman" w:hAnsi="Times New Roman"/>
                      <w:b/>
                      <w:color w:val="auto"/>
                      <w:kern w:val="2"/>
                      <w:sz w:val="21"/>
                      <w:szCs w:val="21"/>
                    </w:rPr>
                    <w:t>)</w:t>
                  </w:r>
                </w:p>
              </w:tc>
              <w:tc>
                <w:tcPr>
                  <w:tcW w:w="1134" w:type="dxa"/>
                  <w:vAlign w:val="center"/>
                </w:tcPr>
                <w:p>
                  <w:pPr>
                    <w:adjustRightInd w:val="0"/>
                    <w:snapToGrid w:val="0"/>
                    <w:spacing w:line="276" w:lineRule="auto"/>
                    <w:jc w:val="center"/>
                    <w:rPr>
                      <w:rFonts w:ascii="Times New Roman" w:hAnsi="Times New Roman"/>
                      <w:b/>
                      <w:color w:val="auto"/>
                      <w:kern w:val="2"/>
                      <w:sz w:val="21"/>
                      <w:szCs w:val="21"/>
                    </w:rPr>
                  </w:pPr>
                  <w:r>
                    <w:rPr>
                      <w:rFonts w:ascii="Times New Roman" w:hAnsi="Times New Roman"/>
                      <w:b/>
                      <w:color w:val="auto"/>
                      <w:kern w:val="2"/>
                      <w:sz w:val="21"/>
                      <w:szCs w:val="21"/>
                    </w:rPr>
                    <w:t>氮氧化物</w:t>
                  </w:r>
                </w:p>
                <w:p>
                  <w:pPr>
                    <w:adjustRightInd w:val="0"/>
                    <w:snapToGrid w:val="0"/>
                    <w:spacing w:line="276" w:lineRule="auto"/>
                    <w:jc w:val="center"/>
                    <w:rPr>
                      <w:rFonts w:ascii="Times New Roman" w:hAnsi="Times New Roman"/>
                      <w:b/>
                      <w:color w:val="auto"/>
                      <w:kern w:val="2"/>
                      <w:sz w:val="21"/>
                      <w:szCs w:val="21"/>
                    </w:rPr>
                  </w:pPr>
                  <w:r>
                    <w:rPr>
                      <w:rFonts w:ascii="Times New Roman" w:hAnsi="Times New Roman"/>
                      <w:b/>
                      <w:color w:val="auto"/>
                      <w:kern w:val="2"/>
                      <w:sz w:val="21"/>
                      <w:szCs w:val="21"/>
                    </w:rPr>
                    <w:t>(mg/m</w:t>
                  </w:r>
                  <w:r>
                    <w:rPr>
                      <w:rFonts w:ascii="Times New Roman" w:hAnsi="Times New Roman"/>
                      <w:b/>
                      <w:color w:val="auto"/>
                      <w:kern w:val="2"/>
                      <w:sz w:val="21"/>
                      <w:szCs w:val="21"/>
                      <w:vertAlign w:val="superscript"/>
                    </w:rPr>
                    <w:t>3</w:t>
                  </w:r>
                  <w:r>
                    <w:rPr>
                      <w:rFonts w:ascii="Times New Roman" w:hAnsi="Times New Roman"/>
                      <w:b/>
                      <w:color w:val="auto"/>
                      <w:kern w:val="2"/>
                      <w:sz w:val="21"/>
                      <w:szCs w:val="21"/>
                    </w:rPr>
                    <w:t>)</w:t>
                  </w:r>
                </w:p>
              </w:tc>
              <w:tc>
                <w:tcPr>
                  <w:tcW w:w="2011" w:type="dxa"/>
                  <w:vAlign w:val="center"/>
                </w:tcPr>
                <w:p>
                  <w:pPr>
                    <w:adjustRightInd w:val="0"/>
                    <w:snapToGrid w:val="0"/>
                    <w:spacing w:line="276" w:lineRule="auto"/>
                    <w:jc w:val="center"/>
                    <w:rPr>
                      <w:rFonts w:ascii="Times New Roman" w:hAnsi="Times New Roman"/>
                      <w:b/>
                      <w:color w:val="auto"/>
                      <w:kern w:val="2"/>
                      <w:sz w:val="21"/>
                      <w:szCs w:val="21"/>
                    </w:rPr>
                  </w:pPr>
                  <w:r>
                    <w:rPr>
                      <w:rFonts w:ascii="Times New Roman" w:hAnsi="Times New Roman"/>
                      <w:b/>
                      <w:color w:val="auto"/>
                      <w:kern w:val="2"/>
                      <w:sz w:val="21"/>
                      <w:szCs w:val="21"/>
                    </w:rPr>
                    <w:t>烟气</w:t>
                  </w:r>
                  <w:r>
                    <w:rPr>
                      <w:rFonts w:hint="eastAsia" w:ascii="Times New Roman" w:hAnsi="Times New Roman"/>
                      <w:b/>
                      <w:color w:val="auto"/>
                      <w:kern w:val="2"/>
                      <w:sz w:val="21"/>
                      <w:szCs w:val="21"/>
                    </w:rPr>
                    <w:t>黑度（</w:t>
                  </w:r>
                  <w:r>
                    <w:rPr>
                      <w:rFonts w:ascii="Times New Roman" w:hAnsi="Times New Roman"/>
                      <w:b/>
                      <w:color w:val="auto"/>
                      <w:kern w:val="2"/>
                      <w:sz w:val="21"/>
                      <w:szCs w:val="21"/>
                    </w:rPr>
                    <w:t>林格曼黑度</w:t>
                  </w:r>
                  <w:r>
                    <w:rPr>
                      <w:rFonts w:hint="eastAsia" w:ascii="Times New Roman" w:hAnsi="Times New Roman"/>
                      <w:b/>
                      <w:color w:val="auto"/>
                      <w:kern w:val="2"/>
                      <w:sz w:val="21"/>
                      <w:szCs w:val="21"/>
                    </w:rPr>
                    <w:t>，级）</w:t>
                  </w:r>
                </w:p>
              </w:tc>
              <w:tc>
                <w:tcPr>
                  <w:tcW w:w="0" w:type="auto"/>
                  <w:vAlign w:val="center"/>
                </w:tcPr>
                <w:p>
                  <w:pPr>
                    <w:adjustRightInd w:val="0"/>
                    <w:snapToGrid w:val="0"/>
                    <w:spacing w:line="276" w:lineRule="auto"/>
                    <w:jc w:val="center"/>
                    <w:rPr>
                      <w:rFonts w:ascii="Times New Roman" w:hAnsi="Times New Roman"/>
                      <w:b/>
                      <w:color w:val="auto"/>
                      <w:kern w:val="2"/>
                      <w:sz w:val="21"/>
                      <w:szCs w:val="21"/>
                    </w:rPr>
                  </w:pPr>
                  <w:r>
                    <w:rPr>
                      <w:rFonts w:ascii="Times New Roman" w:hAnsi="Times New Roman"/>
                      <w:b/>
                      <w:color w:val="auto"/>
                      <w:kern w:val="2"/>
                      <w:sz w:val="21"/>
                      <w:szCs w:val="21"/>
                    </w:rPr>
                    <w:t>烟囱最低允许高度</w:t>
                  </w:r>
                  <w:r>
                    <w:rPr>
                      <w:rFonts w:hint="eastAsia" w:ascii="Times New Roman" w:hAnsi="Times New Roman"/>
                      <w:b/>
                      <w:color w:val="auto"/>
                      <w:kern w:val="2"/>
                      <w:sz w:val="21"/>
                      <w:szCs w:val="21"/>
                    </w:rPr>
                    <w:t>（锅炉房装机总容量≥2</w:t>
                  </w:r>
                  <w:r>
                    <w:rPr>
                      <w:rFonts w:ascii="Times New Roman" w:hAnsi="Times New Roman"/>
                      <w:b/>
                      <w:color w:val="auto"/>
                      <w:kern w:val="2"/>
                      <w:sz w:val="21"/>
                      <w:szCs w:val="21"/>
                    </w:rPr>
                    <w:t>0t/h</w:t>
                  </w:r>
                  <w:r>
                    <w:rPr>
                      <w:rFonts w:hint="eastAsia" w:ascii="Times New Roman" w:hAnsi="Times New Roman"/>
                      <w:b/>
                      <w:color w:val="auto"/>
                      <w:kern w:val="2"/>
                      <w:sz w:val="21"/>
                      <w:szCs w:val="21"/>
                    </w:rPr>
                    <w:t>）</w:t>
                  </w:r>
                  <w:r>
                    <w:rPr>
                      <w:rFonts w:ascii="Times New Roman" w:hAnsi="Times New Roman"/>
                      <w:b/>
                      <w:color w:val="auto"/>
                      <w:kern w:val="2"/>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adjustRightInd w:val="0"/>
                    <w:snapToGrid w:val="0"/>
                    <w:spacing w:line="276" w:lineRule="auto"/>
                    <w:jc w:val="center"/>
                    <w:rPr>
                      <w:rFonts w:ascii="Times New Roman" w:hAnsi="Times New Roman"/>
                      <w:color w:val="auto"/>
                      <w:kern w:val="2"/>
                      <w:sz w:val="21"/>
                      <w:szCs w:val="21"/>
                    </w:rPr>
                  </w:pPr>
                  <w:r>
                    <w:rPr>
                      <w:rFonts w:hint="eastAsia" w:ascii="Times New Roman" w:hAnsi="Times New Roman"/>
                      <w:color w:val="auto"/>
                      <w:kern w:val="2"/>
                      <w:sz w:val="21"/>
                      <w:szCs w:val="21"/>
                    </w:rPr>
                    <w:t>燃煤</w:t>
                  </w:r>
                  <w:r>
                    <w:rPr>
                      <w:rFonts w:ascii="Times New Roman" w:hAnsi="Times New Roman"/>
                      <w:color w:val="auto"/>
                      <w:kern w:val="2"/>
                      <w:sz w:val="21"/>
                      <w:szCs w:val="21"/>
                    </w:rPr>
                    <w:t>锅炉</w:t>
                  </w:r>
                </w:p>
              </w:tc>
              <w:tc>
                <w:tcPr>
                  <w:tcW w:w="751" w:type="dxa"/>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50</w:t>
                  </w:r>
                </w:p>
              </w:tc>
              <w:tc>
                <w:tcPr>
                  <w:tcW w:w="1184" w:type="dxa"/>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300</w:t>
                  </w:r>
                </w:p>
              </w:tc>
              <w:tc>
                <w:tcPr>
                  <w:tcW w:w="1134" w:type="dxa"/>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300</w:t>
                  </w:r>
                </w:p>
              </w:tc>
              <w:tc>
                <w:tcPr>
                  <w:tcW w:w="2011" w:type="dxa"/>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≤1</w:t>
                  </w:r>
                </w:p>
              </w:tc>
              <w:tc>
                <w:tcPr>
                  <w:tcW w:w="0" w:type="auto"/>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45</w:t>
                  </w:r>
                </w:p>
              </w:tc>
            </w:tr>
          </w:tbl>
          <w:p>
            <w:pPr>
              <w:adjustRightInd w:val="0"/>
              <w:snapToGrid w:val="0"/>
              <w:spacing w:before="163" w:beforeLines="50" w:line="360" w:lineRule="auto"/>
              <w:ind w:firstLine="480" w:firstLineChars="200"/>
              <w:rPr>
                <w:rFonts w:ascii="宋体" w:hAnsi="宋体"/>
                <w:color w:val="auto"/>
                <w:kern w:val="2"/>
              </w:rPr>
            </w:pPr>
            <w:r>
              <w:rPr>
                <w:rFonts w:hint="eastAsia" w:ascii="Times New Roman" w:hAnsi="Times New Roman"/>
                <w:color w:val="auto"/>
                <w:kern w:val="2"/>
              </w:rPr>
              <w:t>②</w:t>
            </w:r>
            <w:r>
              <w:rPr>
                <w:rFonts w:hint="eastAsia" w:ascii="宋体" w:hAnsi="宋体"/>
                <w:color w:val="auto"/>
                <w:kern w:val="2"/>
              </w:rPr>
              <w:t>无组织</w:t>
            </w:r>
            <w:r>
              <w:rPr>
                <w:rFonts w:ascii="宋体" w:hAnsi="宋体"/>
                <w:color w:val="auto"/>
                <w:kern w:val="2"/>
              </w:rPr>
              <w:t>粉尘</w:t>
            </w:r>
          </w:p>
          <w:p>
            <w:pPr>
              <w:adjustRightInd w:val="0"/>
              <w:snapToGrid w:val="0"/>
              <w:spacing w:line="360" w:lineRule="auto"/>
              <w:ind w:firstLine="480" w:firstLineChars="200"/>
              <w:rPr>
                <w:rFonts w:ascii="Times New Roman" w:hAnsi="Times New Roman"/>
                <w:color w:val="auto"/>
                <w:kern w:val="2"/>
              </w:rPr>
            </w:pPr>
            <w:r>
              <w:rPr>
                <w:rFonts w:hint="eastAsia" w:ascii="Times New Roman" w:hAnsi="Times New Roman"/>
                <w:color w:val="auto"/>
                <w:kern w:val="2"/>
              </w:rPr>
              <w:t>施工期扬尘以及运营期生物质燃料棚产生的无组织粉尘排放均执行</w:t>
            </w:r>
            <w:bookmarkStart w:id="38" w:name="_Hlk54076387"/>
            <w:r>
              <w:rPr>
                <w:rFonts w:hint="eastAsia" w:ascii="Times New Roman" w:hAnsi="Times New Roman"/>
                <w:color w:val="auto"/>
                <w:kern w:val="2"/>
              </w:rPr>
              <w:t>《大气污染物综合排放标准》（GB16297-1996）中的表2标准</w:t>
            </w:r>
            <w:bookmarkEnd w:id="38"/>
            <w:r>
              <w:rPr>
                <w:rFonts w:hint="eastAsia" w:ascii="Times New Roman" w:hAnsi="Times New Roman"/>
                <w:color w:val="auto"/>
                <w:kern w:val="2"/>
              </w:rPr>
              <w:t>，浓度限值见表4</w:t>
            </w:r>
            <w:r>
              <w:rPr>
                <w:rFonts w:ascii="Times New Roman" w:hAnsi="Times New Roman"/>
                <w:color w:val="auto"/>
                <w:kern w:val="2"/>
              </w:rPr>
              <w:t>-5</w:t>
            </w:r>
            <w:r>
              <w:rPr>
                <w:rFonts w:hint="eastAsia" w:ascii="Times New Roman" w:hAnsi="Times New Roman"/>
                <w:color w:val="auto"/>
                <w:kern w:val="2"/>
              </w:rPr>
              <w:t>。</w:t>
            </w:r>
          </w:p>
          <w:p>
            <w:pPr>
              <w:adjustRightInd w:val="0"/>
              <w:snapToGrid w:val="0"/>
              <w:jc w:val="center"/>
              <w:rPr>
                <w:rFonts w:ascii="Times New Roman" w:hAnsi="Times New Roman"/>
                <w:b/>
                <w:color w:val="auto"/>
                <w:kern w:val="2"/>
                <w:sz w:val="21"/>
                <w:szCs w:val="21"/>
              </w:rPr>
            </w:pPr>
            <w:bookmarkStart w:id="39" w:name="_Ref53221910"/>
            <w:r>
              <w:rPr>
                <w:rFonts w:hint="eastAsia" w:ascii="Times New Roman" w:hAnsi="Times New Roman"/>
                <w:b/>
                <w:color w:val="auto"/>
                <w:kern w:val="2"/>
                <w:sz w:val="21"/>
                <w:szCs w:val="21"/>
              </w:rPr>
              <w:t>表</w:t>
            </w:r>
            <w:bookmarkEnd w:id="39"/>
            <w:r>
              <w:rPr>
                <w:rFonts w:ascii="Times New Roman" w:hAnsi="Times New Roman"/>
                <w:b/>
                <w:color w:val="auto"/>
                <w:kern w:val="2"/>
                <w:sz w:val="21"/>
                <w:szCs w:val="21"/>
              </w:rPr>
              <w:t>4-5</w:t>
            </w:r>
            <w:r>
              <w:rPr>
                <w:rFonts w:hint="eastAsia" w:ascii="Times New Roman" w:hAnsi="Times New Roman"/>
                <w:b/>
                <w:color w:val="auto"/>
                <w:kern w:val="2"/>
                <w:sz w:val="21"/>
                <w:szCs w:val="21"/>
              </w:rPr>
              <w:t xml:space="preserve">   无组织排放监控浓度限值</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6"/>
              <w:gridCol w:w="2837"/>
              <w:gridCol w:w="2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adjustRightInd w:val="0"/>
                    <w:snapToGrid w:val="0"/>
                    <w:spacing w:line="276" w:lineRule="auto"/>
                    <w:jc w:val="center"/>
                    <w:rPr>
                      <w:rFonts w:ascii="Times New Roman" w:hAnsi="Times New Roman"/>
                      <w:b/>
                      <w:bCs/>
                      <w:color w:val="auto"/>
                      <w:kern w:val="2"/>
                      <w:sz w:val="21"/>
                      <w:szCs w:val="21"/>
                    </w:rPr>
                  </w:pPr>
                  <w:r>
                    <w:rPr>
                      <w:rFonts w:hint="eastAsia" w:ascii="Times New Roman" w:hAnsi="Times New Roman"/>
                      <w:b/>
                      <w:bCs/>
                      <w:color w:val="auto"/>
                      <w:kern w:val="2"/>
                      <w:sz w:val="21"/>
                      <w:szCs w:val="21"/>
                    </w:rPr>
                    <w:t>污染物名称</w:t>
                  </w:r>
                </w:p>
              </w:tc>
              <w:tc>
                <w:tcPr>
                  <w:tcW w:w="2841" w:type="dxa"/>
                </w:tcPr>
                <w:p>
                  <w:pPr>
                    <w:adjustRightInd w:val="0"/>
                    <w:snapToGrid w:val="0"/>
                    <w:spacing w:line="276" w:lineRule="auto"/>
                    <w:jc w:val="center"/>
                    <w:rPr>
                      <w:rFonts w:ascii="Times New Roman" w:hAnsi="Times New Roman"/>
                      <w:b/>
                      <w:bCs/>
                      <w:color w:val="auto"/>
                      <w:kern w:val="2"/>
                      <w:sz w:val="21"/>
                      <w:szCs w:val="21"/>
                    </w:rPr>
                  </w:pPr>
                  <w:r>
                    <w:rPr>
                      <w:rFonts w:hint="eastAsia" w:ascii="Times New Roman" w:hAnsi="Times New Roman"/>
                      <w:b/>
                      <w:bCs/>
                      <w:color w:val="auto"/>
                      <w:kern w:val="2"/>
                      <w:sz w:val="21"/>
                      <w:szCs w:val="21"/>
                    </w:rPr>
                    <w:t>监控点</w:t>
                  </w:r>
                </w:p>
              </w:tc>
              <w:tc>
                <w:tcPr>
                  <w:tcW w:w="2841" w:type="dxa"/>
                </w:tcPr>
                <w:p>
                  <w:pPr>
                    <w:adjustRightInd w:val="0"/>
                    <w:snapToGrid w:val="0"/>
                    <w:spacing w:line="276" w:lineRule="auto"/>
                    <w:jc w:val="center"/>
                    <w:rPr>
                      <w:rFonts w:ascii="Times New Roman" w:hAnsi="Times New Roman"/>
                      <w:b/>
                      <w:bCs/>
                      <w:color w:val="auto"/>
                      <w:kern w:val="2"/>
                      <w:sz w:val="21"/>
                      <w:szCs w:val="21"/>
                    </w:rPr>
                  </w:pPr>
                  <w:r>
                    <w:rPr>
                      <w:rFonts w:hint="eastAsia" w:ascii="Times New Roman" w:hAnsi="Times New Roman"/>
                      <w:b/>
                      <w:bCs/>
                      <w:color w:val="auto"/>
                      <w:kern w:val="2"/>
                      <w:sz w:val="21"/>
                      <w:szCs w:val="21"/>
                    </w:rPr>
                    <w:t>浓度限值（mg/m</w:t>
                  </w:r>
                  <w:r>
                    <w:rPr>
                      <w:rFonts w:hint="eastAsia" w:ascii="Times New Roman" w:hAnsi="Times New Roman"/>
                      <w:b/>
                      <w:bCs/>
                      <w:color w:val="auto"/>
                      <w:kern w:val="2"/>
                      <w:sz w:val="21"/>
                      <w:szCs w:val="21"/>
                      <w:vertAlign w:val="superscript"/>
                    </w:rPr>
                    <w:t>3</w:t>
                  </w:r>
                  <w:r>
                    <w:rPr>
                      <w:rFonts w:hint="eastAsia" w:ascii="Times New Roman" w:hAnsi="Times New Roman"/>
                      <w:b/>
                      <w:bCs/>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840" w:type="dxa"/>
                </w:tcPr>
                <w:p>
                  <w:pPr>
                    <w:adjustRightInd w:val="0"/>
                    <w:snapToGrid w:val="0"/>
                    <w:spacing w:line="276" w:lineRule="auto"/>
                    <w:jc w:val="center"/>
                    <w:rPr>
                      <w:rFonts w:ascii="Times New Roman" w:hAnsi="Times New Roman"/>
                      <w:color w:val="auto"/>
                      <w:kern w:val="2"/>
                      <w:sz w:val="21"/>
                      <w:szCs w:val="21"/>
                    </w:rPr>
                  </w:pPr>
                  <w:r>
                    <w:rPr>
                      <w:rFonts w:hint="eastAsia" w:ascii="Times New Roman" w:hAnsi="Times New Roman"/>
                      <w:color w:val="auto"/>
                      <w:kern w:val="2"/>
                      <w:sz w:val="21"/>
                      <w:szCs w:val="21"/>
                    </w:rPr>
                    <w:t>TSP</w:t>
                  </w:r>
                </w:p>
              </w:tc>
              <w:tc>
                <w:tcPr>
                  <w:tcW w:w="2841" w:type="dxa"/>
                </w:tcPr>
                <w:p>
                  <w:pPr>
                    <w:adjustRightInd w:val="0"/>
                    <w:snapToGrid w:val="0"/>
                    <w:spacing w:line="276" w:lineRule="auto"/>
                    <w:jc w:val="center"/>
                    <w:rPr>
                      <w:rFonts w:ascii="Times New Roman" w:hAnsi="Times New Roman"/>
                      <w:color w:val="auto"/>
                      <w:kern w:val="2"/>
                      <w:sz w:val="21"/>
                      <w:szCs w:val="21"/>
                    </w:rPr>
                  </w:pPr>
                  <w:r>
                    <w:rPr>
                      <w:rFonts w:hint="eastAsia" w:ascii="Times New Roman" w:hAnsi="Times New Roman"/>
                      <w:color w:val="auto"/>
                      <w:kern w:val="2"/>
                      <w:sz w:val="21"/>
                      <w:szCs w:val="21"/>
                    </w:rPr>
                    <w:t>周界外浓度最高点</w:t>
                  </w:r>
                </w:p>
              </w:tc>
              <w:tc>
                <w:tcPr>
                  <w:tcW w:w="2841" w:type="dxa"/>
                </w:tcPr>
                <w:p>
                  <w:pPr>
                    <w:adjustRightInd w:val="0"/>
                    <w:snapToGrid w:val="0"/>
                    <w:spacing w:line="276" w:lineRule="auto"/>
                    <w:jc w:val="center"/>
                    <w:rPr>
                      <w:rFonts w:ascii="Times New Roman" w:hAnsi="Times New Roman"/>
                      <w:color w:val="auto"/>
                      <w:kern w:val="2"/>
                      <w:sz w:val="21"/>
                      <w:szCs w:val="21"/>
                    </w:rPr>
                  </w:pPr>
                  <w:r>
                    <w:rPr>
                      <w:rFonts w:hint="eastAsia" w:ascii="Times New Roman" w:hAnsi="Times New Roman"/>
                      <w:color w:val="auto"/>
                      <w:kern w:val="2"/>
                      <w:sz w:val="21"/>
                      <w:szCs w:val="21"/>
                    </w:rPr>
                    <w:t>1.0</w:t>
                  </w:r>
                </w:p>
              </w:tc>
            </w:tr>
          </w:tbl>
          <w:p>
            <w:pPr>
              <w:adjustRightInd w:val="0"/>
              <w:snapToGrid w:val="0"/>
              <w:spacing w:line="360" w:lineRule="auto"/>
              <w:rPr>
                <w:rFonts w:ascii="Times New Roman" w:hAnsi="Times New Roman"/>
                <w:b/>
                <w:bCs/>
                <w:color w:val="auto"/>
              </w:rPr>
            </w:pPr>
            <w:r>
              <w:rPr>
                <w:rFonts w:ascii="Times New Roman" w:hAnsi="Times New Roman"/>
                <w:b/>
                <w:bCs/>
                <w:color w:val="auto"/>
              </w:rPr>
              <w:t>2、噪声</w:t>
            </w:r>
          </w:p>
          <w:p>
            <w:pPr>
              <w:adjustRightInd w:val="0"/>
              <w:snapToGrid w:val="0"/>
              <w:spacing w:line="360" w:lineRule="auto"/>
              <w:ind w:firstLine="482" w:firstLineChars="200"/>
              <w:rPr>
                <w:rFonts w:ascii="Times New Roman" w:hAnsi="Times New Roman"/>
                <w:b/>
                <w:bCs/>
                <w:color w:val="auto"/>
              </w:rPr>
            </w:pPr>
            <w:r>
              <w:rPr>
                <w:rFonts w:ascii="Times New Roman" w:hAnsi="Times New Roman"/>
                <w:b/>
                <w:bCs/>
                <w:color w:val="auto"/>
              </w:rPr>
              <w:t>（1）施工期</w:t>
            </w:r>
          </w:p>
          <w:p>
            <w:pPr>
              <w:adjustRightInd w:val="0"/>
              <w:snapToGrid w:val="0"/>
              <w:spacing w:line="360" w:lineRule="auto"/>
              <w:ind w:firstLine="480" w:firstLineChars="200"/>
              <w:rPr>
                <w:rFonts w:ascii="Times New Roman" w:hAnsi="Times New Roman"/>
                <w:color w:val="auto"/>
                <w:szCs w:val="22"/>
              </w:rPr>
            </w:pPr>
            <w:r>
              <w:rPr>
                <w:rFonts w:ascii="Times New Roman" w:hAnsi="Times New Roman"/>
                <w:color w:val="auto"/>
                <w:szCs w:val="22"/>
              </w:rPr>
              <w:t>项目施工期噪声执行《</w:t>
            </w:r>
            <w:r>
              <w:rPr>
                <w:color w:val="auto"/>
              </w:rPr>
              <w:fldChar w:fldCharType="begin"/>
            </w:r>
            <w:r>
              <w:rPr>
                <w:color w:val="auto"/>
              </w:rPr>
              <w:instrText xml:space="preserve"> HYPERLINK "http://www.baidu.com/link?url=vDO3ZYoVgvMcXgRZElAwRr_shdrlS8WPXGWO_qTuIdy0Z0WTQahBldjIUqxFMYwv2i_4LZlM8ppnkvD02HCUyyqdn0RVOnzVcFkVeV3I1tm5GKj1pdwYkllJbhLc1mUo" \t "https://www.baidu.com/_blank" </w:instrText>
            </w:r>
            <w:r>
              <w:rPr>
                <w:color w:val="auto"/>
              </w:rPr>
              <w:fldChar w:fldCharType="separate"/>
            </w:r>
            <w:r>
              <w:rPr>
                <w:rFonts w:ascii="Times New Roman" w:hAnsi="Times New Roman"/>
                <w:color w:val="auto"/>
                <w:szCs w:val="22"/>
              </w:rPr>
              <w:t>建筑施工场界环境噪声排放标准</w:t>
            </w:r>
            <w:r>
              <w:rPr>
                <w:rFonts w:ascii="Times New Roman" w:hAnsi="Times New Roman"/>
                <w:color w:val="auto"/>
                <w:szCs w:val="22"/>
              </w:rPr>
              <w:fldChar w:fldCharType="end"/>
            </w:r>
            <w:r>
              <w:rPr>
                <w:rFonts w:ascii="Times New Roman" w:hAnsi="Times New Roman"/>
                <w:color w:val="auto"/>
                <w:szCs w:val="22"/>
              </w:rPr>
              <w:t>》（GB12523-2011），标准值见下表。</w:t>
            </w:r>
          </w:p>
          <w:p>
            <w:pPr>
              <w:adjustRightInd w:val="0"/>
              <w:snapToGrid w:val="0"/>
              <w:jc w:val="center"/>
              <w:rPr>
                <w:rFonts w:ascii="Times New Roman" w:hAnsi="Times New Roman"/>
                <w:b/>
                <w:color w:val="auto"/>
                <w:kern w:val="2"/>
                <w:sz w:val="21"/>
                <w:szCs w:val="21"/>
              </w:rPr>
            </w:pPr>
            <w:r>
              <w:rPr>
                <w:rFonts w:ascii="Times New Roman" w:hAnsi="Times New Roman"/>
                <w:b/>
                <w:color w:val="auto"/>
                <w:kern w:val="2"/>
                <w:sz w:val="21"/>
                <w:szCs w:val="21"/>
              </w:rPr>
              <w:t>表4-6   建筑施工场界环境噪声排放限值</w:t>
            </w:r>
            <w:r>
              <w:rPr>
                <w:rFonts w:hint="eastAsia" w:ascii="Times New Roman" w:hAnsi="Times New Roman"/>
                <w:b/>
                <w:color w:val="auto"/>
                <w:kern w:val="2"/>
                <w:sz w:val="21"/>
                <w:szCs w:val="21"/>
              </w:rPr>
              <w:t>（</w:t>
            </w:r>
            <w:r>
              <w:rPr>
                <w:rFonts w:ascii="Times New Roman" w:hAnsi="Times New Roman"/>
                <w:b/>
                <w:color w:val="auto"/>
                <w:kern w:val="2"/>
                <w:sz w:val="21"/>
                <w:szCs w:val="21"/>
              </w:rPr>
              <w:t>单位：dB(A)</w:t>
            </w:r>
            <w:r>
              <w:rPr>
                <w:rFonts w:hint="eastAsia" w:ascii="Times New Roman" w:hAnsi="Times New Roman"/>
                <w:b/>
                <w:color w:val="auto"/>
                <w:kern w:val="2"/>
                <w:sz w:val="21"/>
                <w:szCs w:val="21"/>
              </w:rPr>
              <w:t>）</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3256"/>
              <w:gridCol w:w="2634"/>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3352" w:type="dxa"/>
                  <w:vAlign w:val="center"/>
                </w:tcPr>
                <w:p>
                  <w:pPr>
                    <w:adjustRightInd w:val="0"/>
                    <w:snapToGri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项目</w:t>
                  </w:r>
                </w:p>
              </w:tc>
              <w:tc>
                <w:tcPr>
                  <w:tcW w:w="2709" w:type="dxa"/>
                  <w:vAlign w:val="center"/>
                </w:tcPr>
                <w:p>
                  <w:pPr>
                    <w:adjustRightInd w:val="0"/>
                    <w:snapToGri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昼间</w:t>
                  </w:r>
                </w:p>
              </w:tc>
              <w:tc>
                <w:tcPr>
                  <w:tcW w:w="2696" w:type="dxa"/>
                  <w:vAlign w:val="center"/>
                </w:tcPr>
                <w:p>
                  <w:pPr>
                    <w:adjustRightInd w:val="0"/>
                    <w:snapToGri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3352" w:type="dxa"/>
                  <w:vAlign w:val="center"/>
                </w:tcPr>
                <w:p>
                  <w:pPr>
                    <w:adjustRightInd w:val="0"/>
                    <w:snapToGri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标准限值</w:t>
                  </w:r>
                </w:p>
              </w:tc>
              <w:tc>
                <w:tcPr>
                  <w:tcW w:w="2709" w:type="dxa"/>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70</w:t>
                  </w:r>
                </w:p>
              </w:tc>
              <w:tc>
                <w:tcPr>
                  <w:tcW w:w="2696" w:type="dxa"/>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55</w:t>
                  </w:r>
                </w:p>
              </w:tc>
            </w:tr>
          </w:tbl>
          <w:p>
            <w:pPr>
              <w:adjustRightInd w:val="0"/>
              <w:snapToGrid w:val="0"/>
              <w:spacing w:line="500" w:lineRule="exact"/>
              <w:ind w:firstLine="482" w:firstLineChars="200"/>
              <w:rPr>
                <w:rFonts w:ascii="Times New Roman" w:hAnsi="Times New Roman"/>
                <w:b/>
                <w:bCs/>
                <w:color w:val="auto"/>
              </w:rPr>
            </w:pPr>
            <w:r>
              <w:rPr>
                <w:rFonts w:ascii="Times New Roman" w:hAnsi="Times New Roman"/>
                <w:b/>
                <w:bCs/>
                <w:color w:val="auto"/>
              </w:rPr>
              <w:t>（2）运营期</w:t>
            </w:r>
          </w:p>
          <w:p>
            <w:pPr>
              <w:adjustRightInd w:val="0"/>
              <w:snapToGrid w:val="0"/>
              <w:spacing w:line="360" w:lineRule="auto"/>
              <w:ind w:firstLine="480" w:firstLineChars="200"/>
              <w:rPr>
                <w:rFonts w:ascii="Times New Roman" w:hAnsi="Times New Roman"/>
                <w:color w:val="auto"/>
                <w:szCs w:val="22"/>
              </w:rPr>
            </w:pPr>
            <w:r>
              <w:rPr>
                <w:rFonts w:ascii="Times New Roman" w:hAnsi="Times New Roman"/>
                <w:color w:val="auto"/>
                <w:szCs w:val="22"/>
              </w:rPr>
              <w:t>项目处于工业与农业混合区内，运营期靠省道207一侧执行《工业企业厂界环境噪声排放标准》（GB12348-2008）4a类标准，其余厂界执行2类标准。</w:t>
            </w:r>
          </w:p>
          <w:p>
            <w:pPr>
              <w:adjustRightInd w:val="0"/>
              <w:snapToGrid w:val="0"/>
              <w:jc w:val="center"/>
              <w:rPr>
                <w:rFonts w:ascii="Times New Roman" w:hAnsi="Times New Roman"/>
                <w:b/>
                <w:color w:val="auto"/>
                <w:kern w:val="2"/>
                <w:sz w:val="21"/>
                <w:szCs w:val="21"/>
              </w:rPr>
            </w:pPr>
            <w:r>
              <w:rPr>
                <w:rFonts w:ascii="Times New Roman" w:hAnsi="Times New Roman"/>
                <w:b/>
                <w:color w:val="auto"/>
                <w:kern w:val="2"/>
                <w:sz w:val="21"/>
                <w:szCs w:val="21"/>
              </w:rPr>
              <w:t>表4-7   厂界噪声排放标准限值</w:t>
            </w:r>
            <w:r>
              <w:rPr>
                <w:rFonts w:hint="eastAsia" w:ascii="Times New Roman" w:hAnsi="Times New Roman"/>
                <w:b/>
                <w:color w:val="auto"/>
                <w:kern w:val="2"/>
                <w:sz w:val="21"/>
                <w:szCs w:val="21"/>
              </w:rPr>
              <w:t>（</w:t>
            </w:r>
            <w:r>
              <w:rPr>
                <w:rFonts w:ascii="Times New Roman" w:hAnsi="Times New Roman"/>
                <w:b/>
                <w:color w:val="auto"/>
                <w:kern w:val="2"/>
                <w:sz w:val="21"/>
                <w:szCs w:val="21"/>
              </w:rPr>
              <w:t>单位：dB(A)</w:t>
            </w:r>
            <w:r>
              <w:rPr>
                <w:rFonts w:hint="eastAsia" w:ascii="Times New Roman" w:hAnsi="Times New Roman"/>
                <w:b/>
                <w:color w:val="auto"/>
                <w:kern w:val="2"/>
                <w:sz w:val="21"/>
                <w:szCs w:val="21"/>
              </w:rPr>
              <w:t>）</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1"/>
              <w:gridCol w:w="3539"/>
              <w:gridCol w:w="1775"/>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5" w:type="pct"/>
                  <w:vMerge w:val="restart"/>
                  <w:vAlign w:val="center"/>
                </w:tcPr>
                <w:p>
                  <w:pPr>
                    <w:adjustRightInd w:val="0"/>
                    <w:snapToGri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类别</w:t>
                  </w:r>
                </w:p>
              </w:tc>
              <w:tc>
                <w:tcPr>
                  <w:tcW w:w="2079" w:type="pct"/>
                  <w:vMerge w:val="restart"/>
                  <w:vAlign w:val="center"/>
                </w:tcPr>
                <w:p>
                  <w:pPr>
                    <w:adjustRightInd w:val="0"/>
                    <w:snapToGrid w:val="0"/>
                    <w:spacing w:line="276" w:lineRule="auto"/>
                    <w:jc w:val="center"/>
                    <w:rPr>
                      <w:rFonts w:ascii="Times New Roman" w:hAnsi="Times New Roman"/>
                      <w:b/>
                      <w:bCs/>
                      <w:color w:val="auto"/>
                      <w:sz w:val="21"/>
                      <w:szCs w:val="21"/>
                    </w:rPr>
                  </w:pPr>
                  <w:r>
                    <w:rPr>
                      <w:rFonts w:hint="eastAsia" w:ascii="Times New Roman" w:hAnsi="Times New Roman"/>
                      <w:b/>
                      <w:bCs/>
                      <w:color w:val="auto"/>
                      <w:sz w:val="21"/>
                      <w:szCs w:val="21"/>
                    </w:rPr>
                    <w:t>适用范围</w:t>
                  </w:r>
                </w:p>
              </w:tc>
              <w:tc>
                <w:tcPr>
                  <w:tcW w:w="2086" w:type="pct"/>
                  <w:gridSpan w:val="2"/>
                  <w:vAlign w:val="center"/>
                </w:tcPr>
                <w:p>
                  <w:pPr>
                    <w:adjustRightInd w:val="0"/>
                    <w:snapToGrid w:val="0"/>
                    <w:spacing w:line="276" w:lineRule="auto"/>
                    <w:jc w:val="center"/>
                    <w:rPr>
                      <w:rFonts w:ascii="Times New Roman" w:hAnsi="Times New Roman"/>
                      <w:b/>
                      <w:bCs/>
                      <w:color w:val="auto"/>
                      <w:sz w:val="21"/>
                      <w:szCs w:val="21"/>
                    </w:rPr>
                  </w:pPr>
                  <w:r>
                    <w:rPr>
                      <w:rFonts w:hint="eastAsia" w:ascii="Times New Roman" w:hAnsi="Times New Roman"/>
                      <w:b/>
                      <w:bCs/>
                      <w:color w:val="auto"/>
                      <w:sz w:val="21"/>
                      <w:szCs w:val="21"/>
                    </w:rPr>
                    <w:t>时段及标准限值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5" w:type="pct"/>
                  <w:vMerge w:val="continue"/>
                  <w:vAlign w:val="center"/>
                </w:tcPr>
                <w:p>
                  <w:pPr>
                    <w:widowControl/>
                    <w:adjustRightInd w:val="0"/>
                    <w:snapToGrid w:val="0"/>
                    <w:spacing w:line="276" w:lineRule="auto"/>
                    <w:jc w:val="center"/>
                    <w:rPr>
                      <w:rFonts w:ascii="Times New Roman" w:hAnsi="Times New Roman"/>
                      <w:b/>
                      <w:bCs/>
                      <w:color w:val="auto"/>
                      <w:sz w:val="21"/>
                      <w:szCs w:val="21"/>
                    </w:rPr>
                  </w:pPr>
                </w:p>
              </w:tc>
              <w:tc>
                <w:tcPr>
                  <w:tcW w:w="2079" w:type="pct"/>
                  <w:vMerge w:val="continue"/>
                  <w:vAlign w:val="center"/>
                </w:tcPr>
                <w:p>
                  <w:pPr>
                    <w:widowControl/>
                    <w:adjustRightInd w:val="0"/>
                    <w:snapToGrid w:val="0"/>
                    <w:spacing w:line="276" w:lineRule="auto"/>
                    <w:jc w:val="center"/>
                    <w:rPr>
                      <w:rFonts w:ascii="Times New Roman" w:hAnsi="Times New Roman"/>
                      <w:b/>
                      <w:bCs/>
                      <w:color w:val="auto"/>
                      <w:sz w:val="21"/>
                      <w:szCs w:val="21"/>
                    </w:rPr>
                  </w:pPr>
                </w:p>
              </w:tc>
              <w:tc>
                <w:tcPr>
                  <w:tcW w:w="1043" w:type="pct"/>
                  <w:vAlign w:val="center"/>
                </w:tcPr>
                <w:p>
                  <w:pPr>
                    <w:adjustRightInd w:val="0"/>
                    <w:snapToGri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昼间</w:t>
                  </w:r>
                </w:p>
              </w:tc>
              <w:tc>
                <w:tcPr>
                  <w:tcW w:w="1043" w:type="pct"/>
                  <w:vAlign w:val="center"/>
                </w:tcPr>
                <w:p>
                  <w:pPr>
                    <w:adjustRightInd w:val="0"/>
                    <w:snapToGri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2类</w:t>
                  </w:r>
                </w:p>
              </w:tc>
              <w:tc>
                <w:tcPr>
                  <w:tcW w:w="2079" w:type="pct"/>
                  <w:vAlign w:val="center"/>
                </w:tcPr>
                <w:p>
                  <w:pPr>
                    <w:adjustRightInd w:val="0"/>
                    <w:snapToGrid w:val="0"/>
                    <w:spacing w:line="276"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非临过道侧厂界</w:t>
                  </w:r>
                </w:p>
              </w:tc>
              <w:tc>
                <w:tcPr>
                  <w:tcW w:w="1043"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60</w:t>
                  </w:r>
                </w:p>
              </w:tc>
              <w:tc>
                <w:tcPr>
                  <w:tcW w:w="1043"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5"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4a类</w:t>
                  </w:r>
                </w:p>
              </w:tc>
              <w:tc>
                <w:tcPr>
                  <w:tcW w:w="2079" w:type="pct"/>
                  <w:vAlign w:val="center"/>
                </w:tcPr>
                <w:p>
                  <w:pPr>
                    <w:adjustRightInd w:val="0"/>
                    <w:snapToGrid w:val="0"/>
                    <w:spacing w:line="276"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临国道侧厂界</w:t>
                  </w:r>
                </w:p>
              </w:tc>
              <w:tc>
                <w:tcPr>
                  <w:tcW w:w="1043"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70</w:t>
                  </w:r>
                </w:p>
              </w:tc>
              <w:tc>
                <w:tcPr>
                  <w:tcW w:w="1043"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55</w:t>
                  </w:r>
                </w:p>
              </w:tc>
            </w:tr>
          </w:tbl>
          <w:p>
            <w:pPr>
              <w:adjustRightInd w:val="0"/>
              <w:snapToGrid w:val="0"/>
              <w:spacing w:line="360" w:lineRule="auto"/>
              <w:rPr>
                <w:rFonts w:ascii="Times New Roman" w:hAnsi="Times New Roman"/>
                <w:b/>
                <w:bCs/>
                <w:color w:val="auto"/>
              </w:rPr>
            </w:pPr>
            <w:r>
              <w:rPr>
                <w:rFonts w:ascii="Times New Roman" w:hAnsi="Times New Roman"/>
                <w:b/>
                <w:bCs/>
                <w:color w:val="auto"/>
              </w:rPr>
              <w:t>3、一般固废</w:t>
            </w:r>
          </w:p>
          <w:p>
            <w:pPr>
              <w:pStyle w:val="37"/>
              <w:adjustRightInd w:val="0"/>
              <w:snapToGrid w:val="0"/>
              <w:spacing w:line="360" w:lineRule="auto"/>
              <w:ind w:firstLine="480"/>
              <w:rPr>
                <w:rFonts w:ascii="Times New Roman" w:hAnsi="Times New Roman"/>
                <w:color w:val="auto"/>
              </w:rPr>
            </w:pPr>
            <w:r>
              <w:rPr>
                <w:rFonts w:ascii="Times New Roman" w:hAnsi="Times New Roman"/>
                <w:color w:val="auto"/>
              </w:rPr>
              <w:t>一般工业固废处理执行GB18599-2001《一般工业固体废物储存、处置场污染控制标准》及其修改清单。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tcBorders>
              <w:top w:val="single" w:color="auto" w:sz="4" w:space="0"/>
              <w:left w:val="single" w:color="auto" w:sz="4" w:space="0"/>
              <w:bottom w:val="single" w:color="auto" w:sz="4" w:space="0"/>
              <w:right w:val="single" w:color="auto" w:sz="4" w:space="0"/>
            </w:tcBorders>
          </w:tcPr>
          <w:p>
            <w:pPr>
              <w:adjustRightInd w:val="0"/>
              <w:snapToGrid w:val="0"/>
              <w:spacing w:after="120" w:line="320" w:lineRule="atLeast"/>
              <w:outlineLvl w:val="0"/>
              <w:rPr>
                <w:rFonts w:ascii="Times New Roman" w:hAnsi="Times New Roman"/>
                <w:b/>
                <w:bCs/>
                <w:color w:val="auto"/>
              </w:rPr>
            </w:pPr>
            <w:r>
              <w:rPr>
                <w:rFonts w:ascii="Times New Roman" w:hAnsi="Times New Roman"/>
                <w:b/>
                <w:bCs/>
                <w:color w:val="auto"/>
              </w:rPr>
              <w:t>总</w:t>
            </w:r>
          </w:p>
          <w:p>
            <w:pPr>
              <w:adjustRightInd w:val="0"/>
              <w:snapToGrid w:val="0"/>
              <w:spacing w:after="120" w:line="320" w:lineRule="atLeast"/>
              <w:outlineLvl w:val="0"/>
              <w:rPr>
                <w:rFonts w:ascii="Times New Roman" w:hAnsi="Times New Roman"/>
                <w:b/>
                <w:bCs/>
                <w:color w:val="auto"/>
              </w:rPr>
            </w:pPr>
            <w:r>
              <w:rPr>
                <w:rFonts w:ascii="Times New Roman" w:hAnsi="Times New Roman"/>
                <w:b/>
                <w:bCs/>
                <w:color w:val="auto"/>
              </w:rPr>
              <w:t>量</w:t>
            </w:r>
          </w:p>
          <w:p>
            <w:pPr>
              <w:adjustRightInd w:val="0"/>
              <w:snapToGrid w:val="0"/>
              <w:spacing w:after="120" w:line="320" w:lineRule="atLeast"/>
              <w:outlineLvl w:val="0"/>
              <w:rPr>
                <w:rFonts w:ascii="Times New Roman" w:hAnsi="Times New Roman"/>
                <w:b/>
                <w:bCs/>
                <w:color w:val="auto"/>
              </w:rPr>
            </w:pPr>
            <w:r>
              <w:rPr>
                <w:rFonts w:ascii="Times New Roman" w:hAnsi="Times New Roman"/>
                <w:b/>
                <w:bCs/>
                <w:color w:val="auto"/>
              </w:rPr>
              <w:t>控</w:t>
            </w:r>
          </w:p>
          <w:p>
            <w:pPr>
              <w:adjustRightInd w:val="0"/>
              <w:snapToGrid w:val="0"/>
              <w:spacing w:after="120" w:line="320" w:lineRule="atLeast"/>
              <w:outlineLvl w:val="0"/>
              <w:rPr>
                <w:rFonts w:ascii="Times New Roman" w:hAnsi="Times New Roman"/>
                <w:b/>
                <w:bCs/>
                <w:color w:val="auto"/>
              </w:rPr>
            </w:pPr>
            <w:r>
              <w:rPr>
                <w:rFonts w:ascii="Times New Roman" w:hAnsi="Times New Roman"/>
                <w:b/>
                <w:bCs/>
                <w:color w:val="auto"/>
              </w:rPr>
              <w:t>制</w:t>
            </w:r>
          </w:p>
          <w:p>
            <w:pPr>
              <w:adjustRightInd w:val="0"/>
              <w:snapToGrid w:val="0"/>
              <w:spacing w:after="120" w:line="320" w:lineRule="atLeast"/>
              <w:outlineLvl w:val="0"/>
              <w:rPr>
                <w:rFonts w:ascii="Times New Roman" w:hAnsi="Times New Roman"/>
                <w:b/>
                <w:bCs/>
                <w:color w:val="auto"/>
              </w:rPr>
            </w:pPr>
            <w:r>
              <w:rPr>
                <w:rFonts w:ascii="Times New Roman" w:hAnsi="Times New Roman"/>
                <w:b/>
                <w:bCs/>
                <w:color w:val="auto"/>
              </w:rPr>
              <w:t>指</w:t>
            </w:r>
          </w:p>
          <w:p>
            <w:pPr>
              <w:adjustRightInd w:val="0"/>
              <w:snapToGrid w:val="0"/>
              <w:spacing w:after="120" w:line="320" w:lineRule="atLeast"/>
              <w:outlineLvl w:val="0"/>
              <w:rPr>
                <w:rFonts w:ascii="Times New Roman" w:hAnsi="Times New Roman"/>
                <w:b/>
                <w:bCs/>
                <w:color w:val="auto"/>
              </w:rPr>
            </w:pPr>
            <w:r>
              <w:rPr>
                <w:rFonts w:ascii="Times New Roman" w:hAnsi="Times New Roman"/>
                <w:b/>
                <w:bCs/>
                <w:color w:val="auto"/>
              </w:rPr>
              <w:t>标</w:t>
            </w:r>
          </w:p>
        </w:tc>
        <w:tc>
          <w:tcPr>
            <w:tcW w:w="4679" w:type="pct"/>
            <w:tcBorders>
              <w:top w:val="single" w:color="auto" w:sz="4" w:space="0"/>
              <w:left w:val="single" w:color="auto" w:sz="4" w:space="0"/>
              <w:bottom w:val="single" w:color="auto" w:sz="4" w:space="0"/>
              <w:right w:val="single" w:color="auto" w:sz="4" w:space="0"/>
            </w:tcBorders>
          </w:tcPr>
          <w:p>
            <w:pPr>
              <w:pStyle w:val="94"/>
              <w:adjustRightInd w:val="0"/>
              <w:spacing w:line="336" w:lineRule="auto"/>
              <w:rPr>
                <w:rFonts w:ascii="Times New Roman" w:hAnsi="Times New Roman"/>
                <w:color w:val="auto"/>
              </w:rPr>
            </w:pPr>
            <w:r>
              <w:rPr>
                <w:rFonts w:ascii="Times New Roman" w:hAnsi="Times New Roman"/>
                <w:color w:val="auto"/>
              </w:rPr>
              <w:t>1、</w:t>
            </w:r>
            <w:r>
              <w:rPr>
                <w:rFonts w:hint="eastAsia" w:ascii="Times New Roman" w:hAnsi="Times New Roman"/>
                <w:color w:val="auto"/>
              </w:rPr>
              <w:t>废水</w:t>
            </w:r>
          </w:p>
          <w:p>
            <w:pPr>
              <w:pStyle w:val="94"/>
              <w:adjustRightInd w:val="0"/>
              <w:spacing w:line="336" w:lineRule="auto"/>
              <w:ind w:firstLine="429" w:firstLineChars="179"/>
              <w:rPr>
                <w:rFonts w:ascii="Times New Roman" w:hAnsi="Times New Roman"/>
                <w:color w:val="auto"/>
              </w:rPr>
            </w:pPr>
            <w:r>
              <w:rPr>
                <w:rFonts w:hint="eastAsia" w:ascii="Times New Roman" w:hAnsi="Times New Roman"/>
                <w:color w:val="auto"/>
              </w:rPr>
              <w:t>技改</w:t>
            </w:r>
            <w:r>
              <w:rPr>
                <w:rFonts w:ascii="Times New Roman" w:hAnsi="Times New Roman"/>
                <w:color w:val="auto"/>
              </w:rPr>
              <w:t>项目</w:t>
            </w:r>
            <w:r>
              <w:rPr>
                <w:rFonts w:hint="eastAsia" w:ascii="Times New Roman" w:hAnsi="Times New Roman"/>
                <w:color w:val="auto"/>
              </w:rPr>
              <w:t>仅产生的锅炉废水，全部回用于造纸厂现有项目造纸工段</w:t>
            </w:r>
            <w:r>
              <w:rPr>
                <w:rFonts w:ascii="Times New Roman" w:hAnsi="Times New Roman"/>
                <w:color w:val="auto"/>
              </w:rPr>
              <w:t>，</w:t>
            </w:r>
            <w:r>
              <w:rPr>
                <w:rFonts w:hint="eastAsia" w:ascii="Times New Roman" w:hAnsi="Times New Roman"/>
                <w:color w:val="auto"/>
              </w:rPr>
              <w:t>无废水外排，</w:t>
            </w:r>
            <w:r>
              <w:rPr>
                <w:rFonts w:ascii="Times New Roman" w:hAnsi="Times New Roman"/>
                <w:color w:val="auto"/>
              </w:rPr>
              <w:t>无废水</w:t>
            </w:r>
            <w:r>
              <w:rPr>
                <w:rFonts w:hint="eastAsia" w:ascii="Times New Roman" w:hAnsi="Times New Roman"/>
                <w:color w:val="auto"/>
              </w:rPr>
              <w:t>污染物</w:t>
            </w:r>
            <w:r>
              <w:rPr>
                <w:rFonts w:ascii="Times New Roman" w:hAnsi="Times New Roman"/>
                <w:color w:val="auto"/>
              </w:rPr>
              <w:t>排放总量。</w:t>
            </w:r>
          </w:p>
          <w:p>
            <w:pPr>
              <w:pStyle w:val="94"/>
              <w:adjustRightInd w:val="0"/>
              <w:spacing w:line="336" w:lineRule="auto"/>
              <w:rPr>
                <w:rFonts w:ascii="Times New Roman" w:hAnsi="Times New Roman"/>
                <w:color w:val="auto"/>
              </w:rPr>
            </w:pPr>
            <w:r>
              <w:rPr>
                <w:rFonts w:ascii="Times New Roman" w:hAnsi="Times New Roman"/>
                <w:color w:val="auto"/>
              </w:rPr>
              <w:t>2、废气</w:t>
            </w:r>
          </w:p>
          <w:p>
            <w:pPr>
              <w:pStyle w:val="94"/>
              <w:adjustRightInd w:val="0"/>
              <w:spacing w:line="336" w:lineRule="auto"/>
              <w:ind w:firstLine="429" w:firstLineChars="179"/>
              <w:rPr>
                <w:rFonts w:ascii="Times New Roman" w:hAnsi="Times New Roman"/>
                <w:color w:val="auto"/>
              </w:rPr>
            </w:pPr>
            <w:r>
              <w:rPr>
                <w:rFonts w:ascii="Times New Roman" w:hAnsi="Times New Roman"/>
                <w:color w:val="auto"/>
              </w:rPr>
              <w:t>项目锅炉烧生物质燃料，产生二氧化硫和氮氧化物排放总量。无VOC的排放。</w:t>
            </w:r>
          </w:p>
          <w:p>
            <w:pPr>
              <w:pStyle w:val="94"/>
              <w:adjustRightInd w:val="0"/>
              <w:spacing w:line="336" w:lineRule="auto"/>
              <w:ind w:firstLine="429" w:firstLineChars="179"/>
              <w:rPr>
                <w:rFonts w:ascii="Times New Roman" w:hAnsi="Times New Roman"/>
                <w:color w:val="auto"/>
              </w:rPr>
            </w:pPr>
            <w:r>
              <w:rPr>
                <w:rFonts w:ascii="Times New Roman" w:hAnsi="Times New Roman"/>
                <w:color w:val="auto"/>
              </w:rPr>
              <w:t>废气量</w:t>
            </w:r>
            <w:r>
              <w:rPr>
                <w:rFonts w:ascii="Times New Roman" w:hAnsi="Times New Roman"/>
                <w:color w:val="auto"/>
              </w:rPr>
              <w:t>19696.29m³/d，14181.3万m³/a</w:t>
            </w:r>
          </w:p>
          <w:p>
            <w:pPr>
              <w:pStyle w:val="94"/>
              <w:adjustRightInd w:val="0"/>
              <w:spacing w:line="336" w:lineRule="auto"/>
              <w:ind w:firstLine="480" w:firstLineChars="200"/>
              <w:rPr>
                <w:rFonts w:ascii="Times New Roman" w:hAnsi="Times New Roman"/>
                <w:color w:val="auto"/>
              </w:rPr>
            </w:pPr>
            <w:r>
              <w:rPr>
                <w:rFonts w:ascii="Times New Roman" w:hAnsi="Times New Roman"/>
                <w:color w:val="auto"/>
              </w:rPr>
              <w:t>二氧化硫：11.05t/a</w:t>
            </w:r>
          </w:p>
          <w:p>
            <w:pPr>
              <w:pStyle w:val="94"/>
              <w:adjustRightInd w:val="0"/>
              <w:spacing w:line="336" w:lineRule="auto"/>
              <w:ind w:firstLine="480" w:firstLineChars="200"/>
              <w:rPr>
                <w:rFonts w:ascii="Times New Roman" w:hAnsi="Times New Roman"/>
                <w:color w:val="auto"/>
              </w:rPr>
            </w:pPr>
            <w:r>
              <w:rPr>
                <w:rFonts w:ascii="Times New Roman" w:hAnsi="Times New Roman"/>
                <w:color w:val="auto"/>
              </w:rPr>
              <w:t>氮氧化物：18.44t/a</w:t>
            </w:r>
          </w:p>
          <w:p>
            <w:pPr>
              <w:pStyle w:val="94"/>
              <w:adjustRightInd w:val="0"/>
              <w:spacing w:line="336" w:lineRule="auto"/>
              <w:ind w:firstLine="480" w:firstLineChars="200"/>
              <w:rPr>
                <w:rFonts w:ascii="Times New Roman" w:hAnsi="Times New Roman"/>
                <w:color w:val="auto"/>
              </w:rPr>
            </w:pPr>
            <w:r>
              <w:rPr>
                <w:rFonts w:ascii="Times New Roman" w:hAnsi="Times New Roman"/>
                <w:color w:val="auto"/>
              </w:rPr>
              <w:t>颗粒物：1.48t/a</w:t>
            </w:r>
          </w:p>
          <w:p>
            <w:pPr>
              <w:pStyle w:val="94"/>
              <w:adjustRightInd w:val="0"/>
              <w:spacing w:line="336" w:lineRule="auto"/>
              <w:ind w:firstLine="480" w:firstLineChars="200"/>
              <w:rPr>
                <w:rFonts w:ascii="Times New Roman" w:hAnsi="Times New Roman"/>
                <w:color w:val="auto"/>
              </w:rPr>
            </w:pPr>
            <w:r>
              <w:rPr>
                <w:rFonts w:ascii="Times New Roman" w:hAnsi="Times New Roman"/>
                <w:color w:val="auto"/>
              </w:rPr>
              <w:t>VOCs：0t/a；</w:t>
            </w:r>
          </w:p>
          <w:p>
            <w:pPr>
              <w:adjustRightInd w:val="0"/>
              <w:snapToGrid w:val="0"/>
              <w:jc w:val="center"/>
              <w:rPr>
                <w:rFonts w:ascii="Times New Roman" w:hAnsi="Times New Roman"/>
                <w:b/>
                <w:color w:val="auto"/>
                <w:kern w:val="2"/>
                <w:sz w:val="21"/>
                <w:szCs w:val="21"/>
              </w:rPr>
            </w:pPr>
            <w:r>
              <w:rPr>
                <w:rFonts w:ascii="Times New Roman" w:hAnsi="Times New Roman"/>
                <w:b/>
                <w:color w:val="auto"/>
                <w:kern w:val="2"/>
                <w:sz w:val="21"/>
                <w:szCs w:val="21"/>
              </w:rPr>
              <w:t>表4-8  项目总量控制指标变化一览表 单位t/a</w:t>
            </w:r>
          </w:p>
          <w:tbl>
            <w:tblPr>
              <w:tblStyle w:val="3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0"/>
              <w:gridCol w:w="1964"/>
              <w:gridCol w:w="2939"/>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pPr>
                    <w:pStyle w:val="94"/>
                    <w:adjustRightIn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项目</w:t>
                  </w:r>
                </w:p>
              </w:tc>
              <w:tc>
                <w:tcPr>
                  <w:tcW w:w="1154" w:type="pct"/>
                  <w:vAlign w:val="center"/>
                </w:tcPr>
                <w:p>
                  <w:pPr>
                    <w:pStyle w:val="94"/>
                    <w:adjustRightIn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现有排放量</w:t>
                  </w:r>
                </w:p>
              </w:tc>
              <w:tc>
                <w:tcPr>
                  <w:tcW w:w="1727" w:type="pct"/>
                  <w:vAlign w:val="center"/>
                </w:tcPr>
                <w:p>
                  <w:pPr>
                    <w:pStyle w:val="94"/>
                    <w:adjustRightIn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本次改造后排放量</w:t>
                  </w:r>
                </w:p>
              </w:tc>
              <w:tc>
                <w:tcPr>
                  <w:tcW w:w="1155" w:type="pct"/>
                  <w:vAlign w:val="center"/>
                </w:tcPr>
                <w:p>
                  <w:pPr>
                    <w:pStyle w:val="94"/>
                    <w:adjustRightIn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pPr>
                    <w:pStyle w:val="94"/>
                    <w:adjustRightInd w:val="0"/>
                    <w:spacing w:line="276" w:lineRule="auto"/>
                    <w:jc w:val="center"/>
                    <w:rPr>
                      <w:rFonts w:ascii="Times New Roman" w:hAnsi="Times New Roman"/>
                      <w:color w:val="auto"/>
                      <w:sz w:val="21"/>
                      <w:szCs w:val="21"/>
                    </w:rPr>
                  </w:pPr>
                  <w:r>
                    <w:rPr>
                      <w:rFonts w:ascii="Times New Roman" w:hAnsi="Times New Roman"/>
                      <w:color w:val="auto"/>
                      <w:sz w:val="21"/>
                      <w:szCs w:val="21"/>
                    </w:rPr>
                    <w:t>二氧化硫</w:t>
                  </w:r>
                </w:p>
              </w:tc>
              <w:tc>
                <w:tcPr>
                  <w:tcW w:w="1154"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13.9</w:t>
                  </w:r>
                </w:p>
              </w:tc>
              <w:tc>
                <w:tcPr>
                  <w:tcW w:w="1727" w:type="pct"/>
                  <w:vAlign w:val="center"/>
                </w:tcPr>
                <w:p>
                  <w:pPr>
                    <w:pStyle w:val="94"/>
                    <w:adjustRightInd w:val="0"/>
                    <w:spacing w:line="276" w:lineRule="auto"/>
                    <w:jc w:val="center"/>
                    <w:rPr>
                      <w:rFonts w:ascii="Times New Roman" w:hAnsi="Times New Roman"/>
                      <w:color w:val="auto"/>
                      <w:sz w:val="21"/>
                      <w:szCs w:val="21"/>
                    </w:rPr>
                  </w:pPr>
                  <w:r>
                    <w:rPr>
                      <w:rFonts w:ascii="Times New Roman" w:hAnsi="Times New Roman"/>
                      <w:color w:val="auto"/>
                      <w:sz w:val="21"/>
                      <w:szCs w:val="21"/>
                    </w:rPr>
                    <w:t>11.05</w:t>
                  </w:r>
                </w:p>
              </w:tc>
              <w:tc>
                <w:tcPr>
                  <w:tcW w:w="1155" w:type="pct"/>
                  <w:vAlign w:val="center"/>
                </w:tcPr>
                <w:p>
                  <w:pPr>
                    <w:pStyle w:val="94"/>
                    <w:adjustRightIn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pPr>
                    <w:pStyle w:val="94"/>
                    <w:adjustRightInd w:val="0"/>
                    <w:spacing w:line="276" w:lineRule="auto"/>
                    <w:jc w:val="center"/>
                    <w:rPr>
                      <w:rFonts w:ascii="Times New Roman" w:hAnsi="Times New Roman"/>
                      <w:color w:val="auto"/>
                      <w:sz w:val="21"/>
                      <w:szCs w:val="21"/>
                    </w:rPr>
                  </w:pPr>
                  <w:r>
                    <w:rPr>
                      <w:rFonts w:ascii="Times New Roman" w:hAnsi="Times New Roman"/>
                      <w:color w:val="auto"/>
                      <w:sz w:val="21"/>
                      <w:szCs w:val="21"/>
                    </w:rPr>
                    <w:t>氮氧化物</w:t>
                  </w:r>
                </w:p>
              </w:tc>
              <w:tc>
                <w:tcPr>
                  <w:tcW w:w="1154"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18.8</w:t>
                  </w:r>
                </w:p>
              </w:tc>
              <w:tc>
                <w:tcPr>
                  <w:tcW w:w="1727" w:type="pct"/>
                  <w:vAlign w:val="center"/>
                </w:tcPr>
                <w:p>
                  <w:pPr>
                    <w:pStyle w:val="94"/>
                    <w:adjustRightInd w:val="0"/>
                    <w:spacing w:line="276" w:lineRule="auto"/>
                    <w:jc w:val="center"/>
                    <w:rPr>
                      <w:rFonts w:ascii="Times New Roman" w:hAnsi="Times New Roman"/>
                      <w:color w:val="auto"/>
                      <w:sz w:val="21"/>
                      <w:szCs w:val="21"/>
                    </w:rPr>
                  </w:pPr>
                  <w:r>
                    <w:rPr>
                      <w:rFonts w:ascii="Times New Roman" w:hAnsi="Times New Roman"/>
                      <w:color w:val="auto"/>
                      <w:sz w:val="21"/>
                      <w:szCs w:val="21"/>
                    </w:rPr>
                    <w:t>18.44</w:t>
                  </w:r>
                </w:p>
              </w:tc>
              <w:tc>
                <w:tcPr>
                  <w:tcW w:w="1155" w:type="pct"/>
                  <w:vAlign w:val="center"/>
                </w:tcPr>
                <w:p>
                  <w:pPr>
                    <w:pStyle w:val="94"/>
                    <w:adjustRightIn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4" w:type="pct"/>
                  <w:vAlign w:val="center"/>
                </w:tcPr>
                <w:p>
                  <w:pPr>
                    <w:pStyle w:val="94"/>
                    <w:adjustRightInd w:val="0"/>
                    <w:spacing w:line="276" w:lineRule="auto"/>
                    <w:jc w:val="center"/>
                    <w:rPr>
                      <w:rFonts w:ascii="Times New Roman" w:hAnsi="Times New Roman"/>
                      <w:color w:val="auto"/>
                      <w:sz w:val="21"/>
                      <w:szCs w:val="21"/>
                    </w:rPr>
                  </w:pPr>
                  <w:r>
                    <w:rPr>
                      <w:rFonts w:ascii="Times New Roman" w:hAnsi="Times New Roman"/>
                      <w:color w:val="auto"/>
                      <w:sz w:val="21"/>
                      <w:szCs w:val="21"/>
                    </w:rPr>
                    <w:t>颗粒物</w:t>
                  </w:r>
                </w:p>
              </w:tc>
              <w:tc>
                <w:tcPr>
                  <w:tcW w:w="1154" w:type="pc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6.6</w:t>
                  </w:r>
                </w:p>
              </w:tc>
              <w:tc>
                <w:tcPr>
                  <w:tcW w:w="1727" w:type="pct"/>
                  <w:vAlign w:val="center"/>
                </w:tcPr>
                <w:p>
                  <w:pPr>
                    <w:pStyle w:val="94"/>
                    <w:adjustRightInd w:val="0"/>
                    <w:spacing w:line="276" w:lineRule="auto"/>
                    <w:jc w:val="center"/>
                    <w:rPr>
                      <w:rFonts w:ascii="Times New Roman" w:hAnsi="Times New Roman"/>
                      <w:color w:val="auto"/>
                      <w:sz w:val="21"/>
                      <w:szCs w:val="21"/>
                    </w:rPr>
                  </w:pPr>
                  <w:r>
                    <w:rPr>
                      <w:rFonts w:ascii="Times New Roman" w:hAnsi="Times New Roman"/>
                      <w:color w:val="auto"/>
                      <w:sz w:val="21"/>
                      <w:szCs w:val="21"/>
                    </w:rPr>
                    <w:t>1.48</w:t>
                  </w:r>
                </w:p>
              </w:tc>
              <w:tc>
                <w:tcPr>
                  <w:tcW w:w="1155" w:type="pct"/>
                  <w:vAlign w:val="center"/>
                </w:tcPr>
                <w:p>
                  <w:pPr>
                    <w:pStyle w:val="94"/>
                    <w:adjustRightInd w:val="0"/>
                    <w:spacing w:line="276" w:lineRule="auto"/>
                    <w:jc w:val="center"/>
                    <w:rPr>
                      <w:rFonts w:ascii="Times New Roman" w:hAnsi="Times New Roman"/>
                      <w:color w:val="auto"/>
                      <w:sz w:val="21"/>
                      <w:szCs w:val="21"/>
                    </w:rPr>
                  </w:pPr>
                  <w:r>
                    <w:rPr>
                      <w:rFonts w:hint="eastAsia" w:ascii="Times New Roman" w:hAnsi="Times New Roman"/>
                      <w:color w:val="auto"/>
                      <w:sz w:val="21"/>
                      <w:szCs w:val="21"/>
                    </w:rPr>
                    <w:t>-5.12</w:t>
                  </w:r>
                </w:p>
              </w:tc>
            </w:tr>
          </w:tbl>
          <w:p>
            <w:pPr>
              <w:pStyle w:val="94"/>
              <w:adjustRightInd w:val="0"/>
              <w:spacing w:before="163" w:beforeLines="50" w:line="360" w:lineRule="auto"/>
              <w:ind w:firstLine="480" w:firstLineChars="200"/>
              <w:rPr>
                <w:rFonts w:ascii="Times New Roman" w:hAnsi="Times New Roman"/>
                <w:color w:val="auto"/>
              </w:rPr>
            </w:pPr>
            <w:r>
              <w:rPr>
                <w:rFonts w:ascii="Times New Roman" w:hAnsi="Times New Roman"/>
                <w:color w:val="auto"/>
              </w:rPr>
              <w:t>项目建成后排放的总量均减少</w:t>
            </w:r>
            <w:r>
              <w:rPr>
                <w:rFonts w:hint="eastAsia" w:ascii="Times New Roman" w:hAnsi="Times New Roman"/>
                <w:color w:val="auto"/>
              </w:rPr>
              <w:t>，</w:t>
            </w:r>
            <w:r>
              <w:rPr>
                <w:rFonts w:ascii="Times New Roman" w:hAnsi="Times New Roman"/>
                <w:color w:val="auto"/>
              </w:rPr>
              <w:t>项目现有总量满足技改</w:t>
            </w:r>
            <w:r>
              <w:rPr>
                <w:rFonts w:hint="eastAsia" w:ascii="Times New Roman" w:hAnsi="Times New Roman"/>
                <w:color w:val="auto"/>
              </w:rPr>
              <w:t>排污</w:t>
            </w:r>
            <w:r>
              <w:rPr>
                <w:rFonts w:ascii="Times New Roman" w:hAnsi="Times New Roman"/>
                <w:color w:val="auto"/>
              </w:rPr>
              <w:t>需求，不需申请新的总量。</w:t>
            </w:r>
          </w:p>
          <w:p>
            <w:pPr>
              <w:pStyle w:val="94"/>
              <w:numPr>
                <w:ilvl w:val="0"/>
                <w:numId w:val="4"/>
              </w:numPr>
              <w:adjustRightInd w:val="0"/>
              <w:spacing w:line="360" w:lineRule="auto"/>
              <w:rPr>
                <w:rFonts w:ascii="Times New Roman" w:hAnsi="Times New Roman"/>
                <w:color w:val="auto"/>
              </w:rPr>
            </w:pPr>
            <w:r>
              <w:rPr>
                <w:rFonts w:hint="eastAsia" w:ascii="Times New Roman" w:hAnsi="Times New Roman"/>
                <w:color w:val="auto"/>
              </w:rPr>
              <w:t>固废</w:t>
            </w:r>
          </w:p>
          <w:p>
            <w:pPr>
              <w:pStyle w:val="94"/>
              <w:adjustRightInd w:val="0"/>
              <w:spacing w:line="360" w:lineRule="auto"/>
              <w:ind w:firstLine="480" w:firstLineChars="200"/>
              <w:rPr>
                <w:rFonts w:ascii="Times New Roman" w:hAnsi="Times New Roman"/>
                <w:color w:val="auto"/>
              </w:rPr>
            </w:pPr>
            <w:r>
              <w:rPr>
                <w:rFonts w:ascii="Times New Roman" w:hAnsi="Times New Roman"/>
                <w:color w:val="auto"/>
              </w:rPr>
              <w:t>项目固废处理率100%。</w:t>
            </w:r>
          </w:p>
          <w:p>
            <w:pPr>
              <w:pStyle w:val="94"/>
              <w:adjustRightInd w:val="0"/>
              <w:spacing w:line="336" w:lineRule="auto"/>
              <w:rPr>
                <w:rFonts w:ascii="Times New Roman" w:hAnsi="Times New Roman"/>
                <w:color w:val="auto"/>
              </w:rPr>
            </w:pPr>
          </w:p>
          <w:p>
            <w:pPr>
              <w:pStyle w:val="94"/>
              <w:adjustRightInd w:val="0"/>
              <w:spacing w:line="336" w:lineRule="auto"/>
              <w:rPr>
                <w:rFonts w:ascii="Times New Roman" w:hAnsi="Times New Roman"/>
                <w:color w:val="auto"/>
              </w:rPr>
            </w:pPr>
          </w:p>
          <w:p>
            <w:pPr>
              <w:pStyle w:val="94"/>
              <w:adjustRightInd w:val="0"/>
              <w:spacing w:line="336" w:lineRule="auto"/>
              <w:rPr>
                <w:rFonts w:ascii="Times New Roman" w:hAnsi="Times New Roman"/>
                <w:color w:val="auto"/>
              </w:rPr>
            </w:pPr>
          </w:p>
          <w:p>
            <w:pPr>
              <w:pStyle w:val="94"/>
              <w:adjustRightInd w:val="0"/>
              <w:spacing w:line="336" w:lineRule="auto"/>
              <w:rPr>
                <w:rFonts w:ascii="Times New Roman" w:hAnsi="Times New Roman"/>
                <w:color w:val="auto"/>
              </w:rPr>
            </w:pPr>
          </w:p>
          <w:p>
            <w:pPr>
              <w:pStyle w:val="94"/>
              <w:adjustRightInd w:val="0"/>
              <w:spacing w:line="336" w:lineRule="auto"/>
              <w:rPr>
                <w:rFonts w:ascii="Times New Roman" w:hAnsi="Times New Roman"/>
                <w:color w:val="auto"/>
              </w:rPr>
            </w:pPr>
          </w:p>
          <w:p>
            <w:pPr>
              <w:pStyle w:val="94"/>
              <w:adjustRightInd w:val="0"/>
              <w:spacing w:line="336" w:lineRule="auto"/>
              <w:rPr>
                <w:rFonts w:ascii="Times New Roman" w:hAnsi="Times New Roman"/>
                <w:color w:val="auto"/>
              </w:rPr>
            </w:pPr>
          </w:p>
          <w:p>
            <w:pPr>
              <w:pStyle w:val="94"/>
              <w:adjustRightInd w:val="0"/>
              <w:spacing w:line="336" w:lineRule="auto"/>
              <w:rPr>
                <w:rFonts w:ascii="Times New Roman" w:hAnsi="Times New Roman"/>
                <w:color w:val="auto"/>
              </w:rPr>
            </w:pPr>
          </w:p>
          <w:p>
            <w:pPr>
              <w:pStyle w:val="94"/>
              <w:adjustRightInd w:val="0"/>
              <w:spacing w:line="336" w:lineRule="auto"/>
              <w:rPr>
                <w:rFonts w:ascii="Times New Roman" w:hAnsi="Times New Roman"/>
                <w:color w:val="auto"/>
              </w:rPr>
            </w:pPr>
          </w:p>
          <w:p>
            <w:pPr>
              <w:pStyle w:val="94"/>
              <w:adjustRightInd w:val="0"/>
              <w:spacing w:line="336" w:lineRule="auto"/>
              <w:rPr>
                <w:rFonts w:ascii="Times New Roman" w:hAnsi="Times New Roman"/>
                <w:color w:val="auto"/>
              </w:rPr>
            </w:pPr>
          </w:p>
          <w:p>
            <w:pPr>
              <w:adjustRightInd w:val="0"/>
              <w:snapToGrid w:val="0"/>
              <w:rPr>
                <w:rFonts w:ascii="Times New Roman" w:hAnsi="Times New Roman"/>
                <w:color w:val="auto"/>
              </w:rPr>
            </w:pPr>
          </w:p>
          <w:p>
            <w:pPr>
              <w:adjustRightInd w:val="0"/>
              <w:snapToGrid w:val="0"/>
              <w:spacing w:line="360" w:lineRule="auto"/>
              <w:rPr>
                <w:rFonts w:ascii="Times New Roman" w:hAnsi="Times New Roman"/>
                <w:color w:val="auto"/>
              </w:rPr>
            </w:pPr>
          </w:p>
        </w:tc>
      </w:tr>
    </w:tbl>
    <w:p>
      <w:pPr>
        <w:adjustRightInd w:val="0"/>
        <w:snapToGrid w:val="0"/>
        <w:spacing w:after="120" w:line="320" w:lineRule="atLeast"/>
        <w:outlineLvl w:val="0"/>
        <w:rPr>
          <w:rFonts w:ascii="Times New Roman" w:hAnsi="Times New Roman"/>
          <w:b/>
          <w:bCs/>
          <w:color w:val="auto"/>
          <w:sz w:val="30"/>
          <w:szCs w:val="30"/>
        </w:rPr>
      </w:pPr>
      <w:bookmarkStart w:id="40" w:name="_Toc11484"/>
      <w:r>
        <w:rPr>
          <w:rFonts w:ascii="Times New Roman" w:hAnsi="Times New Roman"/>
          <w:b/>
          <w:bCs/>
          <w:color w:val="auto"/>
          <w:sz w:val="30"/>
          <w:szCs w:val="30"/>
        </w:rPr>
        <w:br w:type="page"/>
      </w:r>
    </w:p>
    <w:p>
      <w:pPr>
        <w:adjustRightInd w:val="0"/>
        <w:snapToGrid w:val="0"/>
        <w:spacing w:line="320" w:lineRule="atLeast"/>
        <w:outlineLvl w:val="0"/>
        <w:rPr>
          <w:rFonts w:ascii="Times New Roman" w:hAnsi="Times New Roman"/>
          <w:b/>
          <w:bCs/>
          <w:color w:val="auto"/>
          <w:sz w:val="30"/>
          <w:szCs w:val="30"/>
        </w:rPr>
      </w:pPr>
      <w:r>
        <w:rPr>
          <w:rFonts w:ascii="Times New Roman" w:hAnsi="Times New Roman"/>
          <w:b/>
          <w:bCs/>
          <w:color w:val="auto"/>
          <w:sz w:val="30"/>
          <w:szCs w:val="30"/>
        </w:rPr>
        <w:t>表五、建设项目工程分析</w:t>
      </w:r>
      <w:bookmarkEnd w:id="40"/>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Times New Roman" w:hAnsi="Times New Roman"/>
                <w:b/>
                <w:bCs/>
                <w:color w:val="auto"/>
              </w:rPr>
            </w:pPr>
            <w:r>
              <w:rPr>
                <w:rFonts w:ascii="Times New Roman" w:hAnsi="Times New Roman"/>
                <w:b/>
                <w:bCs/>
                <w:color w:val="auto"/>
              </w:rPr>
              <w:t>工艺流程简述（图示）：</w:t>
            </w:r>
          </w:p>
          <w:p>
            <w:pPr>
              <w:adjustRightInd w:val="0"/>
              <w:snapToGrid w:val="0"/>
              <w:spacing w:line="360" w:lineRule="auto"/>
              <w:rPr>
                <w:rFonts w:ascii="Times New Roman" w:hAnsi="Times New Roman"/>
                <w:b/>
                <w:bCs/>
                <w:color w:val="auto"/>
              </w:rPr>
            </w:pPr>
            <w:r>
              <w:rPr>
                <w:rFonts w:ascii="Times New Roman" w:hAnsi="Times New Roman"/>
                <w:b/>
                <w:bCs/>
                <w:color w:val="auto"/>
              </w:rPr>
              <w:t>一、施工期</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技改</w:t>
            </w:r>
            <w:r>
              <w:rPr>
                <w:rFonts w:ascii="Times New Roman" w:hAnsi="Times New Roman"/>
                <w:color w:val="auto"/>
              </w:rPr>
              <w:t>项目施工</w:t>
            </w:r>
            <w:r>
              <w:rPr>
                <w:rFonts w:ascii="Times New Roman" w:hAnsi="Times New Roman"/>
                <w:color w:val="auto"/>
                <w:kern w:val="0"/>
                <w:szCs w:val="22"/>
                <w:lang w:val="zh-CN"/>
              </w:rPr>
              <w:t>总工期</w:t>
            </w:r>
            <w:r>
              <w:rPr>
                <w:rFonts w:ascii="Times New Roman" w:hAnsi="Times New Roman"/>
                <w:color w:val="auto"/>
                <w:kern w:val="0"/>
                <w:szCs w:val="22"/>
              </w:rPr>
              <w:t>3</w:t>
            </w:r>
            <w:r>
              <w:rPr>
                <w:rFonts w:ascii="Times New Roman" w:hAnsi="Times New Roman"/>
                <w:color w:val="auto"/>
                <w:kern w:val="0"/>
                <w:szCs w:val="22"/>
                <w:lang w:val="zh-CN"/>
              </w:rPr>
              <w:t>个月</w:t>
            </w:r>
            <w:r>
              <w:rPr>
                <w:rFonts w:ascii="Times New Roman" w:hAnsi="Times New Roman"/>
                <w:color w:val="auto"/>
              </w:rPr>
              <w:t>。</w:t>
            </w:r>
            <w:r>
              <w:rPr>
                <w:rFonts w:hint="eastAsia" w:ascii="Times New Roman" w:hAnsi="Times New Roman"/>
                <w:color w:val="auto"/>
              </w:rPr>
              <w:t>全部在现有</w:t>
            </w:r>
            <w:r>
              <w:rPr>
                <w:rFonts w:ascii="Times New Roman" w:hAnsi="Times New Roman"/>
                <w:color w:val="auto"/>
              </w:rPr>
              <w:t>车间</w:t>
            </w:r>
            <w:r>
              <w:rPr>
                <w:rFonts w:hint="eastAsia" w:ascii="Times New Roman" w:hAnsi="Times New Roman"/>
                <w:color w:val="auto"/>
              </w:rPr>
              <w:t>内进行，基本不涉及土建</w:t>
            </w:r>
            <w:r>
              <w:rPr>
                <w:rFonts w:ascii="Times New Roman" w:hAnsi="Times New Roman"/>
                <w:color w:val="auto"/>
              </w:rPr>
              <w:t>，施工</w:t>
            </w:r>
            <w:r>
              <w:rPr>
                <w:rFonts w:hint="eastAsia" w:ascii="Times New Roman" w:hAnsi="Times New Roman"/>
                <w:color w:val="auto"/>
              </w:rPr>
              <w:t>主要内容</w:t>
            </w:r>
            <w:r>
              <w:rPr>
                <w:rFonts w:ascii="Times New Roman" w:hAnsi="Times New Roman"/>
                <w:color w:val="auto"/>
              </w:rPr>
              <w:t>为设备</w:t>
            </w:r>
            <w:r>
              <w:rPr>
                <w:rFonts w:hint="eastAsia" w:ascii="Times New Roman" w:hAnsi="Times New Roman"/>
                <w:color w:val="auto"/>
              </w:rPr>
              <w:t>拆除和</w:t>
            </w:r>
            <w:r>
              <w:rPr>
                <w:rFonts w:ascii="Times New Roman" w:hAnsi="Times New Roman"/>
                <w:color w:val="auto"/>
              </w:rPr>
              <w:t>安装。</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项目安装顺序为先在老锅炉旁安装第一台锅炉，安装好后将生产用的管线接入新锅炉，供生产使用。接着拆除老锅炉，并安装另一台新锅炉。预计停工3天。</w:t>
            </w:r>
          </w:p>
          <w:p>
            <w:pPr>
              <w:adjustRightInd w:val="0"/>
              <w:snapToGrid w:val="0"/>
              <w:spacing w:line="360" w:lineRule="auto"/>
              <w:jc w:val="center"/>
              <w:rPr>
                <w:rFonts w:ascii="Times New Roman" w:hAnsi="Times New Roman"/>
                <w:color w:val="auto"/>
              </w:rPr>
            </w:pPr>
            <w:r>
              <w:rPr>
                <w:rFonts w:ascii="Times New Roman" w:hAnsi="Times New Roman"/>
                <w:color w:val="auto"/>
              </w:rPr>
              <w:object>
                <v:shape id="_x0000_i1029" o:spt="75" type="#_x0000_t75" style="height:172.5pt;width:411.75pt;" o:ole="t" filled="f" o:preferrelative="t" stroked="f" coordsize="21600,21600">
                  <v:path/>
                  <v:fill on="f" focussize="0,0"/>
                  <v:stroke on="f" joinstyle="miter"/>
                  <v:imagedata r:id="rId21" o:title=""/>
                  <o:lock v:ext="edit" aspectratio="f"/>
                  <w10:wrap type="none"/>
                  <w10:anchorlock/>
                </v:shape>
                <o:OLEObject Type="Embed" ProgID="Visio.Drawing.11" ShapeID="_x0000_i1029" DrawAspect="Content" ObjectID="_1468075729" r:id="rId20">
                  <o:LockedField>false</o:LockedField>
                </o:OLEObject>
              </w:object>
            </w:r>
          </w:p>
          <w:p>
            <w:pPr>
              <w:adjustRightInd w:val="0"/>
              <w:snapToGrid w:val="0"/>
              <w:jc w:val="center"/>
              <w:rPr>
                <w:color w:val="auto"/>
              </w:rPr>
            </w:pPr>
            <w:r>
              <w:rPr>
                <w:rFonts w:ascii="Times New Roman" w:hAnsi="Times New Roman"/>
                <w:b/>
                <w:color w:val="auto"/>
                <w:kern w:val="2"/>
                <w:sz w:val="21"/>
                <w:szCs w:val="21"/>
              </w:rPr>
              <w:t>图5-1   施工期工艺流程</w:t>
            </w:r>
            <w:r>
              <w:rPr>
                <w:rFonts w:hint="eastAsia" w:ascii="Times New Roman" w:hAnsi="Times New Roman"/>
                <w:b/>
                <w:color w:val="auto"/>
                <w:kern w:val="2"/>
                <w:sz w:val="21"/>
                <w:szCs w:val="21"/>
              </w:rPr>
              <w:t>及</w:t>
            </w:r>
            <w:r>
              <w:rPr>
                <w:rFonts w:ascii="Times New Roman" w:hAnsi="Times New Roman"/>
                <w:b/>
                <w:color w:val="auto"/>
                <w:kern w:val="2"/>
                <w:sz w:val="21"/>
                <w:szCs w:val="21"/>
              </w:rPr>
              <w:t>产污环节</w:t>
            </w:r>
          </w:p>
          <w:p>
            <w:pPr>
              <w:adjustRightInd w:val="0"/>
              <w:snapToGrid w:val="0"/>
              <w:spacing w:line="360" w:lineRule="auto"/>
              <w:rPr>
                <w:rFonts w:ascii="Times New Roman" w:hAnsi="Times New Roman"/>
                <w:b/>
                <w:bCs/>
                <w:color w:val="auto"/>
              </w:rPr>
            </w:pPr>
            <w:r>
              <w:rPr>
                <w:rFonts w:ascii="Times New Roman" w:hAnsi="Times New Roman"/>
                <w:b/>
                <w:bCs/>
                <w:color w:val="auto"/>
              </w:rPr>
              <w:t>二、运营期</w:t>
            </w:r>
          </w:p>
          <w:p>
            <w:pPr>
              <w:adjustRightInd w:val="0"/>
              <w:snapToGrid w:val="0"/>
              <w:spacing w:line="360" w:lineRule="auto"/>
              <w:rPr>
                <w:rFonts w:ascii="Times New Roman" w:hAnsi="Times New Roman"/>
                <w:b/>
                <w:bCs/>
                <w:color w:val="auto"/>
              </w:rPr>
            </w:pPr>
            <w:bookmarkStart w:id="41" w:name="OLE_LINK2"/>
            <w:r>
              <w:rPr>
                <w:rFonts w:ascii="Times New Roman" w:hAnsi="Times New Roman"/>
                <w:b/>
                <w:bCs/>
                <w:color w:val="auto"/>
              </w:rPr>
              <w:t>1、</w:t>
            </w:r>
            <w:r>
              <w:rPr>
                <w:rFonts w:ascii="Times New Roman" w:hAnsi="Times New Roman"/>
                <w:b/>
                <w:bCs/>
                <w:color w:val="auto"/>
                <w:lang w:val="zh-CN"/>
              </w:rPr>
              <w:t>项目</w:t>
            </w:r>
            <w:r>
              <w:rPr>
                <w:rFonts w:ascii="Times New Roman" w:hAnsi="Times New Roman"/>
                <w:b/>
                <w:bCs/>
                <w:color w:val="auto"/>
              </w:rPr>
              <w:t>锅炉</w:t>
            </w:r>
            <w:r>
              <w:rPr>
                <w:rFonts w:ascii="Times New Roman" w:hAnsi="Times New Roman"/>
                <w:b/>
                <w:bCs/>
                <w:color w:val="auto"/>
                <w:lang w:val="zh-CN"/>
              </w:rPr>
              <w:t>工艺</w:t>
            </w:r>
            <w:r>
              <w:rPr>
                <w:rFonts w:ascii="Times New Roman" w:hAnsi="Times New Roman"/>
                <w:b/>
                <w:bCs/>
                <w:color w:val="auto"/>
              </w:rPr>
              <w:t>流程</w:t>
            </w:r>
            <w:r>
              <w:rPr>
                <w:rFonts w:ascii="Times New Roman" w:hAnsi="Times New Roman"/>
                <w:b/>
                <w:bCs/>
                <w:color w:val="auto"/>
                <w:lang w:val="zh-CN"/>
              </w:rPr>
              <w:t>情况</w:t>
            </w:r>
          </w:p>
          <w:p>
            <w:pPr>
              <w:pStyle w:val="16"/>
              <w:adjustRightInd w:val="0"/>
              <w:snapToGrid w:val="0"/>
              <w:spacing w:line="360" w:lineRule="auto"/>
              <w:ind w:firstLine="482" w:firstLineChars="200"/>
              <w:jc w:val="left"/>
              <w:rPr>
                <w:rFonts w:ascii="Times New Roman" w:hAnsi="Times New Roman"/>
                <w:b/>
                <w:bCs/>
                <w:color w:val="auto"/>
              </w:rPr>
            </w:pPr>
            <w:bookmarkStart w:id="42" w:name="OLE_LINK3"/>
            <w:r>
              <w:rPr>
                <w:rFonts w:ascii="Times New Roman" w:hAnsi="Times New Roman"/>
                <w:b/>
                <w:bCs/>
                <w:color w:val="auto"/>
              </w:rPr>
              <w:t>（2）技改后工艺</w:t>
            </w:r>
          </w:p>
          <w:p>
            <w:pPr>
              <w:pStyle w:val="16"/>
              <w:adjustRightInd w:val="0"/>
              <w:snapToGrid w:val="0"/>
              <w:spacing w:line="360" w:lineRule="auto"/>
              <w:ind w:firstLine="480" w:firstLineChars="200"/>
              <w:jc w:val="both"/>
              <w:rPr>
                <w:rFonts w:ascii="Times New Roman" w:hAnsi="Times New Roman"/>
                <w:color w:val="auto"/>
              </w:rPr>
            </w:pPr>
            <w:r>
              <w:rPr>
                <w:rFonts w:hint="eastAsia" w:ascii="Times New Roman" w:hAnsi="Times New Roman"/>
                <w:color w:val="auto"/>
              </w:rPr>
              <w:t>技改</w:t>
            </w:r>
            <w:r>
              <w:rPr>
                <w:rFonts w:ascii="Times New Roman" w:hAnsi="Times New Roman"/>
                <w:color w:val="auto"/>
              </w:rPr>
              <w:t>项目</w:t>
            </w:r>
            <w:r>
              <w:rPr>
                <w:rFonts w:hint="eastAsia" w:ascii="Times New Roman" w:hAnsi="Times New Roman"/>
                <w:color w:val="auto"/>
              </w:rPr>
              <w:t>拟拆除原有锅炉及配套废气处理设施，仅保留排气筒，新建生物质锅炉、配套鼓风机及</w:t>
            </w:r>
            <w:r>
              <w:rPr>
                <w:rFonts w:ascii="Times New Roman" w:hAnsi="Times New Roman"/>
                <w:color w:val="auto"/>
              </w:rPr>
              <w:t>布袋除尘</w:t>
            </w:r>
            <w:r>
              <w:rPr>
                <w:rFonts w:hint="eastAsia" w:ascii="Times New Roman" w:hAnsi="Times New Roman"/>
                <w:color w:val="auto"/>
              </w:rPr>
              <w:t>设施</w:t>
            </w:r>
            <w:r>
              <w:rPr>
                <w:rFonts w:ascii="Times New Roman" w:hAnsi="Times New Roman"/>
                <w:color w:val="auto"/>
              </w:rPr>
              <w:t>。</w:t>
            </w:r>
            <w:r>
              <w:rPr>
                <w:rFonts w:hint="eastAsia" w:ascii="Times New Roman" w:hAnsi="Times New Roman"/>
                <w:color w:val="auto"/>
              </w:rPr>
              <w:t>技改后工艺</w:t>
            </w:r>
            <w:r>
              <w:rPr>
                <w:rFonts w:ascii="Times New Roman" w:hAnsi="Times New Roman"/>
                <w:color w:val="auto"/>
              </w:rPr>
              <w:t>流程</w:t>
            </w:r>
            <w:r>
              <w:rPr>
                <w:rFonts w:hint="eastAsia" w:ascii="Times New Roman" w:hAnsi="Times New Roman"/>
                <w:color w:val="auto"/>
              </w:rPr>
              <w:t>及产污环节</w:t>
            </w:r>
            <w:r>
              <w:rPr>
                <w:rFonts w:ascii="Times New Roman" w:hAnsi="Times New Roman"/>
                <w:color w:val="auto"/>
              </w:rPr>
              <w:t>如下</w:t>
            </w:r>
            <w:r>
              <w:rPr>
                <w:rFonts w:hint="eastAsia" w:ascii="Times New Roman" w:hAnsi="Times New Roman"/>
                <w:color w:val="auto"/>
              </w:rPr>
              <w:t>图所示</w:t>
            </w:r>
            <w:r>
              <w:rPr>
                <w:rFonts w:ascii="Times New Roman" w:hAnsi="Times New Roman"/>
                <w:color w:val="auto"/>
              </w:rPr>
              <w:t>。</w:t>
            </w:r>
          </w:p>
          <w:bookmarkEnd w:id="42"/>
          <w:p>
            <w:pPr>
              <w:adjustRightInd w:val="0"/>
              <w:snapToGrid w:val="0"/>
              <w:jc w:val="center"/>
              <w:rPr>
                <w:rFonts w:ascii="Times New Roman" w:hAnsi="Times New Roman"/>
                <w:color w:val="auto"/>
              </w:rPr>
            </w:pPr>
            <w:r>
              <w:rPr>
                <w:rFonts w:ascii="Times New Roman" w:hAnsi="Times New Roman"/>
                <w:color w:val="auto"/>
              </w:rPr>
              <w:object>
                <v:shape id="_x0000_i1030" o:spt="75" type="#_x0000_t75" style="height:170.25pt;width:444.75pt;" o:ole="t" filled="f" o:preferrelative="t" stroked="f" coordsize="21600,21600">
                  <v:path/>
                  <v:fill on="f" focussize="0,0"/>
                  <v:stroke on="f" joinstyle="miter"/>
                  <v:imagedata r:id="rId23" o:title=""/>
                  <o:lock v:ext="edit" aspectratio="f"/>
                  <w10:wrap type="none"/>
                  <w10:anchorlock/>
                </v:shape>
                <o:OLEObject Type="Embed" ProgID="Visio.Drawing.11" ShapeID="_x0000_i1030" DrawAspect="Content" ObjectID="_1468075730" r:id="rId22">
                  <o:LockedField>false</o:LockedField>
                </o:OLEObject>
              </w:object>
            </w:r>
          </w:p>
          <w:p>
            <w:pPr>
              <w:adjustRightInd w:val="0"/>
              <w:snapToGrid w:val="0"/>
              <w:jc w:val="center"/>
              <w:rPr>
                <w:rFonts w:ascii="Times New Roman" w:hAnsi="Times New Roman"/>
                <w:b/>
                <w:color w:val="auto"/>
                <w:kern w:val="2"/>
                <w:sz w:val="21"/>
                <w:szCs w:val="21"/>
              </w:rPr>
            </w:pPr>
            <w:r>
              <w:rPr>
                <w:rFonts w:ascii="Times New Roman" w:hAnsi="Times New Roman"/>
                <w:b/>
                <w:color w:val="auto"/>
                <w:kern w:val="2"/>
                <w:sz w:val="21"/>
                <w:szCs w:val="21"/>
              </w:rPr>
              <w:t>图5-2 技改</w:t>
            </w:r>
            <w:r>
              <w:rPr>
                <w:rFonts w:hint="eastAsia" w:ascii="Times New Roman" w:hAnsi="Times New Roman"/>
                <w:b/>
                <w:color w:val="auto"/>
                <w:kern w:val="2"/>
                <w:sz w:val="21"/>
                <w:szCs w:val="21"/>
              </w:rPr>
              <w:t>项目</w:t>
            </w:r>
            <w:r>
              <w:rPr>
                <w:rFonts w:ascii="Times New Roman" w:hAnsi="Times New Roman"/>
                <w:b/>
                <w:color w:val="auto"/>
                <w:kern w:val="2"/>
                <w:sz w:val="21"/>
                <w:szCs w:val="21"/>
              </w:rPr>
              <w:t>工艺流程及其产污环节</w:t>
            </w:r>
            <w:bookmarkEnd w:id="41"/>
          </w:p>
          <w:p>
            <w:pPr>
              <w:pStyle w:val="37"/>
              <w:ind w:firstLine="48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Times New Roman" w:hAnsi="Times New Roman"/>
                <w:b/>
                <w:bCs/>
                <w:color w:val="auto"/>
                <w:sz w:val="28"/>
                <w:szCs w:val="28"/>
              </w:rPr>
            </w:pPr>
            <w:r>
              <w:rPr>
                <w:rFonts w:ascii="Times New Roman" w:hAnsi="Times New Roman"/>
                <w:b/>
                <w:bCs/>
                <w:color w:val="auto"/>
                <w:sz w:val="28"/>
                <w:szCs w:val="28"/>
              </w:rPr>
              <w:t>主要污染工序及污染源强核算</w:t>
            </w:r>
          </w:p>
          <w:p>
            <w:pPr>
              <w:autoSpaceDE w:val="0"/>
              <w:autoSpaceDN w:val="0"/>
              <w:adjustRightInd w:val="0"/>
              <w:snapToGrid w:val="0"/>
              <w:spacing w:line="360" w:lineRule="auto"/>
              <w:jc w:val="left"/>
              <w:rPr>
                <w:rFonts w:ascii="Times New Roman" w:hAnsi="Times New Roman"/>
                <w:b/>
                <w:color w:val="auto"/>
                <w:kern w:val="0"/>
              </w:rPr>
            </w:pPr>
            <w:r>
              <w:rPr>
                <w:rFonts w:ascii="Times New Roman" w:hAnsi="Times New Roman"/>
                <w:b/>
                <w:color w:val="auto"/>
                <w:kern w:val="0"/>
              </w:rPr>
              <w:t>一、施工期</w:t>
            </w:r>
          </w:p>
          <w:p>
            <w:pPr>
              <w:widowControl/>
              <w:tabs>
                <w:tab w:val="left" w:pos="1421"/>
              </w:tabs>
              <w:adjustRightInd w:val="0"/>
              <w:snapToGrid w:val="0"/>
              <w:spacing w:line="360" w:lineRule="auto"/>
              <w:ind w:firstLine="480" w:firstLineChars="200"/>
              <w:rPr>
                <w:rFonts w:ascii="Times New Roman" w:hAnsi="Times New Roman"/>
                <w:bCs/>
                <w:color w:val="auto"/>
              </w:rPr>
            </w:pPr>
            <w:r>
              <w:rPr>
                <w:rFonts w:ascii="Times New Roman" w:hAnsi="Times New Roman"/>
                <w:bCs/>
                <w:color w:val="auto"/>
              </w:rPr>
              <w:t>本项目施工期主要进行拆除原设备，打孔等预留位置，安装新设备，修补墙壁等，产生的污染物主要为电钻、吊车的噪声；少量施工废水；拆除的旧设备、少量建筑垃圾和塑料包装垃圾。</w:t>
            </w:r>
          </w:p>
          <w:p>
            <w:pPr>
              <w:pStyle w:val="37"/>
              <w:adjustRightInd w:val="0"/>
              <w:snapToGrid w:val="0"/>
              <w:spacing w:line="360" w:lineRule="auto"/>
              <w:ind w:firstLine="0" w:firstLineChars="0"/>
              <w:rPr>
                <w:rFonts w:ascii="Times New Roman" w:hAnsi="Times New Roman"/>
                <w:b/>
                <w:bCs/>
                <w:color w:val="auto"/>
                <w:kern w:val="0"/>
              </w:rPr>
            </w:pPr>
            <w:r>
              <w:rPr>
                <w:rFonts w:ascii="Times New Roman" w:hAnsi="Times New Roman"/>
                <w:b/>
                <w:bCs/>
                <w:color w:val="auto"/>
                <w:kern w:val="0"/>
              </w:rPr>
              <w:t>1、</w:t>
            </w:r>
            <w:r>
              <w:rPr>
                <w:rFonts w:hint="eastAsia" w:ascii="Times New Roman" w:hAnsi="Times New Roman"/>
                <w:b/>
                <w:bCs/>
                <w:color w:val="auto"/>
                <w:kern w:val="0"/>
              </w:rPr>
              <w:t>废气</w:t>
            </w:r>
          </w:p>
          <w:p>
            <w:pPr>
              <w:widowControl/>
              <w:tabs>
                <w:tab w:val="left" w:pos="1421"/>
              </w:tabs>
              <w:adjustRightInd w:val="0"/>
              <w:snapToGrid w:val="0"/>
              <w:spacing w:line="360" w:lineRule="auto"/>
              <w:ind w:firstLine="480" w:firstLineChars="200"/>
              <w:rPr>
                <w:rFonts w:ascii="Times New Roman" w:hAnsi="Times New Roman"/>
                <w:bCs/>
                <w:color w:val="auto"/>
              </w:rPr>
            </w:pPr>
            <w:r>
              <w:rPr>
                <w:rFonts w:hint="eastAsia" w:ascii="Times New Roman" w:hAnsi="Times New Roman"/>
                <w:bCs/>
                <w:color w:val="auto"/>
              </w:rPr>
              <w:t>技改项目施工期产生的废气主要来自于</w:t>
            </w:r>
            <w:r>
              <w:rPr>
                <w:rFonts w:ascii="Times New Roman" w:hAnsi="Times New Roman"/>
                <w:bCs/>
                <w:color w:val="auto"/>
              </w:rPr>
              <w:t>运输车辆、施工机械产生的尾气及</w:t>
            </w:r>
            <w:r>
              <w:rPr>
                <w:rFonts w:hint="eastAsia" w:ascii="Times New Roman" w:hAnsi="Times New Roman"/>
                <w:bCs/>
                <w:color w:val="auto"/>
              </w:rPr>
              <w:t>设备拆除、安装过程中产生的施工粉尘</w:t>
            </w:r>
            <w:r>
              <w:rPr>
                <w:rFonts w:ascii="Times New Roman" w:hAnsi="Times New Roman"/>
                <w:bCs/>
                <w:color w:val="auto"/>
              </w:rPr>
              <w:t>。</w:t>
            </w:r>
            <w:r>
              <w:rPr>
                <w:rFonts w:hint="eastAsia" w:ascii="Times New Roman" w:hAnsi="Times New Roman"/>
                <w:bCs/>
                <w:color w:val="auto"/>
              </w:rPr>
              <w:t>其中，施工</w:t>
            </w:r>
            <w:r>
              <w:rPr>
                <w:rFonts w:ascii="Times New Roman" w:hAnsi="Times New Roman"/>
                <w:bCs/>
                <w:color w:val="auto"/>
              </w:rPr>
              <w:t>机械尾气污染物主要为HC、CO、NO</w:t>
            </w:r>
            <w:r>
              <w:rPr>
                <w:rFonts w:hint="eastAsia" w:ascii="Times New Roman" w:hAnsi="Times New Roman"/>
                <w:bCs/>
                <w:color w:val="auto"/>
                <w:vertAlign w:val="subscript"/>
              </w:rPr>
              <w:t>X</w:t>
            </w:r>
            <w:r>
              <w:rPr>
                <w:rFonts w:ascii="Times New Roman" w:hAnsi="Times New Roman"/>
                <w:bCs/>
                <w:color w:val="auto"/>
              </w:rPr>
              <w:t>。</w:t>
            </w:r>
            <w:r>
              <w:rPr>
                <w:rFonts w:hint="eastAsia" w:ascii="Times New Roman" w:hAnsi="Times New Roman"/>
                <w:bCs/>
                <w:color w:val="auto"/>
              </w:rPr>
              <w:t>技改项目</w:t>
            </w:r>
            <w:r>
              <w:rPr>
                <w:rFonts w:hint="eastAsia" w:ascii="Times New Roman" w:hAnsi="Times New Roman"/>
                <w:color w:val="auto"/>
                <w:kern w:val="0"/>
              </w:rPr>
              <w:t>基本不涉及土建，主要进行设备拆除和安装，无裸露的施工场地，也不涉及粉状材料堆放，使用的施工设备较少，则产生的粉尘和车辆、机械尾气均较少。</w:t>
            </w:r>
          </w:p>
          <w:p>
            <w:pPr>
              <w:pStyle w:val="37"/>
              <w:adjustRightInd w:val="0"/>
              <w:snapToGrid w:val="0"/>
              <w:spacing w:line="360" w:lineRule="auto"/>
              <w:ind w:firstLine="0" w:firstLineChars="0"/>
              <w:rPr>
                <w:rFonts w:ascii="Times New Roman" w:hAnsi="Times New Roman"/>
                <w:b/>
                <w:bCs/>
                <w:color w:val="auto"/>
                <w:kern w:val="0"/>
              </w:rPr>
            </w:pPr>
            <w:r>
              <w:rPr>
                <w:rFonts w:ascii="Times New Roman" w:hAnsi="Times New Roman"/>
                <w:b/>
                <w:bCs/>
                <w:color w:val="auto"/>
                <w:kern w:val="0"/>
              </w:rPr>
              <w:t>2、噪声</w:t>
            </w:r>
          </w:p>
          <w:p>
            <w:pPr>
              <w:adjustRightInd w:val="0"/>
              <w:snapToGrid w:val="0"/>
              <w:spacing w:line="360" w:lineRule="auto"/>
              <w:ind w:firstLine="480" w:firstLineChars="200"/>
              <w:rPr>
                <w:rFonts w:ascii="Times New Roman" w:hAnsi="Times New Roman"/>
                <w:b/>
                <w:color w:val="auto"/>
                <w:kern w:val="2"/>
              </w:rPr>
            </w:pPr>
            <w:r>
              <w:rPr>
                <w:rFonts w:hint="eastAsia" w:ascii="Times New Roman" w:hAnsi="Times New Roman"/>
                <w:color w:val="auto"/>
                <w:kern w:val="0"/>
              </w:rPr>
              <w:t>技改项目施工基本不涉及土建，主要进行设备拆除和安装，施工设备较少，</w:t>
            </w:r>
            <w:r>
              <w:rPr>
                <w:rFonts w:ascii="Times New Roman" w:hAnsi="Times New Roman"/>
                <w:color w:val="auto"/>
                <w:kern w:val="2"/>
              </w:rPr>
              <w:t>施工期间使用</w:t>
            </w:r>
            <w:r>
              <w:rPr>
                <w:rFonts w:hint="eastAsia" w:ascii="Times New Roman" w:hAnsi="Times New Roman"/>
                <w:color w:val="auto"/>
                <w:kern w:val="2"/>
              </w:rPr>
              <w:t>的</w:t>
            </w:r>
            <w:r>
              <w:rPr>
                <w:rFonts w:ascii="Times New Roman" w:hAnsi="Times New Roman"/>
                <w:color w:val="auto"/>
                <w:kern w:val="2"/>
              </w:rPr>
              <w:t>运输</w:t>
            </w:r>
            <w:r>
              <w:rPr>
                <w:rFonts w:hint="eastAsia" w:ascii="Times New Roman" w:hAnsi="Times New Roman"/>
                <w:color w:val="auto"/>
                <w:kern w:val="2"/>
              </w:rPr>
              <w:t>车辆</w:t>
            </w:r>
            <w:r>
              <w:rPr>
                <w:rFonts w:ascii="Times New Roman" w:hAnsi="Times New Roman"/>
                <w:color w:val="auto"/>
                <w:kern w:val="2"/>
              </w:rPr>
              <w:t>、切割机、电钻等设备，</w:t>
            </w:r>
            <w:r>
              <w:rPr>
                <w:rFonts w:hint="eastAsia" w:ascii="Times New Roman" w:hAnsi="Times New Roman"/>
                <w:color w:val="auto"/>
                <w:kern w:val="2"/>
              </w:rPr>
              <w:t>会</w:t>
            </w:r>
            <w:r>
              <w:rPr>
                <w:rFonts w:ascii="Times New Roman" w:hAnsi="Times New Roman"/>
                <w:color w:val="auto"/>
                <w:kern w:val="2"/>
              </w:rPr>
              <w:t>产生一定</w:t>
            </w:r>
            <w:r>
              <w:rPr>
                <w:rFonts w:hint="eastAsia" w:ascii="Times New Roman" w:hAnsi="Times New Roman"/>
                <w:color w:val="auto"/>
                <w:kern w:val="2"/>
              </w:rPr>
              <w:t>程度</w:t>
            </w:r>
            <w:r>
              <w:rPr>
                <w:rFonts w:ascii="Times New Roman" w:hAnsi="Times New Roman"/>
                <w:color w:val="auto"/>
                <w:kern w:val="2"/>
              </w:rPr>
              <w:t>的噪声污染，源强约为85~95dB(A)，其特点是具有突发性和间歇性。主要施工机械噪声强度列于表5-1</w:t>
            </w:r>
            <w:r>
              <w:rPr>
                <w:rFonts w:hint="eastAsia" w:ascii="Times New Roman" w:hAnsi="Times New Roman"/>
                <w:color w:val="auto"/>
                <w:kern w:val="2"/>
              </w:rPr>
              <w:t>。</w:t>
            </w:r>
          </w:p>
          <w:p>
            <w:pPr>
              <w:adjustRightInd w:val="0"/>
              <w:snapToGrid w:val="0"/>
              <w:jc w:val="center"/>
              <w:rPr>
                <w:rFonts w:ascii="Times New Roman" w:hAnsi="Times New Roman"/>
                <w:b/>
                <w:color w:val="auto"/>
                <w:kern w:val="2"/>
                <w:sz w:val="21"/>
                <w:szCs w:val="21"/>
              </w:rPr>
            </w:pPr>
            <w:r>
              <w:rPr>
                <w:rFonts w:ascii="Times New Roman" w:hAnsi="Times New Roman"/>
                <w:b/>
                <w:color w:val="auto"/>
                <w:kern w:val="2"/>
                <w:sz w:val="21"/>
                <w:szCs w:val="21"/>
              </w:rPr>
              <w:t>表5-</w:t>
            </w:r>
            <w:r>
              <w:rPr>
                <w:rFonts w:hint="eastAsia" w:ascii="Times New Roman" w:hAnsi="Times New Roman"/>
                <w:b/>
                <w:color w:val="auto"/>
                <w:kern w:val="2"/>
                <w:sz w:val="21"/>
                <w:szCs w:val="21"/>
              </w:rPr>
              <w:t>1</w:t>
            </w:r>
            <w:r>
              <w:rPr>
                <w:rFonts w:ascii="Times New Roman" w:hAnsi="Times New Roman"/>
                <w:b/>
                <w:color w:val="auto"/>
                <w:kern w:val="2"/>
                <w:sz w:val="21"/>
                <w:szCs w:val="21"/>
              </w:rPr>
              <w:t xml:space="preserve">  主要施工机械噪声强度</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76"/>
              <w:gridCol w:w="2754"/>
              <w:gridCol w:w="2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900" w:type="pct"/>
                  <w:vAlign w:val="center"/>
                </w:tcPr>
                <w:p>
                  <w:pPr>
                    <w:autoSpaceDE w:val="0"/>
                    <w:autoSpaceDN w:val="0"/>
                    <w:adjustRightInd w:val="0"/>
                    <w:snapToGrid w:val="0"/>
                    <w:jc w:val="center"/>
                    <w:rPr>
                      <w:rFonts w:ascii="Times New Roman" w:hAnsi="Times New Roman"/>
                      <w:b/>
                      <w:color w:val="auto"/>
                      <w:kern w:val="0"/>
                      <w:sz w:val="21"/>
                      <w:szCs w:val="21"/>
                    </w:rPr>
                  </w:pPr>
                  <w:r>
                    <w:rPr>
                      <w:rFonts w:ascii="Times New Roman" w:hAnsi="Times New Roman"/>
                      <w:b/>
                      <w:color w:val="auto"/>
                      <w:kern w:val="0"/>
                      <w:sz w:val="21"/>
                      <w:szCs w:val="21"/>
                    </w:rPr>
                    <w:t>设备名称</w:t>
                  </w:r>
                </w:p>
              </w:tc>
              <w:tc>
                <w:tcPr>
                  <w:tcW w:w="1550" w:type="pct"/>
                  <w:vAlign w:val="center"/>
                </w:tcPr>
                <w:p>
                  <w:pPr>
                    <w:autoSpaceDE w:val="0"/>
                    <w:autoSpaceDN w:val="0"/>
                    <w:adjustRightInd w:val="0"/>
                    <w:snapToGrid w:val="0"/>
                    <w:jc w:val="center"/>
                    <w:rPr>
                      <w:rFonts w:ascii="Times New Roman" w:hAnsi="Times New Roman"/>
                      <w:b/>
                      <w:color w:val="auto"/>
                      <w:kern w:val="0"/>
                      <w:sz w:val="21"/>
                      <w:szCs w:val="21"/>
                    </w:rPr>
                  </w:pPr>
                  <w:r>
                    <w:rPr>
                      <w:rFonts w:ascii="Times New Roman" w:hAnsi="Times New Roman"/>
                      <w:b/>
                      <w:color w:val="auto"/>
                      <w:kern w:val="0"/>
                      <w:sz w:val="21"/>
                      <w:szCs w:val="21"/>
                    </w:rPr>
                    <w:t>噪声强度[dB(A)]</w:t>
                  </w:r>
                </w:p>
              </w:tc>
              <w:tc>
                <w:tcPr>
                  <w:tcW w:w="1550" w:type="pct"/>
                  <w:vAlign w:val="center"/>
                </w:tcPr>
                <w:p>
                  <w:pPr>
                    <w:autoSpaceDE w:val="0"/>
                    <w:autoSpaceDN w:val="0"/>
                    <w:adjustRightInd w:val="0"/>
                    <w:snapToGrid w:val="0"/>
                    <w:jc w:val="center"/>
                    <w:rPr>
                      <w:rFonts w:ascii="Times New Roman" w:hAnsi="Times New Roman"/>
                      <w:b/>
                      <w:color w:val="auto"/>
                      <w:kern w:val="0"/>
                      <w:sz w:val="21"/>
                      <w:szCs w:val="21"/>
                    </w:rPr>
                  </w:pPr>
                  <w:r>
                    <w:rPr>
                      <w:rFonts w:hint="eastAsia" w:ascii="Times New Roman" w:hAnsi="Times New Roman"/>
                      <w:b/>
                      <w:color w:val="auto"/>
                      <w:kern w:val="0"/>
                      <w:sz w:val="21"/>
                      <w:szCs w:val="21"/>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900" w:type="pct"/>
                  <w:vAlign w:val="center"/>
                </w:tcPr>
                <w:p>
                  <w:pPr>
                    <w:autoSpaceDE w:val="0"/>
                    <w:autoSpaceDN w:val="0"/>
                    <w:adjustRightInd w:val="0"/>
                    <w:snapToGrid w:val="0"/>
                    <w:jc w:val="center"/>
                    <w:rPr>
                      <w:rFonts w:ascii="Times New Roman" w:hAnsi="Times New Roman"/>
                      <w:color w:val="auto"/>
                      <w:kern w:val="0"/>
                      <w:sz w:val="21"/>
                      <w:szCs w:val="21"/>
                    </w:rPr>
                  </w:pPr>
                  <w:r>
                    <w:rPr>
                      <w:rFonts w:ascii="Times New Roman" w:hAnsi="Times New Roman"/>
                      <w:color w:val="auto"/>
                      <w:kern w:val="0"/>
                      <w:sz w:val="21"/>
                      <w:szCs w:val="21"/>
                    </w:rPr>
                    <w:t>切割机</w:t>
                  </w:r>
                </w:p>
              </w:tc>
              <w:tc>
                <w:tcPr>
                  <w:tcW w:w="1550" w:type="pct"/>
                  <w:vAlign w:val="center"/>
                </w:tcPr>
                <w:p>
                  <w:pPr>
                    <w:autoSpaceDE w:val="0"/>
                    <w:autoSpaceDN w:val="0"/>
                    <w:adjustRightInd w:val="0"/>
                    <w:snapToGrid w:val="0"/>
                    <w:jc w:val="center"/>
                    <w:rPr>
                      <w:rFonts w:ascii="Times New Roman" w:hAnsi="Times New Roman"/>
                      <w:color w:val="auto"/>
                      <w:kern w:val="0"/>
                      <w:sz w:val="21"/>
                      <w:szCs w:val="21"/>
                    </w:rPr>
                  </w:pPr>
                  <w:r>
                    <w:rPr>
                      <w:rFonts w:hint="eastAsia" w:ascii="Times New Roman" w:hAnsi="Times New Roman"/>
                      <w:color w:val="auto"/>
                      <w:kern w:val="0"/>
                      <w:sz w:val="21"/>
                      <w:szCs w:val="21"/>
                    </w:rPr>
                    <w:t>85~95</w:t>
                  </w:r>
                </w:p>
              </w:tc>
              <w:tc>
                <w:tcPr>
                  <w:tcW w:w="1550" w:type="pct"/>
                  <w:vAlign w:val="center"/>
                </w:tcPr>
                <w:p>
                  <w:pPr>
                    <w:autoSpaceDE w:val="0"/>
                    <w:autoSpaceDN w:val="0"/>
                    <w:adjustRightInd w:val="0"/>
                    <w:snapToGrid w:val="0"/>
                    <w:jc w:val="center"/>
                    <w:rPr>
                      <w:rFonts w:ascii="Times New Roman" w:hAnsi="Times New Roman"/>
                      <w:color w:val="auto"/>
                      <w:kern w:val="0"/>
                      <w:sz w:val="21"/>
                      <w:szCs w:val="21"/>
                    </w:rPr>
                  </w:pPr>
                  <w:r>
                    <w:rPr>
                      <w:rFonts w:hint="eastAsia" w:ascii="Times New Roman" w:hAnsi="Times New Roman"/>
                      <w:color w:val="auto"/>
                      <w:kern w:val="0"/>
                      <w:sz w:val="21"/>
                      <w:szCs w:val="21"/>
                    </w:rPr>
                    <w:t>机械噪声、间歇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900" w:type="pct"/>
                  <w:vAlign w:val="center"/>
                </w:tcPr>
                <w:p>
                  <w:pPr>
                    <w:autoSpaceDE w:val="0"/>
                    <w:autoSpaceDN w:val="0"/>
                    <w:adjustRightInd w:val="0"/>
                    <w:snapToGrid w:val="0"/>
                    <w:jc w:val="center"/>
                    <w:rPr>
                      <w:rFonts w:ascii="Times New Roman" w:hAnsi="Times New Roman"/>
                      <w:color w:val="auto"/>
                      <w:kern w:val="0"/>
                      <w:sz w:val="21"/>
                      <w:szCs w:val="21"/>
                    </w:rPr>
                  </w:pPr>
                  <w:r>
                    <w:rPr>
                      <w:rFonts w:hint="eastAsia" w:ascii="Times New Roman" w:hAnsi="Times New Roman"/>
                      <w:color w:val="auto"/>
                      <w:kern w:val="0"/>
                      <w:sz w:val="21"/>
                      <w:szCs w:val="21"/>
                    </w:rPr>
                    <w:t>电钻</w:t>
                  </w:r>
                </w:p>
              </w:tc>
              <w:tc>
                <w:tcPr>
                  <w:tcW w:w="1550" w:type="pct"/>
                  <w:vAlign w:val="center"/>
                </w:tcPr>
                <w:p>
                  <w:pPr>
                    <w:autoSpaceDE w:val="0"/>
                    <w:autoSpaceDN w:val="0"/>
                    <w:adjustRightInd w:val="0"/>
                    <w:snapToGrid w:val="0"/>
                    <w:jc w:val="center"/>
                    <w:rPr>
                      <w:rFonts w:ascii="Times New Roman" w:hAnsi="Times New Roman"/>
                      <w:color w:val="auto"/>
                      <w:kern w:val="0"/>
                      <w:sz w:val="21"/>
                      <w:szCs w:val="21"/>
                    </w:rPr>
                  </w:pPr>
                  <w:r>
                    <w:rPr>
                      <w:rFonts w:hint="eastAsia" w:ascii="Times New Roman" w:hAnsi="Times New Roman"/>
                      <w:color w:val="auto"/>
                      <w:kern w:val="0"/>
                      <w:sz w:val="21"/>
                      <w:szCs w:val="21"/>
                    </w:rPr>
                    <w:t>85~95</w:t>
                  </w:r>
                </w:p>
              </w:tc>
              <w:tc>
                <w:tcPr>
                  <w:tcW w:w="1550" w:type="pct"/>
                  <w:vAlign w:val="center"/>
                </w:tcPr>
                <w:p>
                  <w:pPr>
                    <w:autoSpaceDE w:val="0"/>
                    <w:autoSpaceDN w:val="0"/>
                    <w:adjustRightInd w:val="0"/>
                    <w:snapToGrid w:val="0"/>
                    <w:jc w:val="center"/>
                    <w:rPr>
                      <w:rFonts w:ascii="Times New Roman" w:hAnsi="Times New Roman"/>
                      <w:color w:val="auto"/>
                      <w:kern w:val="0"/>
                      <w:sz w:val="21"/>
                      <w:szCs w:val="21"/>
                    </w:rPr>
                  </w:pPr>
                  <w:r>
                    <w:rPr>
                      <w:rFonts w:hint="eastAsia" w:ascii="Times New Roman" w:hAnsi="Times New Roman"/>
                      <w:color w:val="auto"/>
                      <w:kern w:val="0"/>
                      <w:sz w:val="21"/>
                      <w:szCs w:val="21"/>
                    </w:rPr>
                    <w:t>机械噪声、间歇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1900" w:type="pct"/>
                  <w:vAlign w:val="center"/>
                </w:tcPr>
                <w:p>
                  <w:pPr>
                    <w:autoSpaceDE w:val="0"/>
                    <w:autoSpaceDN w:val="0"/>
                    <w:adjustRightInd w:val="0"/>
                    <w:snapToGrid w:val="0"/>
                    <w:jc w:val="center"/>
                    <w:rPr>
                      <w:rFonts w:ascii="Times New Roman" w:hAnsi="Times New Roman"/>
                      <w:color w:val="auto"/>
                      <w:kern w:val="0"/>
                      <w:sz w:val="21"/>
                      <w:szCs w:val="21"/>
                    </w:rPr>
                  </w:pPr>
                  <w:r>
                    <w:rPr>
                      <w:rFonts w:hint="eastAsia" w:ascii="Times New Roman" w:hAnsi="Times New Roman"/>
                      <w:color w:val="auto"/>
                      <w:kern w:val="2"/>
                      <w:sz w:val="21"/>
                      <w:szCs w:val="21"/>
                    </w:rPr>
                    <w:t>起重机</w:t>
                  </w:r>
                </w:p>
              </w:tc>
              <w:tc>
                <w:tcPr>
                  <w:tcW w:w="1550" w:type="pct"/>
                  <w:vAlign w:val="center"/>
                </w:tcPr>
                <w:p>
                  <w:pPr>
                    <w:autoSpaceDE w:val="0"/>
                    <w:autoSpaceDN w:val="0"/>
                    <w:adjustRightInd w:val="0"/>
                    <w:snapToGrid w:val="0"/>
                    <w:jc w:val="center"/>
                    <w:rPr>
                      <w:rFonts w:ascii="Times New Roman" w:hAnsi="Times New Roman"/>
                      <w:color w:val="auto"/>
                      <w:kern w:val="0"/>
                      <w:sz w:val="21"/>
                      <w:szCs w:val="21"/>
                    </w:rPr>
                  </w:pPr>
                  <w:r>
                    <w:rPr>
                      <w:rFonts w:hint="eastAsia" w:ascii="Times New Roman" w:hAnsi="Times New Roman"/>
                      <w:color w:val="auto"/>
                      <w:kern w:val="0"/>
                      <w:sz w:val="21"/>
                      <w:szCs w:val="21"/>
                    </w:rPr>
                    <w:t>85~9</w:t>
                  </w:r>
                  <w:r>
                    <w:rPr>
                      <w:rFonts w:ascii="Times New Roman" w:hAnsi="Times New Roman"/>
                      <w:color w:val="auto"/>
                      <w:kern w:val="0"/>
                      <w:sz w:val="21"/>
                      <w:szCs w:val="21"/>
                    </w:rPr>
                    <w:t>0</w:t>
                  </w:r>
                </w:p>
              </w:tc>
              <w:tc>
                <w:tcPr>
                  <w:tcW w:w="1550" w:type="pct"/>
                  <w:vAlign w:val="center"/>
                </w:tcPr>
                <w:p>
                  <w:pPr>
                    <w:autoSpaceDE w:val="0"/>
                    <w:autoSpaceDN w:val="0"/>
                    <w:adjustRightInd w:val="0"/>
                    <w:snapToGrid w:val="0"/>
                    <w:jc w:val="center"/>
                    <w:rPr>
                      <w:rFonts w:ascii="Times New Roman" w:hAnsi="Times New Roman"/>
                      <w:color w:val="auto"/>
                      <w:kern w:val="0"/>
                      <w:sz w:val="21"/>
                      <w:szCs w:val="21"/>
                    </w:rPr>
                  </w:pPr>
                  <w:r>
                    <w:rPr>
                      <w:rFonts w:hint="eastAsia" w:ascii="Times New Roman" w:hAnsi="Times New Roman"/>
                      <w:color w:val="auto"/>
                      <w:kern w:val="0"/>
                      <w:sz w:val="21"/>
                      <w:szCs w:val="21"/>
                    </w:rPr>
                    <w:t>机械噪声、间歇</w:t>
                  </w:r>
                </w:p>
              </w:tc>
            </w:tr>
          </w:tbl>
          <w:p>
            <w:pPr>
              <w:autoSpaceDE w:val="0"/>
              <w:autoSpaceDN w:val="0"/>
              <w:adjustRightInd w:val="0"/>
              <w:snapToGrid w:val="0"/>
              <w:spacing w:before="163" w:beforeLines="50" w:line="360" w:lineRule="auto"/>
              <w:rPr>
                <w:rFonts w:ascii="Times New Roman" w:hAnsi="Times New Roman"/>
                <w:b/>
                <w:bCs/>
                <w:color w:val="auto"/>
                <w:kern w:val="0"/>
              </w:rPr>
            </w:pPr>
            <w:r>
              <w:rPr>
                <w:rFonts w:ascii="Times New Roman" w:hAnsi="Times New Roman"/>
                <w:b/>
                <w:bCs/>
                <w:color w:val="auto"/>
                <w:kern w:val="0"/>
              </w:rPr>
              <w:t>3、</w:t>
            </w:r>
            <w:r>
              <w:rPr>
                <w:rFonts w:hint="eastAsia" w:ascii="Times New Roman" w:hAnsi="Times New Roman"/>
                <w:b/>
                <w:bCs/>
                <w:color w:val="auto"/>
                <w:kern w:val="0"/>
              </w:rPr>
              <w:t>废水</w:t>
            </w:r>
          </w:p>
          <w:p>
            <w:pPr>
              <w:pStyle w:val="37"/>
              <w:adjustRightInd w:val="0"/>
              <w:snapToGrid w:val="0"/>
              <w:spacing w:line="360" w:lineRule="auto"/>
              <w:ind w:firstLine="480"/>
              <w:rPr>
                <w:color w:val="auto"/>
              </w:rPr>
            </w:pPr>
            <w:r>
              <w:rPr>
                <w:rFonts w:hint="eastAsia"/>
                <w:color w:val="auto"/>
              </w:rPr>
              <w:t>技改项目施工场地位于</w:t>
            </w:r>
            <w:r>
              <w:rPr>
                <w:color w:val="auto"/>
              </w:rPr>
              <w:t>宜良明丰造纸厂</w:t>
            </w:r>
            <w:r>
              <w:rPr>
                <w:rFonts w:hint="eastAsia"/>
                <w:color w:val="auto"/>
              </w:rPr>
              <w:t>现有项目厂区内，施工</w:t>
            </w:r>
            <w:r>
              <w:rPr>
                <w:rFonts w:hint="eastAsia" w:ascii="Times New Roman" w:hAnsi="Times New Roman"/>
                <w:color w:val="auto"/>
                <w:kern w:val="0"/>
              </w:rPr>
              <w:t>主要进行设备拆除和安装，施工过程基本不涉及土建，不用水，不产生废水。施工人员不在施工场地内食宿，洗手、如厕均依托造纸厂现有项目设施，不在项目内用水，不产生施工生活废水。</w:t>
            </w:r>
          </w:p>
          <w:p>
            <w:pPr>
              <w:autoSpaceDE w:val="0"/>
              <w:autoSpaceDN w:val="0"/>
              <w:adjustRightInd w:val="0"/>
              <w:snapToGrid w:val="0"/>
              <w:spacing w:line="360" w:lineRule="auto"/>
              <w:rPr>
                <w:rFonts w:ascii="Times New Roman" w:hAnsi="Times New Roman"/>
                <w:b/>
                <w:bCs/>
                <w:color w:val="auto"/>
                <w:kern w:val="0"/>
              </w:rPr>
            </w:pPr>
            <w:r>
              <w:rPr>
                <w:rFonts w:hint="eastAsia" w:ascii="Times New Roman" w:hAnsi="Times New Roman"/>
                <w:b/>
                <w:bCs/>
                <w:color w:val="auto"/>
                <w:kern w:val="0"/>
              </w:rPr>
              <w:t>4、</w:t>
            </w:r>
            <w:r>
              <w:rPr>
                <w:rFonts w:ascii="Times New Roman" w:hAnsi="Times New Roman"/>
                <w:b/>
                <w:bCs/>
                <w:color w:val="auto"/>
                <w:kern w:val="0"/>
              </w:rPr>
              <w:t>固废</w:t>
            </w:r>
          </w:p>
          <w:p>
            <w:pPr>
              <w:autoSpaceDE w:val="0"/>
              <w:autoSpaceDN w:val="0"/>
              <w:adjustRightInd w:val="0"/>
              <w:snapToGrid w:val="0"/>
              <w:spacing w:line="360" w:lineRule="auto"/>
              <w:ind w:firstLine="480" w:firstLineChars="200"/>
              <w:rPr>
                <w:rFonts w:ascii="Times New Roman" w:hAnsi="Times New Roman"/>
                <w:color w:val="auto"/>
                <w:kern w:val="0"/>
              </w:rPr>
            </w:pPr>
            <w:r>
              <w:rPr>
                <w:rFonts w:ascii="Times New Roman" w:hAnsi="Times New Roman"/>
                <w:color w:val="auto"/>
                <w:kern w:val="0"/>
              </w:rPr>
              <w:t>施工期产生的固废为拆除的旧设备、少量建筑垃圾和包装垃圾。</w:t>
            </w:r>
          </w:p>
          <w:p>
            <w:pPr>
              <w:pStyle w:val="37"/>
              <w:adjustRightInd w:val="0"/>
              <w:snapToGrid w:val="0"/>
              <w:spacing w:line="360" w:lineRule="auto"/>
              <w:ind w:firstLine="480"/>
              <w:rPr>
                <w:rFonts w:ascii="Times New Roman" w:hAnsi="Times New Roman"/>
                <w:color w:val="auto"/>
                <w:kern w:val="0"/>
              </w:rPr>
            </w:pPr>
            <w:r>
              <w:rPr>
                <w:rFonts w:ascii="Times New Roman" w:hAnsi="Times New Roman"/>
                <w:color w:val="auto"/>
                <w:kern w:val="0"/>
              </w:rPr>
              <w:t>旧设备和可回收的包装垃圾</w:t>
            </w:r>
            <w:r>
              <w:rPr>
                <w:rFonts w:hint="eastAsia" w:ascii="Times New Roman" w:hAnsi="Times New Roman"/>
                <w:color w:val="auto"/>
                <w:kern w:val="0"/>
              </w:rPr>
              <w:t>外售处置</w:t>
            </w:r>
            <w:r>
              <w:rPr>
                <w:rFonts w:ascii="Times New Roman" w:hAnsi="Times New Roman"/>
                <w:color w:val="auto"/>
                <w:kern w:val="0"/>
              </w:rPr>
              <w:t>，</w:t>
            </w:r>
            <w:r>
              <w:rPr>
                <w:rFonts w:ascii="Times New Roman" w:hAnsi="Times New Roman"/>
                <w:color w:val="auto"/>
                <w:szCs w:val="18"/>
              </w:rPr>
              <w:t>建筑垃圾严格按照《昆明市城市建筑垃圾管理实施办法》实施细则的规定，确定具备资质的建筑垃圾承运企业，并与承运企业签订《承运协议》后付费运输至</w:t>
            </w:r>
            <w:r>
              <w:rPr>
                <w:rFonts w:hint="eastAsia" w:ascii="Times New Roman" w:hAnsi="Times New Roman"/>
                <w:color w:val="auto"/>
                <w:szCs w:val="18"/>
              </w:rPr>
              <w:t>合法</w:t>
            </w:r>
            <w:r>
              <w:rPr>
                <w:rFonts w:ascii="Times New Roman" w:hAnsi="Times New Roman"/>
                <w:color w:val="auto"/>
                <w:szCs w:val="18"/>
              </w:rPr>
              <w:t>建筑垃圾消纳处置场进行处置。</w:t>
            </w:r>
          </w:p>
          <w:p>
            <w:pPr>
              <w:autoSpaceDE w:val="0"/>
              <w:autoSpaceDN w:val="0"/>
              <w:adjustRightInd w:val="0"/>
              <w:snapToGrid w:val="0"/>
              <w:spacing w:line="360" w:lineRule="auto"/>
              <w:jc w:val="left"/>
              <w:rPr>
                <w:rFonts w:ascii="Times New Roman" w:hAnsi="Times New Roman"/>
                <w:b/>
                <w:bCs/>
                <w:color w:val="auto"/>
                <w:kern w:val="0"/>
              </w:rPr>
            </w:pPr>
            <w:r>
              <w:rPr>
                <w:rFonts w:ascii="Times New Roman" w:hAnsi="Times New Roman"/>
                <w:b/>
                <w:bCs/>
                <w:color w:val="auto"/>
                <w:kern w:val="0"/>
              </w:rPr>
              <w:t>二、运营期生产污染</w:t>
            </w:r>
          </w:p>
          <w:p>
            <w:pPr>
              <w:autoSpaceDE w:val="0"/>
              <w:autoSpaceDN w:val="0"/>
              <w:adjustRightInd w:val="0"/>
              <w:snapToGrid w:val="0"/>
              <w:spacing w:line="360" w:lineRule="auto"/>
              <w:jc w:val="left"/>
              <w:rPr>
                <w:rFonts w:ascii="Times New Roman" w:hAnsi="Times New Roman"/>
                <w:b/>
                <w:bCs/>
                <w:color w:val="auto"/>
                <w:kern w:val="0"/>
              </w:rPr>
            </w:pPr>
            <w:r>
              <w:rPr>
                <w:rFonts w:ascii="Times New Roman" w:hAnsi="Times New Roman"/>
                <w:b/>
                <w:bCs/>
                <w:color w:val="auto"/>
                <w:kern w:val="0"/>
              </w:rPr>
              <w:t>1、废气</w:t>
            </w:r>
          </w:p>
          <w:p>
            <w:pPr>
              <w:widowControl/>
              <w:tabs>
                <w:tab w:val="left" w:pos="1421"/>
              </w:tabs>
              <w:adjustRightInd w:val="0"/>
              <w:snapToGrid w:val="0"/>
              <w:spacing w:line="360" w:lineRule="auto"/>
              <w:jc w:val="left"/>
              <w:rPr>
                <w:rFonts w:ascii="Times New Roman" w:hAnsi="Times New Roman"/>
                <w:b/>
                <w:color w:val="auto"/>
              </w:rPr>
            </w:pPr>
            <w:r>
              <w:rPr>
                <w:rFonts w:ascii="Times New Roman" w:hAnsi="Times New Roman"/>
                <w:b/>
                <w:color w:val="auto"/>
              </w:rPr>
              <w:t>1.1 锅炉烟气污染物排放量</w:t>
            </w:r>
          </w:p>
          <w:p>
            <w:pPr>
              <w:widowControl/>
              <w:tabs>
                <w:tab w:val="left" w:pos="1421"/>
              </w:tabs>
              <w:adjustRightInd w:val="0"/>
              <w:snapToGrid w:val="0"/>
              <w:spacing w:line="360" w:lineRule="auto"/>
              <w:ind w:firstLine="480" w:firstLineChars="200"/>
              <w:rPr>
                <w:rFonts w:ascii="Times New Roman" w:hAnsi="Times New Roman"/>
                <w:bCs/>
                <w:color w:val="auto"/>
              </w:rPr>
            </w:pPr>
            <w:r>
              <w:rPr>
                <w:rFonts w:ascii="Times New Roman" w:hAnsi="Times New Roman"/>
                <w:bCs/>
                <w:color w:val="auto"/>
              </w:rPr>
              <w:t>本项目锅炉</w:t>
            </w:r>
            <w:r>
              <w:rPr>
                <w:rFonts w:hint="eastAsia" w:ascii="Times New Roman" w:hAnsi="Times New Roman"/>
                <w:bCs/>
                <w:color w:val="auto"/>
              </w:rPr>
              <w:t>为生物质燃料链条炉，年运行3</w:t>
            </w:r>
            <w:r>
              <w:rPr>
                <w:rFonts w:ascii="Times New Roman" w:hAnsi="Times New Roman"/>
                <w:bCs/>
                <w:color w:val="auto"/>
              </w:rPr>
              <w:t>00</w:t>
            </w:r>
            <w:r>
              <w:rPr>
                <w:rFonts w:hint="eastAsia" w:ascii="Times New Roman" w:hAnsi="Times New Roman"/>
                <w:bCs/>
                <w:color w:val="auto"/>
              </w:rPr>
              <w:t>天，每天运行2</w:t>
            </w:r>
            <w:r>
              <w:rPr>
                <w:rFonts w:ascii="Times New Roman" w:hAnsi="Times New Roman"/>
                <w:bCs/>
                <w:color w:val="auto"/>
              </w:rPr>
              <w:t>4</w:t>
            </w:r>
            <w:r>
              <w:rPr>
                <w:rFonts w:hint="eastAsia" w:ascii="Times New Roman" w:hAnsi="Times New Roman"/>
                <w:bCs/>
                <w:color w:val="auto"/>
              </w:rPr>
              <w:t>小时。</w:t>
            </w:r>
            <w:r>
              <w:rPr>
                <w:rFonts w:ascii="Times New Roman" w:hAnsi="Times New Roman"/>
                <w:bCs/>
                <w:color w:val="auto"/>
              </w:rPr>
              <w:t>锅炉</w:t>
            </w:r>
            <w:r>
              <w:rPr>
                <w:rFonts w:hint="eastAsia" w:ascii="Times New Roman" w:hAnsi="Times New Roman"/>
                <w:bCs/>
                <w:color w:val="auto"/>
              </w:rPr>
              <w:t>烟气经袋式除尘器除尘后，</w:t>
            </w:r>
            <w:r>
              <w:rPr>
                <w:rFonts w:ascii="Times New Roman" w:hAnsi="Times New Roman"/>
                <w:bCs/>
                <w:color w:val="auto"/>
              </w:rPr>
              <w:t>经</w:t>
            </w:r>
            <w:r>
              <w:rPr>
                <w:rFonts w:ascii="Times New Roman" w:hAnsi="Times New Roman"/>
                <w:bCs/>
                <w:color w:val="auto"/>
              </w:rPr>
              <w:t>45m</w:t>
            </w:r>
            <w:r>
              <w:rPr>
                <w:rFonts w:ascii="Times New Roman" w:hAnsi="Times New Roman"/>
                <w:bCs/>
                <w:color w:val="auto"/>
              </w:rPr>
              <w:t>高的排气筒排放到大气中，其主要污染物为有组织二氧化硫、氮氧化物、颗粒物。</w:t>
            </w:r>
          </w:p>
          <w:p>
            <w:pPr>
              <w:widowControl/>
              <w:tabs>
                <w:tab w:val="left" w:pos="1421"/>
              </w:tabs>
              <w:adjustRightInd w:val="0"/>
              <w:snapToGrid w:val="0"/>
              <w:spacing w:line="360" w:lineRule="auto"/>
              <w:ind w:firstLine="480" w:firstLineChars="200"/>
              <w:rPr>
                <w:rFonts w:ascii="Times New Roman" w:hAnsi="Times New Roman"/>
                <w:bCs/>
                <w:color w:val="auto"/>
              </w:rPr>
            </w:pPr>
            <w:r>
              <w:rPr>
                <w:rFonts w:ascii="Times New Roman" w:hAnsi="Times New Roman"/>
                <w:bCs/>
                <w:color w:val="auto"/>
              </w:rPr>
              <w:t>本项目</w:t>
            </w:r>
            <w:r>
              <w:rPr>
                <w:rFonts w:hint="eastAsia" w:ascii="Times New Roman" w:hAnsi="Times New Roman"/>
                <w:bCs/>
                <w:color w:val="auto"/>
              </w:rPr>
              <w:t>锅炉污染物</w:t>
            </w:r>
            <w:r>
              <w:rPr>
                <w:rFonts w:ascii="Times New Roman" w:hAnsi="Times New Roman"/>
                <w:bCs/>
                <w:color w:val="auto"/>
              </w:rPr>
              <w:t>排放量根据《排污许可证申请与核发 锅炉》（HJ953-2018）</w:t>
            </w:r>
            <w:r>
              <w:rPr>
                <w:rFonts w:hint="eastAsia" w:ascii="Times New Roman" w:hAnsi="Times New Roman"/>
                <w:bCs/>
                <w:color w:val="auto"/>
              </w:rPr>
              <w:t>中</w:t>
            </w:r>
            <w:r>
              <w:rPr>
                <w:rFonts w:ascii="Times New Roman" w:hAnsi="Times New Roman"/>
                <w:bCs/>
                <w:color w:val="auto"/>
              </w:rPr>
              <w:t>5</w:t>
            </w:r>
            <w:r>
              <w:rPr>
                <w:rFonts w:hint="eastAsia" w:ascii="Times New Roman" w:hAnsi="Times New Roman"/>
                <w:bCs/>
                <w:color w:val="auto"/>
              </w:rPr>
              <w:t>废气污染源源强核算方法中的燃煤、燃生物质锅炉的物料衡算法</w:t>
            </w:r>
            <w:r>
              <w:rPr>
                <w:rFonts w:ascii="Times New Roman" w:hAnsi="Times New Roman"/>
                <w:bCs/>
                <w:color w:val="auto"/>
              </w:rPr>
              <w:t>进行核算</w:t>
            </w:r>
            <w:r>
              <w:rPr>
                <w:rFonts w:hint="eastAsia" w:ascii="Times New Roman" w:hAnsi="Times New Roman"/>
                <w:bCs/>
                <w:color w:val="auto"/>
              </w:rPr>
              <w:t>。</w:t>
            </w:r>
          </w:p>
          <w:p>
            <w:pPr>
              <w:pStyle w:val="84"/>
              <w:widowControl/>
              <w:numPr>
                <w:ilvl w:val="0"/>
                <w:numId w:val="5"/>
              </w:numPr>
              <w:tabs>
                <w:tab w:val="left" w:pos="1421"/>
              </w:tabs>
              <w:adjustRightInd w:val="0"/>
              <w:snapToGrid w:val="0"/>
              <w:spacing w:line="360" w:lineRule="auto"/>
              <w:rPr>
                <w:rFonts w:ascii="Times New Roman" w:hAnsi="Times New Roman"/>
                <w:b/>
                <w:color w:val="auto"/>
              </w:rPr>
            </w:pPr>
            <w:r>
              <w:rPr>
                <w:rFonts w:hint="eastAsia" w:ascii="Times New Roman" w:hAnsi="Times New Roman"/>
                <w:b/>
                <w:color w:val="auto"/>
              </w:rPr>
              <w:t>生物质燃料耗用量</w:t>
            </w:r>
          </w:p>
          <w:p>
            <w:pPr>
              <w:widowControl/>
              <w:tabs>
                <w:tab w:val="left" w:pos="1421"/>
              </w:tabs>
              <w:adjustRightInd w:val="0"/>
              <w:snapToGrid w:val="0"/>
              <w:spacing w:line="360" w:lineRule="auto"/>
              <w:ind w:firstLine="480" w:firstLineChars="200"/>
              <w:rPr>
                <w:rFonts w:ascii="Times New Roman" w:hAnsi="Times New Roman"/>
                <w:bCs/>
                <w:color w:val="auto"/>
              </w:rPr>
            </w:pPr>
            <w:r>
              <w:rPr>
                <w:rFonts w:hint="eastAsia" w:ascii="Times New Roman" w:hAnsi="Times New Roman"/>
                <w:bCs/>
                <w:color w:val="auto"/>
              </w:rPr>
              <w:t>根据《环境保护计算手册》推荐的计算方法计算本项目生物质耗用量：</w:t>
            </w:r>
          </w:p>
          <w:p>
            <w:pPr>
              <w:pStyle w:val="37"/>
              <w:adjustRightInd w:val="0"/>
              <w:snapToGrid w:val="0"/>
              <w:spacing w:line="360" w:lineRule="auto"/>
              <w:ind w:firstLine="0" w:firstLineChars="0"/>
              <w:rPr>
                <w:i/>
                <w:color w:val="auto"/>
              </w:rPr>
            </w:pPr>
            <m:oMathPara>
              <m:oMath>
                <m:r>
                  <m:rPr/>
                  <w:rPr>
                    <w:rFonts w:ascii="Cambria Math" w:hAnsi="Cambria Math"/>
                    <w:color w:val="auto"/>
                  </w:rPr>
                  <m:t>B=</m:t>
                </m:r>
                <m:f>
                  <m:fPr>
                    <m:ctrlPr>
                      <w:rPr>
                        <w:rFonts w:ascii="Cambria Math" w:hAnsi="Cambria Math"/>
                        <w:i/>
                        <w:color w:val="auto"/>
                      </w:rPr>
                    </m:ctrlPr>
                  </m:fPr>
                  <m:num>
                    <m:r>
                      <m:rPr/>
                      <w:rPr>
                        <w:rFonts w:ascii="Cambria Math" w:hAnsi="Cambria Math"/>
                        <w:color w:val="auto"/>
                      </w:rPr>
                      <m:t>D</m:t>
                    </m:r>
                    <m:d>
                      <m:dPr>
                        <m:ctrlPr>
                          <w:rPr>
                            <w:rFonts w:ascii="Cambria Math" w:hAnsi="Cambria Math"/>
                            <w:i/>
                            <w:color w:val="auto"/>
                          </w:rPr>
                        </m:ctrlPr>
                      </m:dPr>
                      <m:e>
                        <m:r>
                          <m:rPr/>
                          <w:rPr>
                            <w:rFonts w:ascii="Cambria Math" w:hAnsi="Cambria Math"/>
                            <w:color w:val="auto"/>
                          </w:rPr>
                          <m:t>i”−i’</m:t>
                        </m:r>
                        <m:ctrlPr>
                          <w:rPr>
                            <w:rFonts w:ascii="Cambria Math" w:hAnsi="Cambria Math"/>
                            <w:i/>
                            <w:color w:val="auto"/>
                          </w:rPr>
                        </m:ctrlPr>
                      </m:e>
                    </m:d>
                    <m:ctrlPr>
                      <w:rPr>
                        <w:rFonts w:ascii="Cambria Math" w:hAnsi="Cambria Math"/>
                        <w:i/>
                        <w:color w:val="auto"/>
                      </w:rPr>
                    </m:ctrlPr>
                  </m:num>
                  <m:den>
                    <m:sSub>
                      <m:sSubPr>
                        <m:ctrlPr>
                          <w:rPr>
                            <w:rFonts w:ascii="Cambria Math" w:hAnsi="Cambria Math"/>
                            <w:i/>
                            <w:color w:val="auto"/>
                          </w:rPr>
                        </m:ctrlPr>
                      </m:sSubPr>
                      <m:e>
                        <m:r>
                          <m:rPr/>
                          <w:rPr>
                            <w:rFonts w:ascii="Cambria Math" w:hAnsi="Cambria Math"/>
                            <w:color w:val="auto"/>
                          </w:rPr>
                          <m:t>Q</m:t>
                        </m:r>
                        <m:ctrlPr>
                          <w:rPr>
                            <w:rFonts w:ascii="Cambria Math" w:hAnsi="Cambria Math"/>
                            <w:i/>
                            <w:color w:val="auto"/>
                          </w:rPr>
                        </m:ctrlPr>
                      </m:e>
                      <m:sub>
                        <m:r>
                          <m:rPr/>
                          <w:rPr>
                            <w:rFonts w:ascii="Cambria Math" w:hAnsi="Cambria Math"/>
                            <w:color w:val="auto"/>
                          </w:rPr>
                          <m:t>ℎ</m:t>
                        </m:r>
                        <m:ctrlPr>
                          <w:rPr>
                            <w:rFonts w:ascii="Cambria Math" w:hAnsi="Cambria Math"/>
                            <w:i/>
                            <w:color w:val="auto"/>
                          </w:rPr>
                        </m:ctrlPr>
                      </m:sub>
                    </m:sSub>
                    <m:r>
                      <m:rPr/>
                      <w:rPr>
                        <w:rFonts w:ascii="Cambria Math" w:hAnsi="Cambria Math"/>
                        <w:color w:val="auto"/>
                      </w:rPr>
                      <m:t>−η</m:t>
                    </m:r>
                    <m:ctrlPr>
                      <w:rPr>
                        <w:rFonts w:ascii="Cambria Math" w:hAnsi="Cambria Math"/>
                        <w:i/>
                        <w:color w:val="auto"/>
                      </w:rPr>
                    </m:ctrlPr>
                  </m:den>
                </m:f>
              </m:oMath>
            </m:oMathPara>
          </w:p>
          <w:p>
            <w:pPr>
              <w:widowControl/>
              <w:tabs>
                <w:tab w:val="left" w:pos="1421"/>
              </w:tabs>
              <w:adjustRightInd w:val="0"/>
              <w:snapToGrid w:val="0"/>
              <w:spacing w:line="360" w:lineRule="auto"/>
              <w:ind w:firstLine="480" w:firstLineChars="200"/>
              <w:rPr>
                <w:rFonts w:ascii="Times New Roman" w:hAnsi="Times New Roman"/>
                <w:bCs/>
                <w:color w:val="auto"/>
              </w:rPr>
            </w:pPr>
            <w:r>
              <w:rPr>
                <w:rFonts w:hint="eastAsia" w:ascii="Times New Roman" w:hAnsi="Times New Roman"/>
                <w:bCs/>
                <w:color w:val="auto"/>
              </w:rPr>
              <w:t>式中，B</w:t>
            </w:r>
            <w:r>
              <w:rPr>
                <w:rFonts w:ascii="Times New Roman" w:hAnsi="Times New Roman"/>
                <w:bCs/>
                <w:color w:val="auto"/>
              </w:rPr>
              <w:t>——</w:t>
            </w:r>
            <w:r>
              <w:rPr>
                <w:rFonts w:hint="eastAsia" w:ascii="Times New Roman" w:hAnsi="Times New Roman"/>
                <w:bCs/>
                <w:color w:val="auto"/>
              </w:rPr>
              <w:t>锅炉燃料耗量，kg/h；</w:t>
            </w:r>
          </w:p>
          <w:p>
            <w:pPr>
              <w:widowControl/>
              <w:tabs>
                <w:tab w:val="left" w:pos="1421"/>
              </w:tabs>
              <w:adjustRightInd w:val="0"/>
              <w:snapToGrid w:val="0"/>
              <w:spacing w:line="360" w:lineRule="auto"/>
              <w:ind w:firstLine="1154" w:firstLineChars="481"/>
              <w:rPr>
                <w:rFonts w:ascii="Times New Roman" w:hAnsi="Times New Roman"/>
                <w:bCs/>
                <w:color w:val="auto"/>
              </w:rPr>
            </w:pPr>
            <w:r>
              <w:rPr>
                <w:rFonts w:hint="eastAsia" w:ascii="Times New Roman" w:hAnsi="Times New Roman"/>
                <w:bCs/>
                <w:color w:val="auto"/>
              </w:rPr>
              <w:t>D</w:t>
            </w:r>
            <w:r>
              <w:rPr>
                <w:rFonts w:ascii="Times New Roman" w:hAnsi="Times New Roman"/>
                <w:bCs/>
                <w:color w:val="auto"/>
              </w:rPr>
              <w:t>——</w:t>
            </w:r>
            <w:r>
              <w:rPr>
                <w:rFonts w:hint="eastAsia" w:ascii="Times New Roman" w:hAnsi="Times New Roman"/>
                <w:bCs/>
                <w:color w:val="auto"/>
              </w:rPr>
              <w:t>锅炉每小时的产气量，kg/h，本项目锅炉规模为1</w:t>
            </w:r>
            <w:r>
              <w:rPr>
                <w:rFonts w:ascii="Times New Roman" w:hAnsi="Times New Roman"/>
                <w:bCs/>
                <w:color w:val="auto"/>
              </w:rPr>
              <w:t>5t/h</w:t>
            </w:r>
            <w:r>
              <w:rPr>
                <w:rFonts w:hint="eastAsia" w:ascii="Times New Roman" w:hAnsi="Times New Roman"/>
                <w:bCs/>
                <w:color w:val="auto"/>
              </w:rPr>
              <w:t>；</w:t>
            </w:r>
          </w:p>
          <w:p>
            <w:pPr>
              <w:widowControl/>
              <w:tabs>
                <w:tab w:val="left" w:pos="1421"/>
              </w:tabs>
              <w:adjustRightInd w:val="0"/>
              <w:snapToGrid w:val="0"/>
              <w:spacing w:line="360" w:lineRule="auto"/>
              <w:ind w:firstLine="1154" w:firstLineChars="481"/>
              <w:rPr>
                <w:rFonts w:ascii="Times New Roman" w:hAnsi="Times New Roman"/>
                <w:bCs/>
                <w:color w:val="auto"/>
              </w:rPr>
            </w:pPr>
            <m:oMath>
              <m:sSub>
                <m:sSubPr>
                  <m:ctrlPr>
                    <w:rPr>
                      <w:rFonts w:ascii="Cambria Math" w:hAnsi="Cambria Math"/>
                      <w:bCs/>
                      <w:color w:val="auto"/>
                    </w:rPr>
                  </m:ctrlPr>
                </m:sSubPr>
                <m:e>
                  <m:r>
                    <m:rPr/>
                    <w:rPr>
                      <w:rFonts w:ascii="Cambria Math" w:hAnsi="Cambria Math"/>
                      <w:color w:val="auto"/>
                    </w:rPr>
                    <m:t>Q</m:t>
                  </m:r>
                  <m:ctrlPr>
                    <w:rPr>
                      <w:rFonts w:ascii="Cambria Math" w:hAnsi="Cambria Math"/>
                      <w:bCs/>
                      <w:color w:val="auto"/>
                    </w:rPr>
                  </m:ctrlPr>
                </m:e>
                <m:sub>
                  <m:r>
                    <m:rPr/>
                    <w:rPr>
                      <w:rFonts w:ascii="Cambria Math" w:hAnsi="Cambria Math"/>
                      <w:color w:val="auto"/>
                    </w:rPr>
                    <m:t>ℎ</m:t>
                  </m:r>
                  <m:ctrlPr>
                    <w:rPr>
                      <w:rFonts w:ascii="Cambria Math" w:hAnsi="Cambria Math"/>
                      <w:bCs/>
                      <w:color w:val="auto"/>
                    </w:rPr>
                  </m:ctrlPr>
                </m:sub>
              </m:sSub>
            </m:oMath>
            <w:r>
              <w:rPr>
                <w:rFonts w:hint="eastAsia" w:ascii="Times New Roman" w:hAnsi="Times New Roman"/>
                <w:bCs/>
                <w:color w:val="auto"/>
              </w:rPr>
              <w:t>——燃料应用基的低位发热值，kJ</w:t>
            </w:r>
            <w:r>
              <w:rPr>
                <w:rFonts w:ascii="Times New Roman" w:hAnsi="Times New Roman"/>
                <w:bCs/>
                <w:color w:val="auto"/>
              </w:rPr>
              <w:t>/kg</w:t>
            </w:r>
            <w:r>
              <w:rPr>
                <w:rFonts w:hint="eastAsia" w:ascii="Times New Roman" w:hAnsi="Times New Roman"/>
                <w:bCs/>
                <w:color w:val="auto"/>
              </w:rPr>
              <w:t>，</w:t>
            </w:r>
            <w:r>
              <w:rPr>
                <w:rFonts w:hint="eastAsia" w:ascii="Times New Roman" w:hAnsi="Times New Roman"/>
                <w:color w:val="auto"/>
              </w:rPr>
              <w:t>根据生物质燃料检测报告，本项目</w:t>
            </w:r>
            <w:r>
              <w:rPr>
                <w:rFonts w:ascii="Times New Roman" w:hAnsi="Times New Roman"/>
                <w:color w:val="auto"/>
                <w:kern w:val="0"/>
              </w:rPr>
              <w:t>收到基低位发热量为17.75MJ/kg</w:t>
            </w:r>
            <w:r>
              <w:rPr>
                <w:rFonts w:ascii="Times New Roman" w:hAnsi="Times New Roman"/>
                <w:color w:val="auto"/>
              </w:rPr>
              <w:t>；</w:t>
            </w:r>
          </w:p>
          <w:p>
            <w:pPr>
              <w:widowControl/>
              <w:tabs>
                <w:tab w:val="left" w:pos="1421"/>
              </w:tabs>
              <w:adjustRightInd w:val="0"/>
              <w:snapToGrid w:val="0"/>
              <w:spacing w:line="360" w:lineRule="auto"/>
              <w:ind w:firstLine="1154" w:firstLineChars="481"/>
              <w:rPr>
                <w:rFonts w:ascii="Times New Roman" w:hAnsi="Times New Roman"/>
                <w:color w:val="auto"/>
              </w:rPr>
            </w:pPr>
            <m:oMath>
              <m:r>
                <m:rPr/>
                <w:rPr>
                  <w:rFonts w:ascii="Cambria Math" w:hAnsi="Cambria Math"/>
                  <w:color w:val="auto"/>
                </w:rPr>
                <m:t>η</m:t>
              </m:r>
            </m:oMath>
            <w:r>
              <w:rPr>
                <w:rFonts w:hint="eastAsia" w:ascii="Times New Roman" w:hAnsi="Times New Roman"/>
                <w:color w:val="auto"/>
              </w:rPr>
              <w:t>——锅炉热效率，按锅炉供应商提供的参数91</w:t>
            </w:r>
            <w:r>
              <w:rPr>
                <w:rFonts w:ascii="Times New Roman" w:hAnsi="Times New Roman"/>
                <w:color w:val="auto"/>
              </w:rPr>
              <w:t>%</w:t>
            </w:r>
            <w:r>
              <w:rPr>
                <w:rFonts w:hint="eastAsia" w:ascii="Times New Roman" w:hAnsi="Times New Roman"/>
                <w:color w:val="auto"/>
              </w:rPr>
              <w:t>计算；</w:t>
            </w:r>
          </w:p>
          <w:p>
            <w:pPr>
              <w:widowControl/>
              <w:tabs>
                <w:tab w:val="left" w:pos="1421"/>
              </w:tabs>
              <w:adjustRightInd w:val="0"/>
              <w:snapToGrid w:val="0"/>
              <w:spacing w:line="360" w:lineRule="auto"/>
              <w:ind w:firstLine="1154" w:firstLineChars="481"/>
              <w:rPr>
                <w:rFonts w:ascii="Times New Roman" w:hAnsi="Times New Roman"/>
                <w:color w:val="auto"/>
              </w:rPr>
            </w:pPr>
            <m:oMath>
              <m:r>
                <m:rPr/>
                <w:rPr>
                  <w:rFonts w:ascii="Cambria Math" w:hAnsi="Cambria Math"/>
                  <w:color w:val="auto"/>
                </w:rPr>
                <m:t>i”</m:t>
              </m:r>
            </m:oMath>
            <w:r>
              <w:rPr>
                <w:rFonts w:hint="eastAsia" w:ascii="Times New Roman" w:hAnsi="Times New Roman"/>
                <w:color w:val="auto"/>
              </w:rPr>
              <w:t>——锅炉在额定工作状态下产生蒸汽的热焓值，</w:t>
            </w:r>
            <w:r>
              <w:rPr>
                <w:rFonts w:hint="eastAsia" w:ascii="Times New Roman" w:hAnsi="Times New Roman"/>
                <w:bCs/>
                <w:color w:val="auto"/>
              </w:rPr>
              <w:t>kJ</w:t>
            </w:r>
            <w:r>
              <w:rPr>
                <w:rFonts w:ascii="Times New Roman" w:hAnsi="Times New Roman"/>
                <w:bCs/>
                <w:color w:val="auto"/>
              </w:rPr>
              <w:t>/kg</w:t>
            </w:r>
            <w:r>
              <w:rPr>
                <w:rFonts w:hint="eastAsia" w:ascii="Times New Roman" w:hAnsi="Times New Roman"/>
                <w:bCs/>
                <w:color w:val="auto"/>
              </w:rPr>
              <w:t>，本项目锅炉蒸汽压力1</w:t>
            </w:r>
            <w:r>
              <w:rPr>
                <w:rFonts w:ascii="Times New Roman" w:hAnsi="Times New Roman"/>
                <w:bCs/>
                <w:color w:val="auto"/>
              </w:rPr>
              <w:t>.25MPa</w:t>
            </w:r>
            <w:r>
              <w:rPr>
                <w:rFonts w:hint="eastAsia" w:ascii="Times New Roman" w:hAnsi="Times New Roman"/>
                <w:bCs/>
                <w:color w:val="auto"/>
              </w:rPr>
              <w:t>，热焓值取2</w:t>
            </w:r>
            <w:r>
              <w:rPr>
                <w:rFonts w:ascii="Times New Roman" w:hAnsi="Times New Roman"/>
                <w:bCs/>
                <w:color w:val="auto"/>
              </w:rPr>
              <w:t>785</w:t>
            </w:r>
            <w:r>
              <w:rPr>
                <w:rFonts w:hint="eastAsia" w:ascii="Times New Roman" w:hAnsi="Times New Roman"/>
                <w:bCs/>
                <w:color w:val="auto"/>
              </w:rPr>
              <w:t>kJ</w:t>
            </w:r>
            <w:r>
              <w:rPr>
                <w:rFonts w:ascii="Times New Roman" w:hAnsi="Times New Roman"/>
                <w:bCs/>
                <w:color w:val="auto"/>
              </w:rPr>
              <w:t>/kg</w:t>
            </w:r>
            <w:r>
              <w:rPr>
                <w:rFonts w:hint="eastAsia" w:ascii="Times New Roman" w:hAnsi="Times New Roman"/>
                <w:bCs/>
                <w:color w:val="auto"/>
              </w:rPr>
              <w:t>；</w:t>
            </w:r>
          </w:p>
          <w:p>
            <w:pPr>
              <w:widowControl/>
              <w:tabs>
                <w:tab w:val="left" w:pos="1421"/>
              </w:tabs>
              <w:adjustRightInd w:val="0"/>
              <w:snapToGrid w:val="0"/>
              <w:spacing w:line="360" w:lineRule="auto"/>
              <w:ind w:firstLine="1154" w:firstLineChars="481"/>
              <w:rPr>
                <w:rFonts w:ascii="Times New Roman" w:hAnsi="Times New Roman"/>
                <w:bCs/>
                <w:color w:val="auto"/>
              </w:rPr>
            </w:pPr>
            <m:oMath>
              <m:r>
                <m:rPr/>
                <w:rPr>
                  <w:rFonts w:ascii="Cambria Math" w:hAnsi="Cambria Math"/>
                  <w:color w:val="auto"/>
                </w:rPr>
                <m:t>i’</m:t>
              </m:r>
            </m:oMath>
            <w:r>
              <w:rPr>
                <w:rFonts w:hint="eastAsia" w:ascii="Times New Roman" w:hAnsi="Times New Roman"/>
                <w:color w:val="auto"/>
              </w:rPr>
              <w:t>——锅炉给水热焓值，</w:t>
            </w:r>
            <w:r>
              <w:rPr>
                <w:rFonts w:hint="eastAsia" w:ascii="Times New Roman" w:hAnsi="Times New Roman"/>
                <w:bCs/>
                <w:color w:val="auto"/>
              </w:rPr>
              <w:t>kJ</w:t>
            </w:r>
            <w:r>
              <w:rPr>
                <w:rFonts w:ascii="Times New Roman" w:hAnsi="Times New Roman"/>
                <w:bCs/>
                <w:color w:val="auto"/>
              </w:rPr>
              <w:t>/kg</w:t>
            </w:r>
            <w:r>
              <w:rPr>
                <w:rFonts w:hint="eastAsia" w:ascii="Times New Roman" w:hAnsi="Times New Roman"/>
                <w:bCs/>
                <w:color w:val="auto"/>
              </w:rPr>
              <w:t>，本项目锅炉供水温度为2</w:t>
            </w:r>
            <w:r>
              <w:rPr>
                <w:rFonts w:ascii="Times New Roman" w:hAnsi="Times New Roman"/>
                <w:bCs/>
                <w:color w:val="auto"/>
              </w:rPr>
              <w:t>0</w:t>
            </w:r>
            <w:r>
              <w:rPr>
                <w:rFonts w:hint="eastAsia" w:ascii="宋体" w:hAnsi="宋体" w:cs="宋体"/>
                <w:bCs/>
                <w:color w:val="auto"/>
                <w:lang w:eastAsia="ja-JP"/>
              </w:rPr>
              <w:t>℃</w:t>
            </w:r>
            <w:r>
              <w:rPr>
                <w:rFonts w:hint="eastAsia" w:ascii="宋体" w:hAnsi="宋体" w:cs="宋体" w:eastAsiaTheme="minorEastAsia"/>
                <w:bCs/>
                <w:color w:val="auto"/>
              </w:rPr>
              <w:t>左右</w:t>
            </w:r>
            <w:r>
              <w:rPr>
                <w:rFonts w:hint="eastAsia" w:ascii="Times New Roman" w:hAnsi="Times New Roman"/>
                <w:bCs/>
                <w:color w:val="auto"/>
              </w:rPr>
              <w:t>，热焓值取</w:t>
            </w:r>
            <w:r>
              <w:rPr>
                <w:rFonts w:ascii="Times New Roman" w:hAnsi="Times New Roman"/>
                <w:bCs/>
                <w:color w:val="auto"/>
              </w:rPr>
              <w:t>83.74</w:t>
            </w:r>
            <w:r>
              <w:rPr>
                <w:rFonts w:hint="eastAsia" w:ascii="Times New Roman" w:hAnsi="Times New Roman"/>
                <w:bCs/>
                <w:color w:val="auto"/>
              </w:rPr>
              <w:t>kJ</w:t>
            </w:r>
            <w:r>
              <w:rPr>
                <w:rFonts w:ascii="Times New Roman" w:hAnsi="Times New Roman"/>
                <w:bCs/>
                <w:color w:val="auto"/>
              </w:rPr>
              <w:t>/kg</w:t>
            </w:r>
            <w:r>
              <w:rPr>
                <w:rFonts w:hint="eastAsia" w:ascii="Times New Roman" w:hAnsi="Times New Roman"/>
                <w:bCs/>
                <w:color w:val="auto"/>
              </w:rPr>
              <w:t>；</w:t>
            </w:r>
          </w:p>
          <w:p>
            <w:pPr>
              <w:widowControl/>
              <w:tabs>
                <w:tab w:val="left" w:pos="1421"/>
              </w:tabs>
              <w:adjustRightInd w:val="0"/>
              <w:snapToGrid w:val="0"/>
              <w:spacing w:line="360" w:lineRule="auto"/>
              <w:ind w:firstLine="480" w:firstLineChars="200"/>
              <w:rPr>
                <w:rFonts w:ascii="Times New Roman" w:hAnsi="Times New Roman"/>
                <w:bCs/>
                <w:color w:val="auto"/>
              </w:rPr>
            </w:pPr>
            <w:r>
              <w:rPr>
                <w:rFonts w:hint="eastAsia" w:ascii="Times New Roman" w:hAnsi="Times New Roman"/>
                <w:bCs/>
                <w:color w:val="auto"/>
              </w:rPr>
              <w:t>根据上式计算，本项目生物质燃料耗用量为2</w:t>
            </w:r>
            <w:r>
              <w:rPr>
                <w:rFonts w:ascii="Times New Roman" w:hAnsi="Times New Roman"/>
                <w:bCs/>
                <w:color w:val="auto"/>
              </w:rPr>
              <w:t>.51t/h</w:t>
            </w:r>
            <w:r>
              <w:rPr>
                <w:rFonts w:hint="eastAsia" w:ascii="Times New Roman" w:hAnsi="Times New Roman"/>
                <w:bCs/>
                <w:color w:val="auto"/>
              </w:rPr>
              <w:t>，60.20</w:t>
            </w:r>
            <w:r>
              <w:rPr>
                <w:rFonts w:ascii="Times New Roman" w:hAnsi="Times New Roman"/>
                <w:bCs/>
                <w:color w:val="auto"/>
              </w:rPr>
              <w:t>t/d</w:t>
            </w:r>
            <w:r>
              <w:rPr>
                <w:rFonts w:hint="eastAsia" w:ascii="Times New Roman" w:hAnsi="Times New Roman"/>
                <w:bCs/>
                <w:color w:val="auto"/>
              </w:rPr>
              <w:t>，18061.36</w:t>
            </w:r>
            <w:r>
              <w:rPr>
                <w:rFonts w:ascii="Times New Roman" w:hAnsi="Times New Roman"/>
                <w:bCs/>
                <w:color w:val="auto"/>
              </w:rPr>
              <w:t>t/a</w:t>
            </w:r>
            <w:r>
              <w:rPr>
                <w:rFonts w:hint="eastAsia" w:ascii="Times New Roman" w:hAnsi="Times New Roman"/>
                <w:bCs/>
                <w:color w:val="auto"/>
              </w:rPr>
              <w:t>。</w:t>
            </w:r>
          </w:p>
          <w:p>
            <w:pPr>
              <w:pStyle w:val="84"/>
              <w:widowControl/>
              <w:numPr>
                <w:ilvl w:val="0"/>
                <w:numId w:val="5"/>
              </w:numPr>
              <w:tabs>
                <w:tab w:val="left" w:pos="1421"/>
              </w:tabs>
              <w:adjustRightInd w:val="0"/>
              <w:snapToGrid w:val="0"/>
              <w:spacing w:line="360" w:lineRule="auto"/>
              <w:rPr>
                <w:rFonts w:ascii="Times New Roman" w:hAnsi="Times New Roman"/>
                <w:b/>
                <w:color w:val="auto"/>
              </w:rPr>
            </w:pPr>
            <w:r>
              <w:rPr>
                <w:rFonts w:hint="eastAsia" w:ascii="Times New Roman" w:hAnsi="Times New Roman"/>
                <w:b/>
                <w:color w:val="auto"/>
              </w:rPr>
              <w:t>锅炉理论干烟气量</w:t>
            </w:r>
          </w:p>
          <w:p>
            <w:pPr>
              <w:widowControl/>
              <w:tabs>
                <w:tab w:val="left" w:pos="1421"/>
              </w:tabs>
              <w:adjustRightInd w:val="0"/>
              <w:snapToGrid w:val="0"/>
              <w:spacing w:line="360" w:lineRule="auto"/>
              <w:ind w:firstLine="480" w:firstLineChars="200"/>
              <w:rPr>
                <w:rFonts w:ascii="Times New Roman" w:hAnsi="Times New Roman"/>
                <w:bCs/>
                <w:color w:val="auto"/>
              </w:rPr>
            </w:pPr>
            <w:r>
              <w:rPr>
                <w:rFonts w:ascii="Times New Roman" w:hAnsi="Times New Roman"/>
                <w:bCs/>
                <w:color w:val="auto"/>
              </w:rPr>
              <w:t>本项目标态干烟气排放量根据《排污许可证申请与核发 锅炉》（HJ953-2018）表5进行核算，根据建设单位提供资料，收到基低位发热量</w:t>
            </w:r>
            <w:r>
              <w:rPr>
                <w:rFonts w:ascii="Times New Roman" w:hAnsi="Times New Roman"/>
                <w:bCs/>
                <w:color w:val="auto"/>
              </w:rPr>
              <w:drawing>
                <wp:inline distT="0" distB="0" distL="0" distR="0">
                  <wp:extent cx="295275" cy="1905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95275" cy="190500"/>
                          </a:xfrm>
                          <a:prstGeom prst="rect">
                            <a:avLst/>
                          </a:prstGeom>
                          <a:noFill/>
                          <a:ln>
                            <a:noFill/>
                          </a:ln>
                          <a:effectLst/>
                        </pic:spPr>
                      </pic:pic>
                    </a:graphicData>
                  </a:graphic>
                </wp:inline>
              </w:drawing>
            </w:r>
            <w:r>
              <w:rPr>
                <w:rFonts w:ascii="Times New Roman" w:hAnsi="Times New Roman"/>
                <w:bCs/>
                <w:color w:val="auto"/>
              </w:rPr>
              <w:t>为</w:t>
            </w:r>
            <w:r>
              <w:rPr>
                <w:rFonts w:hint="eastAsia" w:ascii="Times New Roman" w:hAnsi="Times New Roman"/>
                <w:bCs/>
                <w:color w:val="auto"/>
              </w:rPr>
              <w:t>17.75</w:t>
            </w:r>
            <w:r>
              <w:rPr>
                <w:rFonts w:ascii="Times New Roman" w:hAnsi="Times New Roman"/>
                <w:bCs/>
                <w:color w:val="auto"/>
              </w:rPr>
              <w:t>MJ/kg，</w:t>
            </w:r>
            <w:r>
              <w:rPr>
                <w:rFonts w:ascii="Times New Roman" w:hAnsi="Times New Roman"/>
                <w:bCs/>
                <w:color w:val="auto"/>
              </w:rPr>
              <w:drawing>
                <wp:inline distT="0" distB="0" distL="0" distR="0">
                  <wp:extent cx="276225" cy="1714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76225" cy="171450"/>
                          </a:xfrm>
                          <a:prstGeom prst="rect">
                            <a:avLst/>
                          </a:prstGeom>
                          <a:noFill/>
                          <a:ln>
                            <a:noFill/>
                          </a:ln>
                          <a:effectLst/>
                        </pic:spPr>
                      </pic:pic>
                    </a:graphicData>
                  </a:graphic>
                </wp:inline>
              </w:drawing>
            </w:r>
            <w:r>
              <w:rPr>
                <w:rFonts w:ascii="Times New Roman" w:hAnsi="Times New Roman"/>
                <w:bCs/>
                <w:color w:val="auto"/>
              </w:rPr>
              <w:t>≥12.54MJ/kg，且干燥无灰基挥发分为83.</w:t>
            </w:r>
            <w:r>
              <w:rPr>
                <w:rFonts w:hint="eastAsia" w:ascii="Times New Roman" w:hAnsi="Times New Roman"/>
                <w:bCs/>
                <w:color w:val="auto"/>
              </w:rPr>
              <w:t>7</w:t>
            </w:r>
            <w:r>
              <w:rPr>
                <w:rFonts w:ascii="Times New Roman" w:hAnsi="Times New Roman"/>
                <w:bCs/>
                <w:color w:val="auto"/>
              </w:rPr>
              <w:t>3%，</w:t>
            </w:r>
            <w:r>
              <w:rPr>
                <w:rFonts w:ascii="Times New Roman" w:hAnsi="Times New Roman"/>
                <w:bCs/>
                <w:color w:val="auto"/>
              </w:rPr>
              <w:drawing>
                <wp:inline distT="0" distB="0" distL="0" distR="0">
                  <wp:extent cx="161925" cy="1809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61925" cy="180975"/>
                          </a:xfrm>
                          <a:prstGeom prst="rect">
                            <a:avLst/>
                          </a:prstGeom>
                          <a:noFill/>
                          <a:ln>
                            <a:noFill/>
                          </a:ln>
                          <a:effectLst/>
                        </pic:spPr>
                      </pic:pic>
                    </a:graphicData>
                  </a:graphic>
                </wp:inline>
              </w:drawing>
            </w:r>
            <w:r>
              <w:rPr>
                <w:rFonts w:ascii="Times New Roman" w:hAnsi="Times New Roman"/>
                <w:bCs/>
                <w:color w:val="auto"/>
              </w:rPr>
              <w:t>≥15%，故基准烟气量用下式计算：</w:t>
            </w:r>
          </w:p>
          <w:p>
            <w:pPr>
              <w:widowControl/>
              <w:tabs>
                <w:tab w:val="left" w:pos="1421"/>
              </w:tabs>
              <w:adjustRightInd w:val="0"/>
              <w:snapToGrid w:val="0"/>
              <w:spacing w:line="360" w:lineRule="auto"/>
              <w:jc w:val="center"/>
              <w:rPr>
                <w:rFonts w:ascii="Times New Roman" w:hAnsi="Times New Roman"/>
                <w:bCs/>
                <w:color w:val="auto"/>
              </w:rPr>
            </w:pPr>
            <w:r>
              <w:rPr>
                <w:rFonts w:ascii="Times New Roman" w:hAnsi="Times New Roman"/>
                <w:bCs/>
                <w:color w:val="auto"/>
              </w:rPr>
              <w:object>
                <v:shape id="_x0000_i1031" o:spt="75" type="#_x0000_t75" style="height:18.75pt;width:122.25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1" r:id="rId26">
                  <o:LockedField>false</o:LockedField>
                </o:OLEObject>
              </w:object>
            </w:r>
          </w:p>
          <w:p>
            <w:pPr>
              <w:widowControl/>
              <w:tabs>
                <w:tab w:val="left" w:pos="1421"/>
              </w:tabs>
              <w:adjustRightInd w:val="0"/>
              <w:snapToGrid w:val="0"/>
              <w:spacing w:line="360" w:lineRule="auto"/>
              <w:ind w:firstLine="480" w:firstLineChars="200"/>
              <w:rPr>
                <w:rFonts w:ascii="Times New Roman" w:hAnsi="Times New Roman"/>
                <w:bCs/>
                <w:color w:val="auto"/>
              </w:rPr>
            </w:pPr>
            <w:r>
              <w:rPr>
                <w:rFonts w:ascii="Times New Roman" w:hAnsi="Times New Roman"/>
                <w:bCs/>
                <w:color w:val="auto"/>
              </w:rPr>
              <w:t>计算可得基准烟气量为</w:t>
            </w:r>
            <w:r>
              <w:rPr>
                <w:rFonts w:hint="eastAsia" w:ascii="Times New Roman" w:hAnsi="Times New Roman"/>
                <w:bCs/>
                <w:color w:val="auto"/>
              </w:rPr>
              <w:t>7.852</w:t>
            </w:r>
            <w:r>
              <w:rPr>
                <w:rFonts w:ascii="Times New Roman" w:hAnsi="Times New Roman"/>
                <w:bCs/>
                <w:color w:val="auto"/>
              </w:rPr>
              <w:t>Nm</w:t>
            </w:r>
            <w:r>
              <w:rPr>
                <w:rFonts w:ascii="Times New Roman" w:hAnsi="Times New Roman"/>
                <w:bCs/>
                <w:color w:val="auto"/>
                <w:vertAlign w:val="superscript"/>
              </w:rPr>
              <w:t>3</w:t>
            </w:r>
            <w:r>
              <w:rPr>
                <w:rFonts w:ascii="Times New Roman" w:hAnsi="Times New Roman"/>
                <w:bCs/>
                <w:color w:val="auto"/>
              </w:rPr>
              <w:t>/kg。本项目锅炉燃生物质燃料用量为</w:t>
            </w:r>
            <w:r>
              <w:rPr>
                <w:rFonts w:ascii="Times New Roman" w:hAnsi="Times New Roman"/>
                <w:bCs/>
                <w:color w:val="auto"/>
              </w:rPr>
              <w:t>18061.36</w:t>
            </w:r>
            <w:r>
              <w:rPr>
                <w:rFonts w:ascii="Times New Roman" w:hAnsi="Times New Roman"/>
                <w:bCs/>
                <w:color w:val="auto"/>
              </w:rPr>
              <w:t>t/a，故本项目标准状态下的干烟气排放量为</w:t>
            </w:r>
            <w:r>
              <w:rPr>
                <w:rFonts w:ascii="Times New Roman" w:hAnsi="Times New Roman"/>
                <w:bCs/>
                <w:color w:val="auto"/>
              </w:rPr>
              <w:t>19696.29m³/h，14181.3万m³/a。</w:t>
            </w:r>
          </w:p>
          <w:p>
            <w:pPr>
              <w:pStyle w:val="84"/>
              <w:widowControl/>
              <w:numPr>
                <w:ilvl w:val="0"/>
                <w:numId w:val="5"/>
              </w:numPr>
              <w:tabs>
                <w:tab w:val="left" w:pos="1421"/>
              </w:tabs>
              <w:adjustRightInd w:val="0"/>
              <w:snapToGrid w:val="0"/>
              <w:spacing w:line="360" w:lineRule="auto"/>
              <w:rPr>
                <w:rFonts w:ascii="Times New Roman" w:hAnsi="Times New Roman"/>
                <w:b/>
                <w:color w:val="auto"/>
              </w:rPr>
            </w:pPr>
            <w:r>
              <w:rPr>
                <w:rFonts w:ascii="Times New Roman" w:hAnsi="Times New Roman"/>
                <w:b/>
                <w:color w:val="auto"/>
              </w:rPr>
              <w:t>二氧化硫</w:t>
            </w:r>
          </w:p>
          <w:p>
            <w:pPr>
              <w:widowControl/>
              <w:tabs>
                <w:tab w:val="left" w:pos="1421"/>
              </w:tabs>
              <w:adjustRightInd w:val="0"/>
              <w:snapToGrid w:val="0"/>
              <w:spacing w:line="360" w:lineRule="auto"/>
              <w:ind w:firstLine="480" w:firstLineChars="200"/>
              <w:rPr>
                <w:rFonts w:ascii="Times New Roman" w:hAnsi="Times New Roman"/>
                <w:bCs/>
                <w:color w:val="auto"/>
              </w:rPr>
            </w:pPr>
            <w:r>
              <w:rPr>
                <w:rFonts w:ascii="Times New Roman" w:hAnsi="Times New Roman"/>
                <w:bCs/>
                <w:color w:val="auto"/>
              </w:rPr>
              <w:t>项目</w:t>
            </w:r>
            <w:r>
              <w:rPr>
                <w:rFonts w:hint="eastAsia" w:ascii="Times New Roman" w:hAnsi="Times New Roman"/>
                <w:bCs/>
                <w:color w:val="auto"/>
              </w:rPr>
              <w:t>采用</w:t>
            </w:r>
            <w:r>
              <w:rPr>
                <w:rFonts w:ascii="Times New Roman" w:hAnsi="Times New Roman"/>
                <w:bCs/>
                <w:color w:val="auto"/>
              </w:rPr>
              <w:t>生物质燃料，产生的燃烧废气从</w:t>
            </w:r>
            <w:r>
              <w:rPr>
                <w:rFonts w:ascii="Times New Roman" w:hAnsi="Times New Roman"/>
                <w:bCs/>
                <w:color w:val="auto"/>
              </w:rPr>
              <w:t>45m</w:t>
            </w:r>
            <w:r>
              <w:rPr>
                <w:rFonts w:ascii="Times New Roman" w:hAnsi="Times New Roman"/>
                <w:bCs/>
                <w:color w:val="auto"/>
              </w:rPr>
              <w:t>高的排气筒排放。建设单位提供的生物质燃料检验报告（详见附件），</w:t>
            </w:r>
            <w:r>
              <w:rPr>
                <w:rFonts w:ascii="Times New Roman" w:hAnsi="Times New Roman"/>
                <w:color w:val="auto"/>
              </w:rPr>
              <w:t>项目拟用生物质燃料中空气干燥基全硫含量</w:t>
            </w:r>
            <w:r>
              <w:rPr>
                <w:rFonts w:ascii="Times New Roman" w:hAnsi="Times New Roman"/>
                <w:bCs/>
                <w:color w:val="auto"/>
              </w:rPr>
              <w:t>为0.08%。</w:t>
            </w:r>
          </w:p>
          <w:p>
            <w:pPr>
              <w:pStyle w:val="16"/>
              <w:adjustRightInd w:val="0"/>
              <w:snapToGrid w:val="0"/>
              <w:spacing w:line="360" w:lineRule="auto"/>
              <w:ind w:firstLine="480" w:firstLineChars="200"/>
              <w:jc w:val="both"/>
              <w:rPr>
                <w:rFonts w:ascii="Times New Roman" w:hAnsi="Times New Roman"/>
                <w:bCs/>
                <w:color w:val="auto"/>
                <w:kern w:val="44"/>
              </w:rPr>
            </w:pPr>
            <w:r>
              <w:rPr>
                <w:rFonts w:ascii="Times New Roman" w:hAnsi="Times New Roman"/>
                <w:bCs/>
                <w:color w:val="auto"/>
                <w:kern w:val="44"/>
              </w:rPr>
              <w:t>二氧化硫排放量按下式计算：</w:t>
            </w:r>
          </w:p>
          <w:p>
            <w:pPr>
              <w:pStyle w:val="2"/>
              <w:adjustRightInd w:val="0"/>
              <w:snapToGrid w:val="0"/>
              <w:spacing w:line="360" w:lineRule="auto"/>
              <w:ind w:firstLine="480" w:firstLineChars="200"/>
              <w:jc w:val="center"/>
              <w:rPr>
                <w:rFonts w:ascii="Times New Roman" w:hAnsi="Times New Roman" w:cs="Times New Roman"/>
                <w:color w:val="auto"/>
                <w:sz w:val="24"/>
                <w:szCs w:val="24"/>
              </w:rPr>
            </w:pPr>
            <w:r>
              <w:rPr>
                <w:rFonts w:ascii="Times New Roman" w:hAnsi="Times New Roman" w:cs="Times New Roman"/>
                <w:color w:val="auto"/>
                <w:position w:val="-40"/>
                <w:sz w:val="24"/>
                <w:szCs w:val="24"/>
              </w:rPr>
              <w:object>
                <v:shape id="_x0000_i1032" o:spt="75" type="#_x0000_t75" style="height:40.5pt;width:185.25pt;" o:ole="t" filled="f" o:preferrelative="t" stroked="f" coordsize="21600,21600">
                  <v:path/>
                  <v:fill on="f" focussize="0,0"/>
                  <v:stroke on="f" joinstyle="miter"/>
                  <v:imagedata r:id="rId29" o:title=""/>
                  <o:lock v:ext="edit" aspectratio="t"/>
                  <w10:wrap type="none"/>
                  <w10:anchorlock/>
                </v:shape>
                <o:OLEObject Type="Embed" ProgID="Equation.3" ShapeID="_x0000_i1032" DrawAspect="Content" ObjectID="_1468075732" r:id="rId28">
                  <o:LockedField>false</o:LockedField>
                </o:OLEObject>
              </w:object>
            </w:r>
          </w:p>
          <w:p>
            <w:pPr>
              <w:pStyle w:val="2"/>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式中：</w:t>
            </w:r>
            <w:r>
              <w:rPr>
                <w:rFonts w:ascii="Times New Roman" w:hAnsi="Times New Roman" w:cs="Times New Roman"/>
                <w:color w:val="auto"/>
                <w:position w:val="-20"/>
                <w:sz w:val="24"/>
                <w:szCs w:val="24"/>
              </w:rPr>
              <w:object>
                <v:shape id="_x0000_i1033" o:spt="75" type="#_x0000_t75" style="height:21.75pt;width:30pt;" o:ole="t" filled="f" o:preferrelative="t" stroked="f" coordsize="21600,21600">
                  <v:path/>
                  <v:fill on="f" focussize="0,0"/>
                  <v:stroke on="f" joinstyle="miter"/>
                  <v:imagedata r:id="rId31" o:title=""/>
                  <o:lock v:ext="edit" aspectratio="t"/>
                  <w10:wrap type="none"/>
                  <w10:anchorlock/>
                </v:shape>
                <o:OLEObject Type="Embed" ProgID="Equation.3" ShapeID="_x0000_i1033" DrawAspect="Content" ObjectID="_1468075733" r:id="rId30">
                  <o:LockedField>false</o:LockedField>
                </o:OLEObject>
              </w:object>
            </w:r>
            <w:r>
              <w:rPr>
                <w:rFonts w:ascii="Times New Roman" w:hAnsi="Times New Roman" w:cs="Times New Roman"/>
                <w:color w:val="auto"/>
                <w:sz w:val="24"/>
                <w:szCs w:val="24"/>
              </w:rPr>
              <w:t>——核算时段内二氧化硫排放量，t；</w:t>
            </w:r>
          </w:p>
          <w:p>
            <w:pPr>
              <w:pStyle w:val="2"/>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position w:val="-4"/>
                <w:sz w:val="24"/>
                <w:szCs w:val="24"/>
              </w:rPr>
              <w:object>
                <v:shape id="_x0000_i1034" o:spt="75" type="#_x0000_t75" style="height:12.75pt;width:12pt;" o:ole="t" filled="f" o:preferrelative="t" stroked="f" coordsize="21600,21600">
                  <v:path/>
                  <v:fill on="f" focussize="0,0"/>
                  <v:stroke on="f" joinstyle="miter"/>
                  <v:imagedata r:id="rId33" o:title=""/>
                  <o:lock v:ext="edit" aspectratio="t"/>
                  <w10:wrap type="none"/>
                  <w10:anchorlock/>
                </v:shape>
                <o:OLEObject Type="Embed" ProgID="Equation.3" ShapeID="_x0000_i1034" DrawAspect="Content" ObjectID="_1468075734" r:id="rId32">
                  <o:LockedField>false</o:LockedField>
                </o:OLEObject>
              </w:object>
            </w:r>
            <w:r>
              <w:rPr>
                <w:rFonts w:ascii="Times New Roman" w:hAnsi="Times New Roman" w:cs="Times New Roman"/>
                <w:color w:val="auto"/>
                <w:sz w:val="24"/>
                <w:szCs w:val="24"/>
              </w:rPr>
              <w:t>——核算时段内锅炉燃料耗量，t</w:t>
            </w:r>
            <w:r>
              <w:rPr>
                <w:rFonts w:hint="eastAsia" w:ascii="Times New Roman" w:hAnsi="Times New Roman" w:cs="Times New Roman"/>
                <w:color w:val="auto"/>
                <w:sz w:val="24"/>
                <w:szCs w:val="24"/>
              </w:rPr>
              <w:t>，根据前文计算，本项目</w:t>
            </w:r>
            <w:r>
              <w:rPr>
                <w:rFonts w:ascii="Times New Roman" w:hAnsi="Times New Roman" w:cs="Times New Roman"/>
                <w:color w:val="auto"/>
                <w:sz w:val="24"/>
                <w:szCs w:val="24"/>
              </w:rPr>
              <w:t>生物质燃料用量为18061.36t/a；</w:t>
            </w:r>
          </w:p>
          <w:p>
            <w:pPr>
              <w:pStyle w:val="2"/>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position w:val="-14"/>
                <w:sz w:val="24"/>
                <w:szCs w:val="24"/>
              </w:rPr>
              <w:object>
                <v:shape id="_x0000_i1035" o:spt="75" type="#_x0000_t75" style="height:18pt;width:19.5pt;" o:ole="t" filled="f" o:preferrelative="t" stroked="f" coordsize="21600,21600">
                  <v:path/>
                  <v:fill on="f" focussize="0,0"/>
                  <v:stroke on="f" joinstyle="miter"/>
                  <v:imagedata r:id="rId35" o:title=""/>
                  <o:lock v:ext="edit" aspectratio="t"/>
                  <w10:wrap type="none"/>
                  <w10:anchorlock/>
                </v:shape>
                <o:OLEObject Type="Embed" ProgID="Equation.3" ShapeID="_x0000_i1035" DrawAspect="Content" ObjectID="_1468075735" r:id="rId34">
                  <o:LockedField>false</o:LockedField>
                </o:OLEObject>
              </w:object>
            </w:r>
            <w:r>
              <w:rPr>
                <w:rFonts w:ascii="Times New Roman" w:hAnsi="Times New Roman" w:cs="Times New Roman"/>
                <w:color w:val="auto"/>
                <w:sz w:val="24"/>
                <w:szCs w:val="24"/>
              </w:rPr>
              <w:t>——收到基硫的质量分数，%</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rPr>
              <w:t>根据生物质燃料检测报告，本项目干燥</w:t>
            </w:r>
            <w:r>
              <w:rPr>
                <w:rFonts w:ascii="Times New Roman" w:hAnsi="Times New Roman" w:cs="Times New Roman"/>
                <w:color w:val="auto"/>
                <w:sz w:val="24"/>
                <w:szCs w:val="24"/>
              </w:rPr>
              <w:t>基硫的质量分数为0.08%，</w:t>
            </w:r>
            <w:r>
              <w:rPr>
                <w:rFonts w:hint="eastAsia" w:ascii="Times New Roman" w:hAnsi="Times New Roman" w:cs="Times New Roman"/>
                <w:bCs/>
                <w:color w:val="auto"/>
                <w:sz w:val="24"/>
                <w:szCs w:val="24"/>
              </w:rPr>
              <w:t>根据水分换算，收到基全硫为</w:t>
            </w:r>
            <w:r>
              <w:rPr>
                <w:rFonts w:ascii="Times New Roman" w:hAnsi="Times New Roman" w:cs="Times New Roman"/>
                <w:bCs/>
                <w:color w:val="auto"/>
                <w:sz w:val="24"/>
                <w:szCs w:val="24"/>
              </w:rPr>
              <w:t>0.085%</w:t>
            </w:r>
            <w:r>
              <w:rPr>
                <w:rFonts w:ascii="Times New Roman" w:hAnsi="Times New Roman" w:cs="Times New Roman"/>
                <w:color w:val="auto"/>
                <w:sz w:val="24"/>
                <w:szCs w:val="24"/>
              </w:rPr>
              <w:t>；</w:t>
            </w:r>
          </w:p>
          <w:p>
            <w:pPr>
              <w:pStyle w:val="2"/>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position w:val="-18"/>
                <w:sz w:val="24"/>
                <w:szCs w:val="24"/>
              </w:rPr>
              <w:object>
                <v:shape id="_x0000_i1036" o:spt="75" type="#_x0000_t75" style="height:21pt;width:15pt;" o:ole="t" filled="f" o:preferrelative="t" stroked="f" coordsize="21600,21600">
                  <v:path/>
                  <v:fill on="f" focussize="0,0"/>
                  <v:stroke on="f" joinstyle="miter"/>
                  <v:imagedata r:id="rId37" o:title=""/>
                  <o:lock v:ext="edit" aspectratio="t"/>
                  <w10:wrap type="none"/>
                  <w10:anchorlock/>
                </v:shape>
                <o:OLEObject Type="Embed" ProgID="Equation.3" ShapeID="_x0000_i1036" DrawAspect="Content" ObjectID="_1468075736" r:id="rId36">
                  <o:LockedField>false</o:LockedField>
                </o:OLEObject>
              </w:object>
            </w:r>
            <w:r>
              <w:rPr>
                <w:rFonts w:ascii="Times New Roman" w:hAnsi="Times New Roman" w:cs="Times New Roman"/>
                <w:color w:val="auto"/>
                <w:sz w:val="24"/>
                <w:szCs w:val="24"/>
              </w:rPr>
              <w:t>——锅炉机械不完全燃烧热损失，%</w:t>
            </w:r>
            <w:r>
              <w:rPr>
                <w:rFonts w:hint="eastAsia" w:ascii="Times New Roman" w:hAnsi="Times New Roman" w:cs="Times New Roman"/>
                <w:color w:val="auto"/>
                <w:sz w:val="24"/>
                <w:szCs w:val="24"/>
              </w:rPr>
              <w:t>，</w:t>
            </w:r>
            <w:r>
              <w:rPr>
                <w:rFonts w:ascii="Times New Roman" w:hAnsi="Times New Roman" w:cs="Times New Roman"/>
                <w:bCs/>
                <w:color w:val="auto"/>
                <w:sz w:val="24"/>
                <w:szCs w:val="24"/>
              </w:rPr>
              <w:t>参考《排污许可证申请与核发 锅炉》（HJ953-2018）</w:t>
            </w:r>
            <w:r>
              <w:rPr>
                <w:rFonts w:hint="eastAsia" w:ascii="Times New Roman" w:hAnsi="Times New Roman" w:cs="Times New Roman"/>
                <w:color w:val="auto"/>
                <w:sz w:val="24"/>
                <w:szCs w:val="24"/>
              </w:rPr>
              <w:t>表1</w:t>
            </w:r>
            <w:r>
              <w:rPr>
                <w:rFonts w:ascii="Times New Roman" w:hAnsi="Times New Roman" w:cs="Times New Roman"/>
                <w:color w:val="auto"/>
                <w:sz w:val="24"/>
                <w:szCs w:val="24"/>
              </w:rPr>
              <w:t>1</w:t>
            </w:r>
            <w:r>
              <w:rPr>
                <w:rFonts w:hint="eastAsia" w:ascii="Times New Roman" w:hAnsi="Times New Roman" w:cs="Times New Roman"/>
                <w:color w:val="auto"/>
                <w:sz w:val="24"/>
                <w:szCs w:val="24"/>
              </w:rPr>
              <w:t>，</w:t>
            </w:r>
            <w:r>
              <w:rPr>
                <w:rFonts w:ascii="Times New Roman" w:hAnsi="Times New Roman" w:cs="Times New Roman"/>
                <w:color w:val="auto"/>
                <w:sz w:val="24"/>
                <w:szCs w:val="24"/>
              </w:rPr>
              <w:t>取10%；</w:t>
            </w:r>
          </w:p>
          <w:p>
            <w:pPr>
              <w:pStyle w:val="2"/>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position w:val="-18"/>
                <w:sz w:val="24"/>
                <w:szCs w:val="24"/>
              </w:rPr>
              <w:object>
                <v:shape id="_x0000_i1037" o:spt="75" type="#_x0000_t75" style="height:20.25pt;width:15pt;" o:ole="t" filled="f" o:preferrelative="t" stroked="f" coordsize="21600,21600">
                  <v:path/>
                  <v:fill on="f" focussize="0,0"/>
                  <v:stroke on="f" joinstyle="miter"/>
                  <v:imagedata r:id="rId39" o:title=""/>
                  <o:lock v:ext="edit" aspectratio="t"/>
                  <w10:wrap type="none"/>
                  <w10:anchorlock/>
                </v:shape>
                <o:OLEObject Type="Embed" ProgID="Equation.3" ShapeID="_x0000_i1037" DrawAspect="Content" ObjectID="_1468075737" r:id="rId38">
                  <o:LockedField>false</o:LockedField>
                </o:OLEObject>
              </w:object>
            </w:r>
            <w:r>
              <w:rPr>
                <w:rFonts w:ascii="Times New Roman" w:hAnsi="Times New Roman" w:cs="Times New Roman"/>
                <w:color w:val="auto"/>
                <w:sz w:val="24"/>
                <w:szCs w:val="24"/>
              </w:rPr>
              <w:t>——脱硫效率，%</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rPr>
              <w:t>本项目无脱硫设施，取0</w:t>
            </w:r>
            <w:r>
              <w:rPr>
                <w:rFonts w:ascii="Times New Roman" w:hAnsi="Times New Roman" w:cs="Times New Roman"/>
                <w:color w:val="auto"/>
                <w:sz w:val="24"/>
                <w:szCs w:val="24"/>
              </w:rPr>
              <w:t>；</w:t>
            </w:r>
          </w:p>
          <w:p>
            <w:pPr>
              <w:pStyle w:val="2"/>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position w:val="-4"/>
                <w:sz w:val="24"/>
                <w:szCs w:val="24"/>
              </w:rPr>
              <w:object>
                <v:shape id="_x0000_i1038" o:spt="75" type="#_x0000_t75" style="height:12.75pt;width:12.75pt;" o:ole="t" filled="f" o:preferrelative="t" stroked="f" coordsize="21600,21600">
                  <v:path/>
                  <v:fill on="f" focussize="0,0"/>
                  <v:stroke on="f" joinstyle="miter"/>
                  <v:imagedata r:id="rId41" o:title=""/>
                  <o:lock v:ext="edit" aspectratio="t"/>
                  <w10:wrap type="none"/>
                  <w10:anchorlock/>
                </v:shape>
                <o:OLEObject Type="Embed" ProgID="Equation.3" ShapeID="_x0000_i1038" DrawAspect="Content" ObjectID="_1468075738" r:id="rId40">
                  <o:LockedField>false</o:LockedField>
                </o:OLEObject>
              </w:object>
            </w:r>
            <w:r>
              <w:rPr>
                <w:rFonts w:ascii="Times New Roman" w:hAnsi="Times New Roman" w:cs="Times New Roman"/>
                <w:color w:val="auto"/>
                <w:sz w:val="24"/>
                <w:szCs w:val="24"/>
              </w:rPr>
              <w:t>——燃料中的硫燃烧后氧化成二氧化硫的份额，</w:t>
            </w:r>
            <w:r>
              <w:rPr>
                <w:rFonts w:hint="eastAsia" w:ascii="Times New Roman" w:hAnsi="Times New Roman" w:cs="Times New Roman"/>
                <w:color w:val="auto"/>
                <w:sz w:val="24"/>
                <w:szCs w:val="24"/>
              </w:rPr>
              <w:t>无</w:t>
            </w:r>
            <w:r>
              <w:rPr>
                <w:rFonts w:ascii="Times New Roman" w:hAnsi="Times New Roman" w:cs="Times New Roman"/>
                <w:color w:val="auto"/>
                <w:sz w:val="24"/>
                <w:szCs w:val="24"/>
              </w:rPr>
              <w:t>量纲</w:t>
            </w:r>
            <w:r>
              <w:rPr>
                <w:rFonts w:hint="eastAsia" w:ascii="Times New Roman" w:hAnsi="Times New Roman" w:cs="Times New Roman"/>
                <w:color w:val="auto"/>
                <w:sz w:val="24"/>
                <w:szCs w:val="24"/>
              </w:rPr>
              <w:t>，</w:t>
            </w:r>
            <w:r>
              <w:rPr>
                <w:rFonts w:ascii="Times New Roman" w:hAnsi="Times New Roman" w:cs="Times New Roman"/>
                <w:bCs/>
                <w:color w:val="auto"/>
                <w:sz w:val="24"/>
                <w:szCs w:val="24"/>
              </w:rPr>
              <w:t>参考《排污许可证申请与核发 锅炉》（HJ953-2018）</w:t>
            </w:r>
            <w:r>
              <w:rPr>
                <w:rFonts w:hint="eastAsia" w:ascii="Times New Roman" w:hAnsi="Times New Roman" w:cs="Times New Roman"/>
                <w:color w:val="auto"/>
                <w:sz w:val="24"/>
                <w:szCs w:val="24"/>
              </w:rPr>
              <w:t>表1</w:t>
            </w:r>
            <w:r>
              <w:rPr>
                <w:rFonts w:ascii="Times New Roman" w:hAnsi="Times New Roman" w:cs="Times New Roman"/>
                <w:color w:val="auto"/>
                <w:sz w:val="24"/>
                <w:szCs w:val="24"/>
              </w:rPr>
              <w:t>2</w:t>
            </w:r>
            <w:r>
              <w:rPr>
                <w:rFonts w:hint="eastAsia" w:ascii="Times New Roman" w:hAnsi="Times New Roman" w:cs="Times New Roman"/>
                <w:color w:val="auto"/>
                <w:sz w:val="24"/>
                <w:szCs w:val="24"/>
              </w:rPr>
              <w:t>，</w:t>
            </w:r>
            <w:r>
              <w:rPr>
                <w:rFonts w:ascii="Times New Roman" w:hAnsi="Times New Roman" w:cs="Times New Roman"/>
                <w:color w:val="auto"/>
                <w:sz w:val="24"/>
                <w:szCs w:val="24"/>
              </w:rPr>
              <w:t>取0.4。</w:t>
            </w:r>
          </w:p>
          <w:p>
            <w:pPr>
              <w:widowControl/>
              <w:tabs>
                <w:tab w:val="left" w:pos="1421"/>
              </w:tabs>
              <w:adjustRightInd w:val="0"/>
              <w:snapToGrid w:val="0"/>
              <w:spacing w:line="360" w:lineRule="auto"/>
              <w:ind w:firstLine="480" w:firstLineChars="200"/>
              <w:rPr>
                <w:rFonts w:ascii="Times New Roman" w:hAnsi="Times New Roman"/>
                <w:bCs/>
                <w:color w:val="auto"/>
              </w:rPr>
            </w:pPr>
            <w:r>
              <w:rPr>
                <w:rFonts w:ascii="Times New Roman" w:hAnsi="Times New Roman"/>
                <w:color w:val="auto"/>
              </w:rPr>
              <w:t>根据</w:t>
            </w:r>
            <w:r>
              <w:rPr>
                <w:rFonts w:hint="eastAsia" w:ascii="Times New Roman" w:hAnsi="Times New Roman"/>
                <w:color w:val="auto"/>
              </w:rPr>
              <w:t>上式计算，本</w:t>
            </w:r>
            <w:r>
              <w:rPr>
                <w:rFonts w:ascii="Times New Roman" w:hAnsi="Times New Roman"/>
                <w:bCs/>
                <w:color w:val="auto"/>
              </w:rPr>
              <w:t>项目</w:t>
            </w:r>
            <w:r>
              <w:rPr>
                <w:rFonts w:ascii="Times New Roman" w:hAnsi="Times New Roman"/>
                <w:color w:val="auto"/>
              </w:rPr>
              <w:t>二氧化硫的</w:t>
            </w:r>
            <w:r>
              <w:rPr>
                <w:rFonts w:ascii="Times New Roman" w:hAnsi="Times New Roman"/>
                <w:bCs/>
                <w:color w:val="auto"/>
              </w:rPr>
              <w:t>产生量为1.54kg/h，11.05t/a。</w:t>
            </w:r>
          </w:p>
          <w:p>
            <w:pPr>
              <w:pStyle w:val="84"/>
              <w:widowControl/>
              <w:numPr>
                <w:ilvl w:val="0"/>
                <w:numId w:val="5"/>
              </w:numPr>
              <w:tabs>
                <w:tab w:val="left" w:pos="1421"/>
              </w:tabs>
              <w:adjustRightInd w:val="0"/>
              <w:snapToGrid w:val="0"/>
              <w:spacing w:line="360" w:lineRule="auto"/>
              <w:rPr>
                <w:rFonts w:ascii="Times New Roman" w:hAnsi="Times New Roman"/>
                <w:b/>
                <w:color w:val="auto"/>
              </w:rPr>
            </w:pPr>
            <w:r>
              <w:rPr>
                <w:rFonts w:ascii="Times New Roman" w:hAnsi="Times New Roman"/>
                <w:b/>
                <w:color w:val="auto"/>
              </w:rPr>
              <w:t>氮氧化物</w:t>
            </w:r>
          </w:p>
          <w:p>
            <w:pPr>
              <w:widowControl/>
              <w:tabs>
                <w:tab w:val="left" w:pos="1421"/>
              </w:tabs>
              <w:adjustRightInd w:val="0"/>
              <w:snapToGrid w:val="0"/>
              <w:spacing w:line="360" w:lineRule="auto"/>
              <w:ind w:firstLine="480" w:firstLineChars="200"/>
              <w:rPr>
                <w:rFonts w:ascii="Times New Roman" w:hAnsi="Times New Roman"/>
                <w:color w:val="auto"/>
              </w:rPr>
            </w:pPr>
            <w:r>
              <w:rPr>
                <w:rFonts w:ascii="Times New Roman" w:hAnsi="Times New Roman"/>
                <w:color w:val="auto"/>
              </w:rPr>
              <w:t>项目</w:t>
            </w:r>
            <w:r>
              <w:rPr>
                <w:rFonts w:hint="eastAsia" w:ascii="Times New Roman" w:hAnsi="Times New Roman"/>
                <w:color w:val="auto"/>
              </w:rPr>
              <w:t>采用</w:t>
            </w:r>
            <w:r>
              <w:rPr>
                <w:rFonts w:ascii="Times New Roman" w:hAnsi="Times New Roman"/>
                <w:color w:val="auto"/>
              </w:rPr>
              <w:t>生物质燃料，产生的燃烧废气从</w:t>
            </w:r>
            <w:r>
              <w:rPr>
                <w:rFonts w:ascii="Times New Roman" w:hAnsi="Times New Roman"/>
                <w:color w:val="auto"/>
              </w:rPr>
              <w:t>45m</w:t>
            </w:r>
            <w:r>
              <w:rPr>
                <w:rFonts w:ascii="Times New Roman" w:hAnsi="Times New Roman"/>
                <w:color w:val="auto"/>
              </w:rPr>
              <w:t>高的排气筒排放。氮氧化物排放量采用锅炉生产商提供的氮氧化物控制保证浓度值或类比同类锅炉氮氧化物浓度值按下式计算：</w:t>
            </w:r>
          </w:p>
          <w:p>
            <w:pPr>
              <w:pStyle w:val="2"/>
              <w:adjustRightInd w:val="0"/>
              <w:snapToGrid w:val="0"/>
              <w:spacing w:line="360" w:lineRule="auto"/>
              <w:ind w:firstLine="480" w:firstLineChars="200"/>
              <w:jc w:val="center"/>
              <w:rPr>
                <w:rFonts w:ascii="Times New Roman" w:hAnsi="Times New Roman" w:cs="Times New Roman"/>
                <w:color w:val="auto"/>
                <w:sz w:val="24"/>
                <w:szCs w:val="24"/>
              </w:rPr>
            </w:pPr>
            <w:r>
              <w:rPr>
                <w:rFonts w:ascii="Times New Roman" w:hAnsi="Times New Roman" w:cs="Times New Roman"/>
                <w:color w:val="auto"/>
                <w:position w:val="-46"/>
                <w:sz w:val="24"/>
                <w:szCs w:val="24"/>
              </w:rPr>
              <w:object>
                <v:shape id="_x0000_i1039" o:spt="75" type="#_x0000_t75" style="height:41.25pt;width:157.5pt;" o:ole="t" filled="f" o:preferrelative="t" stroked="f" coordsize="21600,21600">
                  <v:path/>
                  <v:fill on="f" focussize="0,0"/>
                  <v:stroke on="f" joinstyle="miter"/>
                  <v:imagedata r:id="rId43" o:title=""/>
                  <o:lock v:ext="edit" aspectratio="t"/>
                  <w10:wrap type="none"/>
                  <w10:anchorlock/>
                </v:shape>
                <o:OLEObject Type="Embed" ProgID="Equation.3" ShapeID="_x0000_i1039" DrawAspect="Content" ObjectID="_1468075739" r:id="rId42">
                  <o:LockedField>false</o:LockedField>
                </o:OLEObject>
              </w:object>
            </w:r>
          </w:p>
          <w:p>
            <w:pPr>
              <w:pStyle w:val="2"/>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式中：</w:t>
            </w:r>
            <w:r>
              <w:rPr>
                <w:rFonts w:ascii="Times New Roman" w:hAnsi="Times New Roman" w:cs="Times New Roman"/>
                <w:color w:val="auto"/>
                <w:position w:val="-20"/>
                <w:sz w:val="24"/>
                <w:szCs w:val="24"/>
              </w:rPr>
              <w:object>
                <v:shape id="_x0000_i1040" o:spt="75" type="#_x0000_t75" style="height:16.5pt;width:27.75pt;" o:ole="t" filled="f" o:preferrelative="t" stroked="f" coordsize="21600,21600">
                  <v:path/>
                  <v:fill on="f" focussize="0,0"/>
                  <v:stroke on="f" joinstyle="miter"/>
                  <v:imagedata r:id="rId45" o:title=""/>
                  <o:lock v:ext="edit" aspectratio="t"/>
                  <w10:wrap type="none"/>
                  <w10:anchorlock/>
                </v:shape>
                <o:OLEObject Type="Embed" ProgID="Equation.3" ShapeID="_x0000_i1040" DrawAspect="Content" ObjectID="_1468075740" r:id="rId44">
                  <o:LockedField>false</o:LockedField>
                </o:OLEObject>
              </w:object>
            </w:r>
            <w:r>
              <w:rPr>
                <w:rFonts w:ascii="Times New Roman" w:hAnsi="Times New Roman" w:cs="Times New Roman"/>
                <w:color w:val="auto"/>
                <w:sz w:val="24"/>
                <w:szCs w:val="24"/>
              </w:rPr>
              <w:t>——核算时段内氮氧化物排放量，t；</w:t>
            </w:r>
          </w:p>
          <w:p>
            <w:pPr>
              <w:pStyle w:val="2"/>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position w:val="-24"/>
                <w:sz w:val="24"/>
                <w:szCs w:val="24"/>
              </w:rPr>
              <w:object>
                <v:shape id="_x0000_i1041" o:spt="75" type="#_x0000_t75" style="height:20.25pt;width:29.25pt;" o:ole="t" filled="f" o:preferrelative="t" stroked="f" coordsize="21600,21600">
                  <v:path/>
                  <v:fill on="f" focussize="0,0"/>
                  <v:stroke on="f" joinstyle="miter"/>
                  <v:imagedata r:id="rId47" o:title=""/>
                  <o:lock v:ext="edit" aspectratio="t"/>
                  <w10:wrap type="none"/>
                  <w10:anchorlock/>
                </v:shape>
                <o:OLEObject Type="Embed" ProgID="Equation.3" ShapeID="_x0000_i1041" DrawAspect="Content" ObjectID="_1468075741" r:id="rId46">
                  <o:LockedField>false</o:LockedField>
                </o:OLEObject>
              </w:object>
            </w:r>
            <w:r>
              <w:rPr>
                <w:rFonts w:ascii="Times New Roman" w:hAnsi="Times New Roman" w:cs="Times New Roman"/>
                <w:color w:val="auto"/>
                <w:sz w:val="24"/>
                <w:szCs w:val="24"/>
              </w:rPr>
              <w:t>——锅炉炉膛出口氮氧化物质量浓度，mg/m</w:t>
            </w:r>
            <w:r>
              <w:rPr>
                <w:rFonts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rPr>
              <w:t>根据</w:t>
            </w:r>
            <w:r>
              <w:rPr>
                <w:rFonts w:ascii="Times New Roman" w:hAnsi="Times New Roman" w:cs="Times New Roman"/>
                <w:color w:val="auto"/>
                <w:sz w:val="24"/>
                <w:szCs w:val="24"/>
              </w:rPr>
              <w:t>锅炉生产商提供的</w:t>
            </w:r>
            <w:r>
              <w:rPr>
                <w:rFonts w:hint="eastAsia" w:ascii="Times New Roman" w:hAnsi="Times New Roman" w:cs="Times New Roman"/>
                <w:color w:val="auto"/>
                <w:sz w:val="24"/>
                <w:szCs w:val="24"/>
              </w:rPr>
              <w:t>数据，取</w:t>
            </w:r>
            <w:r>
              <w:rPr>
                <w:rFonts w:ascii="Times New Roman" w:hAnsi="Times New Roman" w:cs="Times New Roman"/>
                <w:color w:val="auto"/>
                <w:sz w:val="24"/>
                <w:szCs w:val="24"/>
              </w:rPr>
              <w:t>130mg/m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w:t>
            </w:r>
          </w:p>
          <w:p>
            <w:pPr>
              <w:pStyle w:val="2"/>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position w:val="-10"/>
                <w:sz w:val="24"/>
                <w:szCs w:val="24"/>
              </w:rPr>
              <w:object>
                <v:shape id="_x0000_i1042" o:spt="75" type="#_x0000_t75" style="height:15.75pt;width:12pt;" o:ole="t" filled="f" o:preferrelative="t" stroked="f" coordsize="21600,21600">
                  <v:path/>
                  <v:fill on="f" focussize="0,0"/>
                  <v:stroke on="f" joinstyle="miter"/>
                  <v:imagedata r:id="rId49" o:title=""/>
                  <o:lock v:ext="edit" aspectratio="t"/>
                  <w10:wrap type="none"/>
                  <w10:anchorlock/>
                </v:shape>
                <o:OLEObject Type="Embed" ProgID="Equation.3" ShapeID="_x0000_i1042" DrawAspect="Content" ObjectID="_1468075742" r:id="rId48">
                  <o:LockedField>false</o:LockedField>
                </o:OLEObject>
              </w:object>
            </w:r>
            <w:r>
              <w:rPr>
                <w:rFonts w:ascii="Times New Roman" w:hAnsi="Times New Roman" w:cs="Times New Roman"/>
                <w:color w:val="auto"/>
                <w:sz w:val="24"/>
                <w:szCs w:val="24"/>
              </w:rPr>
              <w:t xml:space="preserve">  ——核算时段内标态干烟气排放量，m</w:t>
            </w:r>
            <w:r>
              <w:rPr>
                <w:rFonts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rPr>
              <w:t>根据前文计算结果，本项目</w:t>
            </w:r>
            <w:r>
              <w:rPr>
                <w:rFonts w:ascii="Times New Roman" w:hAnsi="Times New Roman" w:cs="Times New Roman"/>
                <w:color w:val="auto"/>
                <w:sz w:val="24"/>
                <w:szCs w:val="24"/>
              </w:rPr>
              <w:t>干烟气排放量为</w:t>
            </w:r>
            <w:r>
              <w:rPr>
                <w:rFonts w:ascii="Times New Roman" w:hAnsi="Times New Roman" w:cs="Times New Roman"/>
                <w:bCs/>
                <w:color w:val="auto"/>
                <w:sz w:val="24"/>
                <w:szCs w:val="24"/>
              </w:rPr>
              <w:t>19696.29m³/h</w:t>
            </w:r>
            <w:r>
              <w:rPr>
                <w:rFonts w:ascii="Times New Roman" w:hAnsi="Times New Roman" w:cs="Times New Roman"/>
                <w:color w:val="auto"/>
                <w:sz w:val="24"/>
                <w:szCs w:val="24"/>
              </w:rPr>
              <w:t>；</w:t>
            </w:r>
          </w:p>
          <w:p>
            <w:pPr>
              <w:pStyle w:val="2"/>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position w:val="-24"/>
                <w:sz w:val="24"/>
                <w:szCs w:val="24"/>
              </w:rPr>
              <w:object>
                <v:shape id="_x0000_i1043" o:spt="75" type="#_x0000_t75" style="height:23.25pt;width:31.5pt;" o:ole="t" filled="f" o:preferrelative="t" stroked="f" coordsize="21600,21600">
                  <v:path/>
                  <v:fill on="f" focussize="0,0"/>
                  <v:stroke on="f" joinstyle="miter"/>
                  <v:imagedata r:id="rId51" o:title=""/>
                  <o:lock v:ext="edit" aspectratio="t"/>
                  <w10:wrap type="none"/>
                  <w10:anchorlock/>
                </v:shape>
                <o:OLEObject Type="Embed" ProgID="Equation.3" ShapeID="_x0000_i1043" DrawAspect="Content" ObjectID="_1468075743" r:id="rId50">
                  <o:LockedField>false</o:LockedField>
                </o:OLEObject>
              </w:object>
            </w:r>
            <w:r>
              <w:rPr>
                <w:rFonts w:ascii="Times New Roman" w:hAnsi="Times New Roman" w:cs="Times New Roman"/>
                <w:color w:val="auto"/>
                <w:sz w:val="24"/>
                <w:szCs w:val="24"/>
              </w:rPr>
              <w:t>——脱硝效率，%</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rPr>
              <w:t>本项目无脱硝措施，取0</w:t>
            </w:r>
            <w:r>
              <w:rPr>
                <w:rFonts w:ascii="Times New Roman" w:hAnsi="Times New Roman" w:cs="Times New Roman"/>
                <w:color w:val="auto"/>
                <w:sz w:val="24"/>
                <w:szCs w:val="24"/>
              </w:rPr>
              <w:t>；</w:t>
            </w:r>
          </w:p>
          <w:p>
            <w:pPr>
              <w:pStyle w:val="2"/>
              <w:adjustRightInd w:val="0"/>
              <w:snapToGrid w:val="0"/>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根据上式</w:t>
            </w:r>
            <w:r>
              <w:rPr>
                <w:rFonts w:ascii="Times New Roman" w:hAnsi="Times New Roman" w:cs="Times New Roman"/>
                <w:color w:val="auto"/>
                <w:sz w:val="24"/>
                <w:szCs w:val="24"/>
              </w:rPr>
              <w:t>计算得出氮氧化物排放量为</w:t>
            </w:r>
            <w:r>
              <w:rPr>
                <w:rFonts w:ascii="Times New Roman" w:hAnsi="Times New Roman" w:cs="Times New Roman"/>
                <w:color w:val="auto"/>
                <w:sz w:val="24"/>
                <w:szCs w:val="24"/>
              </w:rPr>
              <w:t>2.56kg/h</w:t>
            </w:r>
            <w:r>
              <w:rPr>
                <w:rFonts w:hint="eastAsia" w:ascii="Times New Roman" w:hAnsi="Times New Roman" w:cs="Times New Roman"/>
                <w:color w:val="auto"/>
                <w:sz w:val="24"/>
                <w:szCs w:val="24"/>
              </w:rPr>
              <w:t>，</w:t>
            </w:r>
            <w:r>
              <w:rPr>
                <w:rFonts w:ascii="Times New Roman" w:hAnsi="Times New Roman" w:cs="Times New Roman"/>
                <w:color w:val="auto"/>
                <w:sz w:val="24"/>
                <w:szCs w:val="24"/>
              </w:rPr>
              <w:t>18.44t/a。</w:t>
            </w:r>
          </w:p>
          <w:p>
            <w:pPr>
              <w:pStyle w:val="84"/>
              <w:widowControl/>
              <w:numPr>
                <w:ilvl w:val="0"/>
                <w:numId w:val="5"/>
              </w:numPr>
              <w:tabs>
                <w:tab w:val="left" w:pos="1421"/>
              </w:tabs>
              <w:adjustRightInd w:val="0"/>
              <w:snapToGrid w:val="0"/>
              <w:spacing w:line="360" w:lineRule="auto"/>
              <w:rPr>
                <w:rFonts w:ascii="Times New Roman" w:hAnsi="Times New Roman"/>
                <w:b/>
                <w:color w:val="auto"/>
              </w:rPr>
            </w:pPr>
            <w:r>
              <w:rPr>
                <w:rFonts w:ascii="Times New Roman" w:hAnsi="Times New Roman"/>
                <w:b/>
                <w:color w:val="auto"/>
              </w:rPr>
              <w:t>颗粒物</w:t>
            </w:r>
          </w:p>
          <w:p>
            <w:pPr>
              <w:widowControl/>
              <w:tabs>
                <w:tab w:val="left" w:pos="1421"/>
              </w:tabs>
              <w:adjustRightInd w:val="0"/>
              <w:snapToGrid w:val="0"/>
              <w:spacing w:line="360" w:lineRule="auto"/>
              <w:ind w:firstLine="480" w:firstLineChars="200"/>
              <w:jc w:val="left"/>
              <w:rPr>
                <w:rFonts w:ascii="Times New Roman" w:hAnsi="Times New Roman"/>
                <w:bCs/>
                <w:color w:val="auto"/>
              </w:rPr>
            </w:pPr>
            <w:r>
              <w:rPr>
                <w:rFonts w:ascii="Times New Roman" w:hAnsi="Times New Roman"/>
                <w:bCs/>
                <w:color w:val="auto"/>
              </w:rPr>
              <w:t>项目</w:t>
            </w:r>
            <w:r>
              <w:rPr>
                <w:rFonts w:hint="eastAsia" w:ascii="Times New Roman" w:hAnsi="Times New Roman"/>
                <w:bCs/>
                <w:color w:val="auto"/>
              </w:rPr>
              <w:t>采用</w:t>
            </w:r>
            <w:r>
              <w:rPr>
                <w:rFonts w:ascii="Times New Roman" w:hAnsi="Times New Roman"/>
                <w:bCs/>
                <w:color w:val="auto"/>
              </w:rPr>
              <w:t>生物质燃料，产生的燃烧废气从</w:t>
            </w:r>
            <w:r>
              <w:rPr>
                <w:rFonts w:ascii="Times New Roman" w:hAnsi="Times New Roman"/>
                <w:bCs/>
                <w:color w:val="auto"/>
              </w:rPr>
              <w:t>45m</w:t>
            </w:r>
            <w:r>
              <w:rPr>
                <w:rFonts w:ascii="Times New Roman" w:hAnsi="Times New Roman"/>
                <w:bCs/>
                <w:color w:val="auto"/>
              </w:rPr>
              <w:t>高的排气筒排放。颗粒物排放量按下式计算：</w:t>
            </w:r>
          </w:p>
          <w:p>
            <w:pPr>
              <w:pStyle w:val="2"/>
              <w:adjustRightInd w:val="0"/>
              <w:snapToGrid w:val="0"/>
              <w:spacing w:line="360" w:lineRule="auto"/>
              <w:ind w:firstLine="422" w:firstLineChars="200"/>
              <w:jc w:val="center"/>
              <w:rPr>
                <w:rFonts w:ascii="Times New Roman" w:hAnsi="Times New Roman" w:cs="Times New Roman"/>
                <w:color w:val="auto"/>
                <w:sz w:val="24"/>
                <w:szCs w:val="24"/>
              </w:rPr>
            </w:pPr>
            <w:r>
              <w:rPr>
                <w:rFonts w:ascii="Times New Roman" w:hAnsi="Times New Roman" w:cs="Times New Roman"/>
                <w:b/>
                <w:color w:val="auto"/>
                <w:kern w:val="44"/>
                <w:position w:val="-62"/>
                <w:sz w:val="21"/>
                <w:szCs w:val="21"/>
              </w:rPr>
              <w:object>
                <v:shape id="_x0000_i1044" o:spt="75" type="#_x0000_t75" style="height:64.5pt;width:128.25pt;" o:ole="t" filled="f" o:preferrelative="t" stroked="f" coordsize="21600,21600">
                  <v:path/>
                  <v:fill on="f" focussize="0,0"/>
                  <v:stroke on="f" joinstyle="miter"/>
                  <v:imagedata r:id="rId53" o:title=""/>
                  <o:lock v:ext="edit" aspectratio="t"/>
                  <w10:wrap type="none"/>
                  <w10:anchorlock/>
                </v:shape>
                <o:OLEObject Type="Embed" ProgID="Equation.3" ShapeID="_x0000_i1044" DrawAspect="Content" ObjectID="_1468075744" r:id="rId52">
                  <o:LockedField>false</o:LockedField>
                </o:OLEObject>
              </w:object>
            </w:r>
          </w:p>
          <w:p>
            <w:pPr>
              <w:pStyle w:val="16"/>
              <w:adjustRightInd w:val="0"/>
              <w:snapToGrid w:val="0"/>
              <w:spacing w:after="0" w:line="360" w:lineRule="auto"/>
              <w:ind w:firstLine="480" w:firstLineChars="200"/>
              <w:jc w:val="both"/>
              <w:rPr>
                <w:rFonts w:ascii="Times New Roman" w:hAnsi="Times New Roman"/>
                <w:bCs/>
                <w:color w:val="auto"/>
                <w:kern w:val="44"/>
              </w:rPr>
            </w:pPr>
            <w:r>
              <w:rPr>
                <w:rFonts w:ascii="Times New Roman" w:hAnsi="Times New Roman"/>
                <w:bCs/>
                <w:color w:val="auto"/>
                <w:kern w:val="44"/>
              </w:rPr>
              <w:t>式中：</w:t>
            </w:r>
            <w:r>
              <w:rPr>
                <w:rFonts w:ascii="Times New Roman" w:hAnsi="Times New Roman"/>
                <w:bCs/>
                <w:color w:val="auto"/>
                <w:kern w:val="44"/>
                <w:position w:val="-14"/>
              </w:rPr>
              <w:object>
                <v:shape id="_x0000_i1045" o:spt="75" type="#_x0000_t75" style="height:15pt;width:16.5pt;" o:ole="t" filled="f" o:preferrelative="t" stroked="f" coordsize="21600,21600">
                  <v:path/>
                  <v:fill on="f" focussize="0,0"/>
                  <v:stroke on="f" joinstyle="miter"/>
                  <v:imagedata r:id="rId55" o:title=""/>
                  <o:lock v:ext="edit" aspectratio="t"/>
                  <w10:wrap type="none"/>
                  <w10:anchorlock/>
                </v:shape>
                <o:OLEObject Type="Embed" ProgID="Equation.3" ShapeID="_x0000_i1045" DrawAspect="Content" ObjectID="_1468075745" r:id="rId54">
                  <o:LockedField>false</o:LockedField>
                </o:OLEObject>
              </w:object>
            </w:r>
            <w:r>
              <w:rPr>
                <w:rFonts w:ascii="Times New Roman" w:hAnsi="Times New Roman"/>
                <w:bCs/>
                <w:color w:val="auto"/>
                <w:kern w:val="44"/>
              </w:rPr>
              <w:t>——核算时段内颗粒物（烟尘）排放量，t；</w:t>
            </w:r>
          </w:p>
          <w:p>
            <w:pPr>
              <w:pStyle w:val="16"/>
              <w:adjustRightInd w:val="0"/>
              <w:snapToGrid w:val="0"/>
              <w:spacing w:after="0" w:line="360" w:lineRule="auto"/>
              <w:ind w:firstLine="480" w:firstLineChars="200"/>
              <w:jc w:val="both"/>
              <w:rPr>
                <w:rFonts w:ascii="Times New Roman" w:hAnsi="Times New Roman"/>
                <w:bCs/>
                <w:color w:val="auto"/>
                <w:kern w:val="44"/>
              </w:rPr>
            </w:pPr>
            <w:r>
              <w:rPr>
                <w:rFonts w:ascii="Times New Roman" w:hAnsi="Times New Roman"/>
                <w:bCs/>
                <w:color w:val="auto"/>
                <w:kern w:val="44"/>
              </w:rPr>
              <w:t xml:space="preserve">        </w:t>
            </w:r>
            <w:r>
              <w:rPr>
                <w:rFonts w:ascii="Times New Roman" w:hAnsi="Times New Roman"/>
                <w:bCs/>
                <w:color w:val="auto"/>
                <w:kern w:val="44"/>
                <w:position w:val="-4"/>
              </w:rPr>
              <w:object>
                <v:shape id="_x0000_i1046" o:spt="75" type="#_x0000_t75" style="height:10.5pt;width:9.75pt;" o:ole="t" filled="f" o:preferrelative="t" stroked="f" coordsize="21600,21600">
                  <v:path/>
                  <v:fill on="f" focussize="0,0"/>
                  <v:stroke on="f" joinstyle="miter"/>
                  <v:imagedata r:id="rId57" o:title=""/>
                  <o:lock v:ext="edit" aspectratio="t"/>
                  <w10:wrap type="none"/>
                  <w10:anchorlock/>
                </v:shape>
                <o:OLEObject Type="Embed" ProgID="Equation.3" ShapeID="_x0000_i1046" DrawAspect="Content" ObjectID="_1468075746" r:id="rId56">
                  <o:LockedField>false</o:LockedField>
                </o:OLEObject>
              </w:object>
            </w:r>
            <w:r>
              <w:rPr>
                <w:rFonts w:ascii="Times New Roman" w:hAnsi="Times New Roman"/>
                <w:bCs/>
                <w:color w:val="auto"/>
                <w:kern w:val="44"/>
              </w:rPr>
              <w:t>——核算时段内锅炉燃料耗量，t</w:t>
            </w:r>
            <w:r>
              <w:rPr>
                <w:rFonts w:hint="eastAsia" w:ascii="Times New Roman" w:hAnsi="Times New Roman"/>
                <w:bCs/>
                <w:color w:val="auto"/>
                <w:kern w:val="44"/>
              </w:rPr>
              <w:t>，</w:t>
            </w:r>
            <w:r>
              <w:rPr>
                <w:rFonts w:hint="eastAsia" w:ascii="Times New Roman" w:hAnsi="Times New Roman"/>
                <w:color w:val="auto"/>
              </w:rPr>
              <w:t>根据前文计算，本项目</w:t>
            </w:r>
            <w:r>
              <w:rPr>
                <w:rFonts w:ascii="Times New Roman" w:hAnsi="Times New Roman"/>
                <w:color w:val="auto"/>
              </w:rPr>
              <w:t>生物质燃料用量为18061.36t/a；</w:t>
            </w:r>
          </w:p>
          <w:p>
            <w:pPr>
              <w:pStyle w:val="16"/>
              <w:adjustRightInd w:val="0"/>
              <w:snapToGrid w:val="0"/>
              <w:spacing w:after="0" w:line="360" w:lineRule="auto"/>
              <w:ind w:firstLine="480" w:firstLineChars="200"/>
              <w:jc w:val="both"/>
              <w:rPr>
                <w:rFonts w:ascii="Times New Roman" w:hAnsi="Times New Roman"/>
                <w:bCs/>
                <w:color w:val="auto"/>
                <w:kern w:val="44"/>
              </w:rPr>
            </w:pPr>
            <w:r>
              <w:rPr>
                <w:rFonts w:ascii="Times New Roman" w:hAnsi="Times New Roman"/>
                <w:bCs/>
                <w:color w:val="auto"/>
                <w:kern w:val="44"/>
              </w:rPr>
              <w:t xml:space="preserve">      </w:t>
            </w:r>
            <w:r>
              <w:rPr>
                <w:rFonts w:ascii="Times New Roman" w:hAnsi="Times New Roman"/>
                <w:bCs/>
                <w:color w:val="auto"/>
                <w:kern w:val="44"/>
                <w:position w:val="-14"/>
              </w:rPr>
              <w:object>
                <v:shape id="_x0000_i1047" o:spt="75" type="#_x0000_t75" style="height:12.75pt;width:14.25pt;" o:ole="t" filled="f" o:preferrelative="t" stroked="f" coordsize="21600,21600">
                  <v:path/>
                  <v:fill on="f" focussize="0,0"/>
                  <v:stroke on="f" joinstyle="miter"/>
                  <v:imagedata r:id="rId59" o:title=""/>
                  <o:lock v:ext="edit" aspectratio="t"/>
                  <w10:wrap type="none"/>
                  <w10:anchorlock/>
                </v:shape>
                <o:OLEObject Type="Embed" ProgID="Equation.3" ShapeID="_x0000_i1047" DrawAspect="Content" ObjectID="_1468075747" r:id="rId58">
                  <o:LockedField>false</o:LockedField>
                </o:OLEObject>
              </w:object>
            </w:r>
            <w:r>
              <w:rPr>
                <w:rFonts w:ascii="Times New Roman" w:hAnsi="Times New Roman"/>
                <w:bCs/>
                <w:color w:val="auto"/>
                <w:kern w:val="44"/>
              </w:rPr>
              <w:t>——收到基灰分的质量分数，%</w:t>
            </w:r>
            <w:r>
              <w:rPr>
                <w:rFonts w:hint="eastAsia" w:ascii="Times New Roman" w:hAnsi="Times New Roman"/>
                <w:bCs/>
                <w:color w:val="auto"/>
                <w:kern w:val="44"/>
              </w:rPr>
              <w:t>，</w:t>
            </w:r>
            <w:r>
              <w:rPr>
                <w:rFonts w:hint="eastAsia" w:ascii="Times New Roman" w:hAnsi="Times New Roman"/>
                <w:color w:val="auto"/>
              </w:rPr>
              <w:t>根据生物质燃料检测报告，</w:t>
            </w:r>
            <w:r>
              <w:rPr>
                <w:rFonts w:hint="eastAsia" w:ascii="Times New Roman" w:hAnsi="Times New Roman"/>
                <w:bCs/>
                <w:color w:val="auto"/>
                <w:kern w:val="44"/>
              </w:rPr>
              <w:t>干燥基</w:t>
            </w:r>
            <w:r>
              <w:rPr>
                <w:rFonts w:ascii="Times New Roman" w:hAnsi="Times New Roman"/>
                <w:bCs/>
                <w:color w:val="auto"/>
                <w:kern w:val="44"/>
              </w:rPr>
              <w:t>灰分为1.30%，</w:t>
            </w:r>
            <w:r>
              <w:rPr>
                <w:rFonts w:hint="eastAsia" w:ascii="Times New Roman" w:hAnsi="Times New Roman"/>
                <w:bCs/>
                <w:color w:val="auto"/>
                <w:kern w:val="44"/>
              </w:rPr>
              <w:t>根据水分换算，收到基灰分为1</w:t>
            </w:r>
            <w:r>
              <w:rPr>
                <w:rFonts w:ascii="Times New Roman" w:hAnsi="Times New Roman"/>
                <w:bCs/>
                <w:color w:val="auto"/>
                <w:kern w:val="44"/>
              </w:rPr>
              <w:t>.39%</w:t>
            </w:r>
            <w:r>
              <w:rPr>
                <w:rFonts w:ascii="Times New Roman" w:hAnsi="Times New Roman"/>
                <w:bCs/>
                <w:color w:val="auto"/>
                <w:kern w:val="44"/>
              </w:rPr>
              <w:t>；</w:t>
            </w:r>
          </w:p>
          <w:p>
            <w:pPr>
              <w:pStyle w:val="16"/>
              <w:adjustRightInd w:val="0"/>
              <w:snapToGrid w:val="0"/>
              <w:spacing w:after="0" w:line="360" w:lineRule="auto"/>
              <w:ind w:firstLine="480" w:firstLineChars="200"/>
              <w:jc w:val="both"/>
              <w:rPr>
                <w:rFonts w:ascii="Times New Roman" w:hAnsi="Times New Roman"/>
                <w:bCs/>
                <w:color w:val="auto"/>
                <w:kern w:val="44"/>
              </w:rPr>
            </w:pPr>
            <w:r>
              <w:rPr>
                <w:rFonts w:ascii="Times New Roman" w:hAnsi="Times New Roman"/>
                <w:bCs/>
                <w:color w:val="auto"/>
                <w:kern w:val="44"/>
              </w:rPr>
              <w:t xml:space="preserve">      </w:t>
            </w:r>
            <w:r>
              <w:rPr>
                <w:rFonts w:ascii="Times New Roman" w:hAnsi="Times New Roman"/>
                <w:bCs/>
                <w:color w:val="auto"/>
                <w:kern w:val="44"/>
                <w:position w:val="-18"/>
              </w:rPr>
              <w:object>
                <v:shape id="_x0000_i1048" o:spt="75" type="#_x0000_t75" style="height:18pt;width:18pt;" o:ole="t" filled="f" o:preferrelative="t" stroked="f" coordsize="21600,21600">
                  <v:path/>
                  <v:fill on="f" focussize="0,0"/>
                  <v:stroke on="f" joinstyle="miter"/>
                  <v:imagedata r:id="rId61" o:title=""/>
                  <o:lock v:ext="edit" aspectratio="t"/>
                  <w10:wrap type="none"/>
                  <w10:anchorlock/>
                </v:shape>
                <o:OLEObject Type="Embed" ProgID="Equation.3" ShapeID="_x0000_i1048" DrawAspect="Content" ObjectID="_1468075748" r:id="rId60">
                  <o:LockedField>false</o:LockedField>
                </o:OLEObject>
              </w:object>
            </w:r>
            <w:r>
              <w:rPr>
                <w:rFonts w:ascii="Times New Roman" w:hAnsi="Times New Roman"/>
                <w:bCs/>
                <w:color w:val="auto"/>
                <w:kern w:val="44"/>
              </w:rPr>
              <w:t>——锅炉烟气带出的飞灰份额，%</w:t>
            </w:r>
            <w:r>
              <w:rPr>
                <w:rFonts w:hint="eastAsia" w:ascii="Times New Roman" w:hAnsi="Times New Roman"/>
                <w:bCs/>
                <w:color w:val="auto"/>
                <w:kern w:val="44"/>
              </w:rPr>
              <w:t>，</w:t>
            </w:r>
            <w:r>
              <w:rPr>
                <w:rFonts w:hint="eastAsia" w:ascii="Times New Roman" w:hAnsi="Times New Roman"/>
                <w:bCs/>
                <w:color w:val="auto"/>
                <w:kern w:val="44"/>
              </w:rPr>
              <w:t>根据本项目炉型和燃料特性，取</w:t>
            </w:r>
            <w:r>
              <w:rPr>
                <w:rFonts w:ascii="Times New Roman" w:hAnsi="Times New Roman"/>
                <w:bCs/>
                <w:color w:val="auto"/>
                <w:kern w:val="44"/>
              </w:rPr>
              <w:t>50%</w:t>
            </w:r>
            <w:r>
              <w:rPr>
                <w:rFonts w:hint="eastAsia" w:ascii="Times New Roman" w:hAnsi="Times New Roman"/>
                <w:bCs/>
                <w:color w:val="auto"/>
                <w:kern w:val="44"/>
              </w:rPr>
              <w:t>；</w:t>
            </w:r>
          </w:p>
          <w:p>
            <w:pPr>
              <w:pStyle w:val="16"/>
              <w:adjustRightInd w:val="0"/>
              <w:snapToGrid w:val="0"/>
              <w:spacing w:after="0" w:line="360" w:lineRule="auto"/>
              <w:ind w:firstLine="1200" w:firstLineChars="500"/>
              <w:jc w:val="both"/>
              <w:rPr>
                <w:rFonts w:ascii="Times New Roman" w:hAnsi="Times New Roman"/>
                <w:bCs/>
                <w:color w:val="auto"/>
                <w:kern w:val="44"/>
              </w:rPr>
            </w:pPr>
            <w:r>
              <w:rPr>
                <w:rFonts w:ascii="Times New Roman" w:hAnsi="Times New Roman"/>
                <w:bCs/>
                <w:color w:val="auto"/>
                <w:kern w:val="44"/>
              </w:rPr>
              <w:t xml:space="preserve"> </w:t>
            </w:r>
            <w:r>
              <w:rPr>
                <w:rFonts w:ascii="Times New Roman" w:hAnsi="Times New Roman"/>
                <w:bCs/>
                <w:color w:val="auto"/>
                <w:kern w:val="44"/>
                <w:position w:val="-18"/>
              </w:rPr>
              <w:object>
                <v:shape id="_x0000_i1049" o:spt="75" type="#_x0000_t75" style="height:18pt;width:13.5pt;" o:ole="t" filled="f" o:preferrelative="t" stroked="f" coordsize="21600,21600">
                  <v:path/>
                  <v:fill on="f" focussize="0,0"/>
                  <v:stroke on="f" joinstyle="miter"/>
                  <v:imagedata r:id="rId63" o:title=""/>
                  <o:lock v:ext="edit" aspectratio="t"/>
                  <w10:wrap type="none"/>
                  <w10:anchorlock/>
                </v:shape>
                <o:OLEObject Type="Embed" ProgID="Equation.3" ShapeID="_x0000_i1049" DrawAspect="Content" ObjectID="_1468075749" r:id="rId62">
                  <o:LockedField>false</o:LockedField>
                </o:OLEObject>
              </w:object>
            </w:r>
            <w:r>
              <w:rPr>
                <w:rFonts w:ascii="Times New Roman" w:hAnsi="Times New Roman"/>
                <w:bCs/>
                <w:color w:val="auto"/>
                <w:kern w:val="44"/>
              </w:rPr>
              <w:t>——综合除尘效率，%</w:t>
            </w:r>
            <w:r>
              <w:rPr>
                <w:rFonts w:hint="eastAsia" w:ascii="Times New Roman" w:hAnsi="Times New Roman"/>
                <w:bCs/>
                <w:color w:val="auto"/>
                <w:kern w:val="44"/>
              </w:rPr>
              <w:t>，</w:t>
            </w:r>
            <w:r>
              <w:rPr>
                <w:rFonts w:hint="eastAsia" w:ascii="Times New Roman" w:hAnsi="Times New Roman"/>
                <w:bCs/>
                <w:color w:val="auto"/>
                <w:kern w:val="44"/>
              </w:rPr>
              <w:t>本次</w:t>
            </w:r>
            <w:r>
              <w:rPr>
                <w:rFonts w:ascii="Times New Roman" w:hAnsi="Times New Roman"/>
                <w:color w:val="auto"/>
              </w:rPr>
              <w:t>环评提出采用布袋除尘器除尘，则</w:t>
            </w:r>
            <w:r>
              <w:rPr>
                <w:rFonts w:ascii="Times New Roman" w:hAnsi="Times New Roman"/>
                <w:bCs/>
                <w:color w:val="auto"/>
                <w:kern w:val="44"/>
              </w:rPr>
              <w:t>取99%；</w:t>
            </w:r>
          </w:p>
          <w:p>
            <w:pPr>
              <w:pStyle w:val="16"/>
              <w:adjustRightInd w:val="0"/>
              <w:snapToGrid w:val="0"/>
              <w:spacing w:after="0" w:line="360" w:lineRule="auto"/>
              <w:ind w:firstLine="480" w:firstLineChars="200"/>
              <w:jc w:val="both"/>
              <w:rPr>
                <w:rFonts w:ascii="Times New Roman" w:hAnsi="Times New Roman"/>
                <w:bCs/>
                <w:color w:val="auto"/>
                <w:kern w:val="44"/>
              </w:rPr>
            </w:pPr>
            <w:r>
              <w:rPr>
                <w:rFonts w:ascii="Times New Roman" w:hAnsi="Times New Roman"/>
                <w:bCs/>
                <w:color w:val="auto"/>
                <w:kern w:val="44"/>
              </w:rPr>
              <w:t xml:space="preserve">      </w:t>
            </w:r>
            <w:r>
              <w:rPr>
                <w:rFonts w:ascii="Times New Roman" w:hAnsi="Times New Roman"/>
                <w:bCs/>
                <w:color w:val="auto"/>
                <w:kern w:val="44"/>
                <w:position w:val="-18"/>
              </w:rPr>
              <w:object>
                <v:shape id="_x0000_i1050" o:spt="75" type="#_x0000_t75" style="height:16.5pt;width:17.25pt;" o:ole="t" filled="f" o:preferrelative="t" stroked="f" coordsize="21600,21600">
                  <v:path/>
                  <v:fill on="f" focussize="0,0"/>
                  <v:stroke on="f" joinstyle="miter"/>
                  <v:imagedata r:id="rId65" o:title=""/>
                  <o:lock v:ext="edit" aspectratio="t"/>
                  <w10:wrap type="none"/>
                  <w10:anchorlock/>
                </v:shape>
                <o:OLEObject Type="Embed" ProgID="Equation.3" ShapeID="_x0000_i1050" DrawAspect="Content" ObjectID="_1468075750" r:id="rId64">
                  <o:LockedField>false</o:LockedField>
                </o:OLEObject>
              </w:object>
            </w:r>
            <w:r>
              <w:rPr>
                <w:rFonts w:ascii="Times New Roman" w:hAnsi="Times New Roman"/>
                <w:bCs/>
                <w:color w:val="auto"/>
                <w:kern w:val="44"/>
              </w:rPr>
              <w:t>——飞灰中的可燃物含量，%</w:t>
            </w:r>
            <w:r>
              <w:rPr>
                <w:rFonts w:hint="eastAsia" w:ascii="Times New Roman" w:hAnsi="Times New Roman"/>
                <w:bCs/>
                <w:color w:val="auto"/>
                <w:kern w:val="44"/>
              </w:rPr>
              <w:t>，参照《工业锅炉经济运行》（GB/T 17954-2007）取值为15%</w:t>
            </w:r>
            <w:r>
              <w:rPr>
                <w:rFonts w:ascii="Times New Roman" w:hAnsi="Times New Roman"/>
                <w:bCs/>
                <w:color w:val="auto"/>
                <w:kern w:val="44"/>
              </w:rPr>
              <w:t>；</w:t>
            </w:r>
          </w:p>
          <w:p>
            <w:pPr>
              <w:pStyle w:val="2"/>
              <w:adjustRightInd w:val="0"/>
              <w:snapToGrid w:val="0"/>
              <w:spacing w:line="360" w:lineRule="auto"/>
              <w:ind w:firstLine="480" w:firstLineChars="200"/>
              <w:rPr>
                <w:rFonts w:ascii="Times New Roman" w:hAnsi="Times New Roman" w:cs="Times New Roman"/>
                <w:bCs/>
                <w:color w:val="auto"/>
                <w:kern w:val="44"/>
                <w:sz w:val="24"/>
                <w:szCs w:val="24"/>
              </w:rPr>
            </w:pPr>
            <w:r>
              <w:rPr>
                <w:rFonts w:hint="eastAsia" w:ascii="Times New Roman" w:hAnsi="Times New Roman" w:cs="Times New Roman"/>
                <w:color w:val="auto"/>
                <w:sz w:val="24"/>
                <w:szCs w:val="24"/>
              </w:rPr>
              <w:t>根据上式</w:t>
            </w:r>
            <w:r>
              <w:rPr>
                <w:rFonts w:ascii="Times New Roman" w:hAnsi="Times New Roman" w:cs="Times New Roman"/>
                <w:bCs/>
                <w:color w:val="auto"/>
                <w:kern w:val="44"/>
                <w:sz w:val="24"/>
                <w:szCs w:val="24"/>
              </w:rPr>
              <w:t>计算可得颗粒物产生量为</w:t>
            </w:r>
            <w:r>
              <w:rPr>
                <w:rFonts w:ascii="Times New Roman" w:hAnsi="Times New Roman" w:cs="Times New Roman"/>
                <w:bCs/>
                <w:color w:val="auto"/>
                <w:kern w:val="44"/>
                <w:sz w:val="24"/>
                <w:szCs w:val="24"/>
              </w:rPr>
              <w:t>20.51kg/h，147.68t/a，</w:t>
            </w:r>
            <w:r>
              <w:rPr>
                <w:rFonts w:ascii="Times New Roman" w:hAnsi="Times New Roman" w:cs="Times New Roman"/>
                <w:color w:val="auto"/>
                <w:sz w:val="24"/>
                <w:szCs w:val="24"/>
              </w:rPr>
              <w:t>采用布袋除尘器除尘后</w:t>
            </w:r>
            <w:r>
              <w:rPr>
                <w:rFonts w:ascii="Times New Roman" w:hAnsi="Times New Roman" w:cs="Times New Roman"/>
                <w:bCs/>
                <w:color w:val="auto"/>
                <w:kern w:val="44"/>
                <w:sz w:val="24"/>
                <w:szCs w:val="24"/>
              </w:rPr>
              <w:t>排放量为</w:t>
            </w:r>
            <w:r>
              <w:rPr>
                <w:rFonts w:hint="eastAsia" w:ascii="Times New Roman" w:hAnsi="Times New Roman" w:cs="Times New Roman"/>
                <w:bCs/>
                <w:color w:val="auto"/>
                <w:kern w:val="44"/>
                <w:sz w:val="24"/>
                <w:szCs w:val="24"/>
              </w:rPr>
              <w:t>0.21</w:t>
            </w:r>
            <w:r>
              <w:rPr>
                <w:rFonts w:ascii="Times New Roman" w:hAnsi="Times New Roman" w:cs="Times New Roman"/>
                <w:bCs/>
                <w:color w:val="auto"/>
                <w:kern w:val="44"/>
                <w:sz w:val="24"/>
                <w:szCs w:val="24"/>
              </w:rPr>
              <w:t>kg/h，1.48t/a</w:t>
            </w:r>
            <w:r>
              <w:rPr>
                <w:rFonts w:ascii="Times New Roman" w:hAnsi="Times New Roman" w:cs="Times New Roman"/>
                <w:bCs/>
                <w:color w:val="auto"/>
                <w:kern w:val="44"/>
                <w:sz w:val="24"/>
                <w:szCs w:val="24"/>
              </w:rPr>
              <w:t>。</w:t>
            </w:r>
          </w:p>
          <w:p>
            <w:pPr>
              <w:pStyle w:val="84"/>
              <w:widowControl/>
              <w:numPr>
                <w:ilvl w:val="0"/>
                <w:numId w:val="5"/>
              </w:numPr>
              <w:tabs>
                <w:tab w:val="left" w:pos="1421"/>
              </w:tabs>
              <w:adjustRightInd w:val="0"/>
              <w:snapToGrid w:val="0"/>
              <w:spacing w:line="360" w:lineRule="auto"/>
              <w:rPr>
                <w:rFonts w:ascii="Times New Roman" w:hAnsi="Times New Roman"/>
                <w:b/>
                <w:color w:val="auto"/>
              </w:rPr>
            </w:pPr>
            <w:r>
              <w:rPr>
                <w:rFonts w:hint="eastAsia" w:ascii="Times New Roman" w:hAnsi="Times New Roman"/>
                <w:b/>
                <w:color w:val="auto"/>
              </w:rPr>
              <w:t>生物质锅炉烟气污染物排放情况汇总</w:t>
            </w:r>
          </w:p>
          <w:p>
            <w:pPr>
              <w:pStyle w:val="37"/>
              <w:adjustRightInd w:val="0"/>
              <w:snapToGrid w:val="0"/>
              <w:spacing w:line="360" w:lineRule="auto"/>
              <w:ind w:firstLine="480"/>
              <w:rPr>
                <w:color w:val="auto"/>
              </w:rPr>
            </w:pPr>
            <w:r>
              <w:rPr>
                <w:rFonts w:hint="eastAsia"/>
                <w:color w:val="auto"/>
              </w:rPr>
              <w:t>本项目生物质锅炉烟气污染物排放情况见下表：</w:t>
            </w:r>
          </w:p>
          <w:p>
            <w:pPr>
              <w:adjustRightInd w:val="0"/>
              <w:snapToGrid w:val="0"/>
              <w:jc w:val="center"/>
              <w:rPr>
                <w:rFonts w:ascii="Times New Roman" w:hAnsi="Times New Roman"/>
                <w:b/>
                <w:bCs/>
                <w:color w:val="auto"/>
                <w:kern w:val="2"/>
                <w:sz w:val="21"/>
                <w:szCs w:val="20"/>
              </w:rPr>
            </w:pPr>
            <w:r>
              <w:rPr>
                <w:rFonts w:ascii="Times New Roman" w:hAnsi="Times New Roman"/>
                <w:b/>
                <w:bCs/>
                <w:color w:val="auto"/>
                <w:kern w:val="2"/>
                <w:sz w:val="21"/>
                <w:szCs w:val="20"/>
              </w:rPr>
              <w:t xml:space="preserve">表5-2   </w:t>
            </w:r>
            <w:r>
              <w:rPr>
                <w:rFonts w:hint="eastAsia" w:ascii="Times New Roman" w:hAnsi="Times New Roman"/>
                <w:b/>
                <w:bCs/>
                <w:color w:val="auto"/>
                <w:kern w:val="2"/>
                <w:sz w:val="21"/>
                <w:szCs w:val="20"/>
              </w:rPr>
              <w:t>生物质锅炉</w:t>
            </w:r>
            <w:r>
              <w:rPr>
                <w:rFonts w:ascii="Times New Roman" w:hAnsi="Times New Roman"/>
                <w:b/>
                <w:bCs/>
                <w:color w:val="auto"/>
                <w:kern w:val="2"/>
                <w:sz w:val="21"/>
                <w:szCs w:val="20"/>
              </w:rPr>
              <w:t>有组织烟气污染物产生情况一览表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979"/>
              <w:gridCol w:w="979"/>
              <w:gridCol w:w="1120"/>
              <w:gridCol w:w="1111"/>
              <w:gridCol w:w="1221"/>
              <w:gridCol w:w="1121"/>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tcMar>
                    <w:left w:w="28" w:type="dxa"/>
                    <w:right w:w="28" w:type="dxa"/>
                  </w:tcMar>
                  <w:vAlign w:val="center"/>
                </w:tcPr>
                <w:p>
                  <w:pPr>
                    <w:adjustRightInd w:val="0"/>
                    <w:snapToGrid w:val="0"/>
                    <w:spacing w:line="276" w:lineRule="auto"/>
                    <w:jc w:val="center"/>
                    <w:rPr>
                      <w:rFonts w:ascii="Times New Roman" w:hAnsi="Times New Roman"/>
                      <w:color w:val="auto"/>
                      <w:kern w:val="2"/>
                      <w:sz w:val="21"/>
                      <w:szCs w:val="21"/>
                    </w:rPr>
                  </w:pPr>
                  <w:r>
                    <w:rPr>
                      <w:rFonts w:hint="eastAsia" w:ascii="Times New Roman" w:hAnsi="Times New Roman"/>
                      <w:color w:val="auto"/>
                      <w:kern w:val="2"/>
                      <w:sz w:val="21"/>
                      <w:szCs w:val="21"/>
                    </w:rPr>
                    <w:t>废气量（</w:t>
                  </w:r>
                  <w:r>
                    <w:rPr>
                      <w:rFonts w:ascii="Times New Roman" w:hAnsi="Times New Roman"/>
                      <w:bCs/>
                      <w:color w:val="auto"/>
                      <w:kern w:val="2"/>
                      <w:sz w:val="21"/>
                      <w:szCs w:val="21"/>
                    </w:rPr>
                    <w:t>m³/h</w:t>
                  </w:r>
                  <w:r>
                    <w:rPr>
                      <w:rFonts w:hint="eastAsia" w:ascii="Times New Roman" w:hAnsi="Times New Roman"/>
                      <w:color w:val="auto"/>
                      <w:kern w:val="2"/>
                      <w:sz w:val="21"/>
                      <w:szCs w:val="21"/>
                    </w:rPr>
                    <w:t>）</w:t>
                  </w:r>
                </w:p>
              </w:tc>
              <w:tc>
                <w:tcPr>
                  <w:tcW w:w="551" w:type="pct"/>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污染因子</w:t>
                  </w:r>
                </w:p>
              </w:tc>
              <w:tc>
                <w:tcPr>
                  <w:tcW w:w="551" w:type="pct"/>
                  <w:tcMar>
                    <w:left w:w="28" w:type="dxa"/>
                    <w:right w:w="28" w:type="dxa"/>
                  </w:tcMar>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产生量（t/a）</w:t>
                  </w:r>
                </w:p>
              </w:tc>
              <w:tc>
                <w:tcPr>
                  <w:tcW w:w="630" w:type="pct"/>
                  <w:tcMar>
                    <w:left w:w="28" w:type="dxa"/>
                    <w:right w:w="28" w:type="dxa"/>
                  </w:tcMar>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产生速率（kg/h）</w:t>
                  </w:r>
                </w:p>
              </w:tc>
              <w:tc>
                <w:tcPr>
                  <w:tcW w:w="625" w:type="pct"/>
                  <w:tcMar>
                    <w:left w:w="28" w:type="dxa"/>
                    <w:right w:w="28" w:type="dxa"/>
                  </w:tcMar>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产生浓度（mg/m</w:t>
                  </w:r>
                  <w:r>
                    <w:rPr>
                      <w:rFonts w:ascii="Times New Roman" w:hAnsi="Times New Roman"/>
                      <w:color w:val="auto"/>
                      <w:kern w:val="2"/>
                      <w:sz w:val="21"/>
                      <w:szCs w:val="21"/>
                      <w:vertAlign w:val="superscript"/>
                    </w:rPr>
                    <w:t>3</w:t>
                  </w:r>
                  <w:r>
                    <w:rPr>
                      <w:rFonts w:ascii="Times New Roman" w:hAnsi="Times New Roman"/>
                      <w:color w:val="auto"/>
                      <w:kern w:val="2"/>
                      <w:sz w:val="21"/>
                      <w:szCs w:val="21"/>
                    </w:rPr>
                    <w:t>）</w:t>
                  </w:r>
                </w:p>
              </w:tc>
              <w:tc>
                <w:tcPr>
                  <w:tcW w:w="687" w:type="pct"/>
                  <w:tcMar>
                    <w:left w:w="28" w:type="dxa"/>
                    <w:right w:w="28" w:type="dxa"/>
                  </w:tcMar>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排放量（t/a）</w:t>
                  </w:r>
                </w:p>
              </w:tc>
              <w:tc>
                <w:tcPr>
                  <w:tcW w:w="631" w:type="pct"/>
                  <w:tcMar>
                    <w:left w:w="28" w:type="dxa"/>
                    <w:right w:w="28" w:type="dxa"/>
                  </w:tcMar>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排放速率（kg/h）</w:t>
                  </w:r>
                </w:p>
              </w:tc>
              <w:tc>
                <w:tcPr>
                  <w:tcW w:w="742" w:type="pct"/>
                  <w:tcMar>
                    <w:left w:w="28" w:type="dxa"/>
                    <w:right w:w="28" w:type="dxa"/>
                  </w:tcMar>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排放浓度（mg/m</w:t>
                  </w:r>
                  <w:r>
                    <w:rPr>
                      <w:rFonts w:ascii="Times New Roman" w:hAnsi="Times New Roman"/>
                      <w:color w:val="auto"/>
                      <w:kern w:val="2"/>
                      <w:sz w:val="21"/>
                      <w:szCs w:val="21"/>
                      <w:vertAlign w:val="superscript"/>
                    </w:rPr>
                    <w:t>3</w:t>
                  </w:r>
                  <w:r>
                    <w:rPr>
                      <w:rFonts w:ascii="Times New Roman" w:hAnsi="Times New Roman"/>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vMerge w:val="restart"/>
                  <w:tcMar>
                    <w:left w:w="28" w:type="dxa"/>
                    <w:right w:w="28" w:type="dxa"/>
                  </w:tcMar>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bCs/>
                      <w:color w:val="auto"/>
                      <w:kern w:val="2"/>
                      <w:sz w:val="21"/>
                      <w:szCs w:val="21"/>
                    </w:rPr>
                    <w:t>19696.29</w:t>
                  </w:r>
                </w:p>
              </w:tc>
              <w:tc>
                <w:tcPr>
                  <w:tcW w:w="551" w:type="pct"/>
                  <w:vAlign w:val="center"/>
                </w:tcPr>
                <w:p>
                  <w:pPr>
                    <w:adjustRightInd w:val="0"/>
                    <w:snapToGrid w:val="0"/>
                    <w:spacing w:line="276" w:lineRule="auto"/>
                    <w:jc w:val="center"/>
                    <w:rPr>
                      <w:rFonts w:ascii="Times New Roman" w:hAnsi="Times New Roman"/>
                      <w:color w:val="auto"/>
                      <w:kern w:val="2"/>
                      <w:sz w:val="21"/>
                      <w:szCs w:val="21"/>
                    </w:rPr>
                  </w:pPr>
                  <w:r>
                    <w:rPr>
                      <w:rFonts w:hint="eastAsia" w:ascii="Times New Roman" w:hAnsi="Times New Roman"/>
                      <w:color w:val="auto"/>
                      <w:kern w:val="2"/>
                      <w:sz w:val="21"/>
                      <w:szCs w:val="21"/>
                    </w:rPr>
                    <w:t>颗粒物</w:t>
                  </w:r>
                </w:p>
              </w:tc>
              <w:tc>
                <w:tcPr>
                  <w:tcW w:w="551"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 xml:space="preserve">147.68 </w:t>
                  </w:r>
                </w:p>
              </w:tc>
              <w:tc>
                <w:tcPr>
                  <w:tcW w:w="630"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 xml:space="preserve">20.51 </w:t>
                  </w:r>
                </w:p>
              </w:tc>
              <w:tc>
                <w:tcPr>
                  <w:tcW w:w="625"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 xml:space="preserve">1041.36 </w:t>
                  </w:r>
                </w:p>
              </w:tc>
              <w:tc>
                <w:tcPr>
                  <w:tcW w:w="687"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 xml:space="preserve">1.48 </w:t>
                  </w:r>
                </w:p>
              </w:tc>
              <w:tc>
                <w:tcPr>
                  <w:tcW w:w="631"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 xml:space="preserve">0.21 </w:t>
                  </w:r>
                </w:p>
              </w:tc>
              <w:tc>
                <w:tcPr>
                  <w:tcW w:w="742"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 xml:space="preserve">10.41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vMerge w:val="continue"/>
                  <w:tcMar>
                    <w:left w:w="28" w:type="dxa"/>
                    <w:right w:w="28" w:type="dxa"/>
                  </w:tcMar>
                  <w:vAlign w:val="center"/>
                </w:tcPr>
                <w:p>
                  <w:pPr>
                    <w:adjustRightInd w:val="0"/>
                    <w:snapToGrid w:val="0"/>
                    <w:spacing w:line="276" w:lineRule="auto"/>
                    <w:jc w:val="center"/>
                    <w:rPr>
                      <w:rFonts w:ascii="Times New Roman" w:hAnsi="Times New Roman"/>
                      <w:color w:val="auto"/>
                      <w:kern w:val="2"/>
                      <w:sz w:val="21"/>
                      <w:szCs w:val="21"/>
                    </w:rPr>
                  </w:pPr>
                </w:p>
              </w:tc>
              <w:tc>
                <w:tcPr>
                  <w:tcW w:w="551" w:type="pct"/>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SO</w:t>
                  </w:r>
                  <w:r>
                    <w:rPr>
                      <w:rFonts w:ascii="Times New Roman" w:hAnsi="Times New Roman"/>
                      <w:color w:val="auto"/>
                      <w:kern w:val="2"/>
                      <w:sz w:val="21"/>
                      <w:szCs w:val="21"/>
                      <w:vertAlign w:val="subscript"/>
                    </w:rPr>
                    <w:t>2</w:t>
                  </w:r>
                </w:p>
              </w:tc>
              <w:tc>
                <w:tcPr>
                  <w:tcW w:w="551"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 xml:space="preserve">11.05 </w:t>
                  </w:r>
                </w:p>
              </w:tc>
              <w:tc>
                <w:tcPr>
                  <w:tcW w:w="630"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 xml:space="preserve">1.54 </w:t>
                  </w:r>
                </w:p>
              </w:tc>
              <w:tc>
                <w:tcPr>
                  <w:tcW w:w="625"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 xml:space="preserve">77.94 </w:t>
                  </w:r>
                </w:p>
              </w:tc>
              <w:tc>
                <w:tcPr>
                  <w:tcW w:w="687"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 xml:space="preserve">11.05 </w:t>
                  </w:r>
                </w:p>
              </w:tc>
              <w:tc>
                <w:tcPr>
                  <w:tcW w:w="631"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 xml:space="preserve">1.54 </w:t>
                  </w:r>
                </w:p>
              </w:tc>
              <w:tc>
                <w:tcPr>
                  <w:tcW w:w="742"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 xml:space="preserve">77.94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vMerge w:val="continue"/>
                  <w:tcMar>
                    <w:left w:w="28" w:type="dxa"/>
                    <w:right w:w="28" w:type="dxa"/>
                  </w:tcMar>
                  <w:vAlign w:val="center"/>
                </w:tcPr>
                <w:p>
                  <w:pPr>
                    <w:adjustRightInd w:val="0"/>
                    <w:snapToGrid w:val="0"/>
                    <w:spacing w:line="276" w:lineRule="auto"/>
                    <w:jc w:val="center"/>
                    <w:rPr>
                      <w:rFonts w:ascii="Times New Roman" w:hAnsi="Times New Roman"/>
                      <w:color w:val="auto"/>
                      <w:kern w:val="2"/>
                      <w:sz w:val="21"/>
                      <w:szCs w:val="21"/>
                    </w:rPr>
                  </w:pPr>
                </w:p>
              </w:tc>
              <w:tc>
                <w:tcPr>
                  <w:tcW w:w="551" w:type="pct"/>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NO</w:t>
                  </w:r>
                  <w:r>
                    <w:rPr>
                      <w:rFonts w:ascii="Times New Roman" w:hAnsi="Times New Roman"/>
                      <w:color w:val="auto"/>
                      <w:kern w:val="2"/>
                      <w:sz w:val="21"/>
                      <w:szCs w:val="21"/>
                      <w:vertAlign w:val="subscript"/>
                    </w:rPr>
                    <w:t>X</w:t>
                  </w:r>
                </w:p>
              </w:tc>
              <w:tc>
                <w:tcPr>
                  <w:tcW w:w="551"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 xml:space="preserve">18.44 </w:t>
                  </w:r>
                </w:p>
              </w:tc>
              <w:tc>
                <w:tcPr>
                  <w:tcW w:w="630"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 xml:space="preserve">2.56 </w:t>
                  </w:r>
                </w:p>
              </w:tc>
              <w:tc>
                <w:tcPr>
                  <w:tcW w:w="625"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130</w:t>
                  </w:r>
                </w:p>
              </w:tc>
              <w:tc>
                <w:tcPr>
                  <w:tcW w:w="687"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 xml:space="preserve">18.44 </w:t>
                  </w:r>
                </w:p>
              </w:tc>
              <w:tc>
                <w:tcPr>
                  <w:tcW w:w="631"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 xml:space="preserve">2.56 </w:t>
                  </w:r>
                </w:p>
              </w:tc>
              <w:tc>
                <w:tcPr>
                  <w:tcW w:w="742" w:type="pct"/>
                  <w:tcMar>
                    <w:left w:w="28" w:type="dxa"/>
                    <w:right w:w="28" w:type="dxa"/>
                  </w:tcMa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130</w:t>
                  </w:r>
                </w:p>
              </w:tc>
            </w:tr>
          </w:tbl>
          <w:p>
            <w:pPr>
              <w:adjustRightInd w:val="0"/>
              <w:snapToGrid w:val="0"/>
              <w:spacing w:before="163" w:beforeLines="50" w:line="360" w:lineRule="auto"/>
              <w:rPr>
                <w:rFonts w:ascii="Times New Roman" w:hAnsi="Times New Roman"/>
                <w:b/>
                <w:bCs/>
                <w:color w:val="auto"/>
              </w:rPr>
            </w:pPr>
          </w:p>
          <w:p>
            <w:pPr>
              <w:adjustRightInd w:val="0"/>
              <w:snapToGrid w:val="0"/>
              <w:spacing w:before="163" w:beforeLines="50" w:line="360" w:lineRule="auto"/>
              <w:rPr>
                <w:rFonts w:ascii="Times New Roman" w:hAnsi="Times New Roman"/>
                <w:b/>
                <w:bCs/>
                <w:color w:val="auto"/>
              </w:rPr>
            </w:pPr>
            <w:r>
              <w:rPr>
                <w:rFonts w:ascii="Times New Roman" w:hAnsi="Times New Roman"/>
                <w:b/>
                <w:bCs/>
                <w:color w:val="auto"/>
              </w:rPr>
              <w:t>1</w:t>
            </w:r>
            <w:r>
              <w:rPr>
                <w:rFonts w:hint="eastAsia" w:ascii="Times New Roman" w:hAnsi="Times New Roman"/>
                <w:b/>
                <w:bCs/>
                <w:color w:val="auto"/>
                <w:lang w:val="en-US" w:eastAsia="zh-CN"/>
              </w:rPr>
              <w:t>.2</w:t>
            </w:r>
            <w:r>
              <w:rPr>
                <w:rFonts w:ascii="Times New Roman" w:hAnsi="Times New Roman"/>
                <w:b/>
                <w:bCs/>
                <w:color w:val="auto"/>
              </w:rPr>
              <w:t xml:space="preserve"> 生物质</w:t>
            </w:r>
            <w:r>
              <w:rPr>
                <w:rFonts w:hint="eastAsia" w:ascii="Times New Roman" w:hAnsi="Times New Roman"/>
                <w:b/>
                <w:bCs/>
                <w:color w:val="auto"/>
              </w:rPr>
              <w:t>燃料棚扬尘</w:t>
            </w:r>
          </w:p>
          <w:p>
            <w:pPr>
              <w:tabs>
                <w:tab w:val="left" w:pos="2395"/>
              </w:tabs>
              <w:adjustRightInd w:val="0"/>
              <w:snapToGrid w:val="0"/>
              <w:spacing w:line="360" w:lineRule="auto"/>
              <w:ind w:firstLine="480" w:firstLineChars="200"/>
              <w:rPr>
                <w:rFonts w:ascii="Times New Roman" w:hAnsi="Times New Roman"/>
                <w:bCs/>
                <w:color w:val="auto"/>
              </w:rPr>
            </w:pPr>
            <w:r>
              <w:rPr>
                <w:rFonts w:ascii="Times New Roman" w:hAnsi="Times New Roman"/>
                <w:bCs/>
                <w:color w:val="auto"/>
              </w:rPr>
              <w:t>项目</w:t>
            </w:r>
            <w:r>
              <w:rPr>
                <w:rFonts w:hint="eastAsia" w:ascii="Times New Roman" w:hAnsi="Times New Roman"/>
                <w:bCs/>
                <w:color w:val="auto"/>
              </w:rPr>
              <w:t>使用的</w:t>
            </w:r>
            <w:r>
              <w:rPr>
                <w:rFonts w:ascii="Times New Roman" w:hAnsi="Times New Roman"/>
                <w:bCs/>
                <w:color w:val="auto"/>
              </w:rPr>
              <w:t>生物质燃料</w:t>
            </w:r>
            <w:r>
              <w:rPr>
                <w:rFonts w:hint="eastAsia" w:ascii="Times New Roman" w:hAnsi="Times New Roman"/>
                <w:bCs/>
                <w:color w:val="auto"/>
              </w:rPr>
              <w:t>、燃烧产生的炉渣堆放在</w:t>
            </w:r>
            <w:r>
              <w:rPr>
                <w:rFonts w:hint="eastAsia"/>
                <w:color w:val="auto"/>
              </w:rPr>
              <w:t>生物质燃料棚（即</w:t>
            </w:r>
            <w:r>
              <w:rPr>
                <w:rFonts w:hint="eastAsia" w:ascii="Times New Roman" w:hAnsi="Times New Roman"/>
                <w:bCs/>
                <w:color w:val="auto"/>
              </w:rPr>
              <w:t>原有煤棚和渣棚</w:t>
            </w:r>
            <w:r>
              <w:rPr>
                <w:rFonts w:hint="eastAsia"/>
                <w:color w:val="auto"/>
              </w:rPr>
              <w:t>）</w:t>
            </w:r>
            <w:r>
              <w:rPr>
                <w:rFonts w:ascii="Times New Roman" w:hAnsi="Times New Roman"/>
                <w:bCs/>
                <w:color w:val="auto"/>
              </w:rPr>
              <w:t>内，会产生少量</w:t>
            </w:r>
            <w:r>
              <w:rPr>
                <w:rFonts w:hint="eastAsia" w:ascii="Times New Roman" w:hAnsi="Times New Roman"/>
                <w:bCs/>
                <w:color w:val="auto"/>
              </w:rPr>
              <w:t>扬尘</w:t>
            </w:r>
            <w:r>
              <w:rPr>
                <w:rFonts w:ascii="Times New Roman" w:hAnsi="Times New Roman"/>
                <w:bCs/>
                <w:color w:val="auto"/>
              </w:rPr>
              <w:t>，</w:t>
            </w:r>
            <w:r>
              <w:rPr>
                <w:rFonts w:hint="eastAsia" w:ascii="Times New Roman" w:hAnsi="Times New Roman"/>
                <w:bCs/>
                <w:color w:val="auto"/>
              </w:rPr>
              <w:t>本次环评要求生物质燃料棚除进出口外进行封闭改造，</w:t>
            </w:r>
            <w:r>
              <w:rPr>
                <w:rFonts w:ascii="Times New Roman" w:hAnsi="Times New Roman"/>
                <w:bCs/>
                <w:color w:val="auto"/>
              </w:rPr>
              <w:t>采用洒水降尘抑制粉尘产生</w:t>
            </w:r>
            <w:r>
              <w:rPr>
                <w:rFonts w:hint="eastAsia" w:ascii="Times New Roman" w:hAnsi="Times New Roman"/>
                <w:bCs/>
                <w:color w:val="auto"/>
              </w:rPr>
              <w:t>。由于项目物料于室内堆存，受风力扰动的影响较小，主要导致扬尘产生的原因为装卸物料时的人为扰动。该部分粉尘产生量参照《扬尘源颗粒物排放清单编制技术指南（试行）》中的堆场扬尘源排放量计算方法进行估算，计算公式如下：</w:t>
            </w:r>
          </w:p>
          <w:p>
            <w:pPr>
              <w:pStyle w:val="37"/>
              <w:adjustRightInd w:val="0"/>
              <w:snapToGrid w:val="0"/>
              <w:ind w:firstLine="480"/>
              <w:jc w:val="center"/>
              <w:rPr>
                <w:color w:val="auto"/>
              </w:rPr>
            </w:pPr>
            <w:r>
              <w:rPr>
                <w:color w:val="auto"/>
                <w:position w:val="-28"/>
              </w:rPr>
              <w:object>
                <v:shape id="_x0000_i1051" o:spt="75" type="#_x0000_t75" style="height:33.75pt;width:186pt;" o:ole="t" filled="f" o:preferrelative="t" stroked="f" coordsize="21600,21600">
                  <v:path/>
                  <v:fill on="f" focussize="0,0"/>
                  <v:stroke on="f" joinstyle="miter"/>
                  <v:imagedata r:id="rId15" o:title=""/>
                  <o:lock v:ext="edit" aspectratio="t"/>
                  <w10:wrap type="none"/>
                  <w10:anchorlock/>
                </v:shape>
                <o:OLEObject Type="Embed" ProgID="Equation.3" ShapeID="_x0000_i1051" DrawAspect="Content" ObjectID="_1468075751" r:id="rId66">
                  <o:LockedField>false</o:LockedField>
                </o:OLEObject>
              </w:object>
            </w:r>
          </w:p>
          <w:p>
            <w:pPr>
              <w:pStyle w:val="37"/>
              <w:adjustRightInd w:val="0"/>
              <w:snapToGrid w:val="0"/>
              <w:spacing w:line="360" w:lineRule="auto"/>
              <w:ind w:firstLine="480"/>
              <w:rPr>
                <w:rFonts w:ascii="Times New Roman" w:hAnsi="Times New Roman"/>
                <w:color w:val="auto"/>
              </w:rPr>
            </w:pPr>
            <w:r>
              <w:rPr>
                <w:rFonts w:hint="eastAsia"/>
                <w:color w:val="auto"/>
              </w:rPr>
              <w:t>式中：</w:t>
            </w:r>
            <w:r>
              <w:rPr>
                <w:rFonts w:ascii="Times New Roman" w:hAnsi="Times New Roman"/>
                <w:color w:val="auto"/>
              </w:rPr>
              <w:t>W</w:t>
            </w:r>
            <w:r>
              <w:rPr>
                <w:rFonts w:ascii="Times New Roman" w:hAnsi="Times New Roman"/>
                <w:color w:val="auto"/>
                <w:vertAlign w:val="subscript"/>
              </w:rPr>
              <w:t>Y</w:t>
            </w:r>
            <w:r>
              <w:rPr>
                <w:rFonts w:hint="eastAsia" w:ascii="Times New Roman" w:hAnsi="Times New Roman"/>
                <w:color w:val="auto"/>
              </w:rPr>
              <w:t>为堆场扬尘源中颗粒物的排放总量，t/a。</w:t>
            </w:r>
          </w:p>
          <w:p>
            <w:pPr>
              <w:pStyle w:val="36"/>
              <w:adjustRightInd w:val="0"/>
              <w:snapToGrid w:val="0"/>
              <w:spacing w:line="360" w:lineRule="auto"/>
              <w:ind w:firstLine="1200" w:firstLineChars="500"/>
              <w:jc w:val="both"/>
              <w:rPr>
                <w:rFonts w:ascii="Times New Roman" w:hAnsi="Times New Roman"/>
                <w:color w:val="auto"/>
              </w:rPr>
            </w:pPr>
            <w:r>
              <w:rPr>
                <w:rFonts w:hint="eastAsia" w:ascii="Times New Roman" w:hAnsi="Times New Roman"/>
                <w:color w:val="auto"/>
              </w:rPr>
              <w:t>E</w:t>
            </w:r>
            <w:r>
              <w:rPr>
                <w:rFonts w:hint="eastAsia" w:ascii="Times New Roman" w:hAnsi="Times New Roman"/>
                <w:color w:val="auto"/>
                <w:vertAlign w:val="subscript"/>
              </w:rPr>
              <w:t>h</w:t>
            </w:r>
            <w:r>
              <w:rPr>
                <w:rFonts w:hint="eastAsia" w:ascii="Times New Roman" w:hAnsi="Times New Roman"/>
                <w:color w:val="auto"/>
              </w:rPr>
              <w:t>为堆场装卸运输过程的扬尘颗粒物排放系数，kg/t；</w:t>
            </w:r>
          </w:p>
          <w:p>
            <w:pPr>
              <w:adjustRightInd w:val="0"/>
              <w:snapToGrid w:val="0"/>
              <w:spacing w:line="360" w:lineRule="auto"/>
              <w:ind w:firstLine="1200" w:firstLineChars="500"/>
              <w:rPr>
                <w:rFonts w:ascii="Times New Roman" w:hAnsi="Times New Roman"/>
                <w:color w:val="auto"/>
              </w:rPr>
            </w:pPr>
            <w:r>
              <w:rPr>
                <w:rFonts w:hint="eastAsia" w:ascii="Times New Roman" w:hAnsi="Times New Roman"/>
                <w:color w:val="auto"/>
              </w:rPr>
              <w:t>m为每年料堆物料装卸总次数，次；</w:t>
            </w:r>
          </w:p>
          <w:p>
            <w:pPr>
              <w:pStyle w:val="37"/>
              <w:adjustRightInd w:val="0"/>
              <w:snapToGrid w:val="0"/>
              <w:spacing w:line="360" w:lineRule="auto"/>
              <w:ind w:firstLine="1200" w:firstLineChars="500"/>
              <w:rPr>
                <w:rFonts w:ascii="Times New Roman" w:hAnsi="Times New Roman"/>
                <w:color w:val="auto"/>
              </w:rPr>
            </w:pPr>
            <w:r>
              <w:rPr>
                <w:rFonts w:hint="eastAsia" w:ascii="Times New Roman" w:hAnsi="Times New Roman"/>
                <w:color w:val="auto"/>
              </w:rPr>
              <w:t>G</w:t>
            </w:r>
            <w:r>
              <w:rPr>
                <w:rFonts w:hint="eastAsia" w:ascii="Times New Roman" w:hAnsi="Times New Roman"/>
                <w:color w:val="auto"/>
                <w:vertAlign w:val="subscript"/>
              </w:rPr>
              <w:t>Yi</w:t>
            </w:r>
            <w:r>
              <w:rPr>
                <w:rFonts w:hint="eastAsia" w:ascii="Times New Roman" w:hAnsi="Times New Roman"/>
                <w:color w:val="auto"/>
              </w:rPr>
              <w:t>为第i次装卸过程的物料装卸量，t；</w:t>
            </w:r>
          </w:p>
          <w:p>
            <w:pPr>
              <w:pStyle w:val="37"/>
              <w:adjustRightInd w:val="0"/>
              <w:snapToGrid w:val="0"/>
              <w:spacing w:line="360" w:lineRule="auto"/>
              <w:ind w:firstLine="1200" w:firstLineChars="500"/>
              <w:rPr>
                <w:rFonts w:ascii="Times New Roman" w:hAnsi="Times New Roman"/>
                <w:color w:val="auto"/>
              </w:rPr>
            </w:pPr>
            <w:r>
              <w:rPr>
                <w:rFonts w:hint="eastAsia" w:ascii="Times New Roman" w:hAnsi="Times New Roman"/>
                <w:color w:val="auto"/>
              </w:rPr>
              <w:t>E</w:t>
            </w:r>
            <w:r>
              <w:rPr>
                <w:rFonts w:hint="eastAsia" w:ascii="Times New Roman" w:hAnsi="Times New Roman"/>
                <w:color w:val="auto"/>
                <w:vertAlign w:val="subscript"/>
              </w:rPr>
              <w:t>w</w:t>
            </w:r>
            <w:r>
              <w:rPr>
                <w:rFonts w:hint="eastAsia" w:ascii="Times New Roman" w:hAnsi="Times New Roman"/>
                <w:color w:val="auto"/>
              </w:rPr>
              <w:t>为料堆受到风蚀作用的颗粒物排放系数，kg/m</w:t>
            </w:r>
            <w:r>
              <w:rPr>
                <w:rFonts w:hint="eastAsia" w:ascii="Times New Roman" w:hAnsi="Times New Roman"/>
                <w:color w:val="auto"/>
                <w:vertAlign w:val="superscript"/>
              </w:rPr>
              <w:t>2</w:t>
            </w:r>
            <w:r>
              <w:rPr>
                <w:rFonts w:hint="eastAsia" w:ascii="Times New Roman" w:hAnsi="Times New Roman"/>
                <w:color w:val="auto"/>
              </w:rPr>
              <w:t>；</w:t>
            </w:r>
          </w:p>
          <w:p>
            <w:pPr>
              <w:pStyle w:val="37"/>
              <w:adjustRightInd w:val="0"/>
              <w:snapToGrid w:val="0"/>
              <w:spacing w:line="360" w:lineRule="auto"/>
              <w:ind w:firstLine="1200" w:firstLineChars="500"/>
              <w:rPr>
                <w:rFonts w:ascii="Times New Roman" w:hAnsi="Times New Roman"/>
                <w:color w:val="auto"/>
              </w:rPr>
            </w:pPr>
            <w:r>
              <w:rPr>
                <w:rFonts w:hint="eastAsia" w:ascii="Times New Roman" w:hAnsi="Times New Roman"/>
                <w:color w:val="auto"/>
              </w:rPr>
              <w:t>A</w:t>
            </w:r>
            <w:r>
              <w:rPr>
                <w:rFonts w:hint="eastAsia" w:ascii="Times New Roman" w:hAnsi="Times New Roman"/>
                <w:color w:val="auto"/>
                <w:vertAlign w:val="subscript"/>
              </w:rPr>
              <w:t>Y</w:t>
            </w:r>
            <w:r>
              <w:rPr>
                <w:rFonts w:hint="eastAsia" w:ascii="Times New Roman" w:hAnsi="Times New Roman"/>
                <w:color w:val="auto"/>
              </w:rPr>
              <w:t>为料堆表面积，m</w:t>
            </w:r>
            <w:r>
              <w:rPr>
                <w:rFonts w:hint="eastAsia" w:ascii="Times New Roman" w:hAnsi="Times New Roman"/>
                <w:color w:val="auto"/>
                <w:vertAlign w:val="superscript"/>
              </w:rPr>
              <w:t>2</w:t>
            </w:r>
            <w:r>
              <w:rPr>
                <w:rFonts w:hint="eastAsia" w:ascii="Times New Roman" w:hAnsi="Times New Roman"/>
                <w:color w:val="auto"/>
              </w:rPr>
              <w:t>；</w:t>
            </w:r>
          </w:p>
          <w:p>
            <w:pPr>
              <w:widowControl/>
              <w:tabs>
                <w:tab w:val="left" w:pos="1421"/>
              </w:tabs>
              <w:adjustRightInd w:val="0"/>
              <w:snapToGrid w:val="0"/>
              <w:spacing w:line="360" w:lineRule="auto"/>
              <w:ind w:firstLine="480" w:firstLineChars="200"/>
              <w:rPr>
                <w:rFonts w:ascii="Times New Roman" w:hAnsi="Times New Roman"/>
                <w:color w:val="auto"/>
                <w:kern w:val="2"/>
              </w:rPr>
            </w:pPr>
            <w:r>
              <w:rPr>
                <w:rFonts w:hint="eastAsia" w:ascii="Times New Roman" w:hAnsi="Times New Roman"/>
                <w:color w:val="auto"/>
                <w:kern w:val="2"/>
              </w:rPr>
              <w:t>本次估算过程不考虑风蚀作用，仅考虑装卸扰动，其中，装卸、运输物料过程扬尘排放系数可按下式估算：</w:t>
            </w:r>
          </w:p>
          <w:p>
            <w:pPr>
              <w:pStyle w:val="37"/>
              <w:adjustRightInd w:val="0"/>
              <w:snapToGrid w:val="0"/>
              <w:ind w:firstLine="480"/>
              <w:jc w:val="center"/>
              <w:rPr>
                <w:color w:val="auto"/>
              </w:rPr>
            </w:pPr>
            <w:r>
              <w:rPr>
                <w:rFonts w:hint="eastAsia"/>
                <w:color w:val="auto"/>
                <w:position w:val="-66"/>
              </w:rPr>
              <w:object>
                <v:shape id="_x0000_i1052" o:spt="75" type="#_x0000_t75" style="height:72pt;width:168pt;" o:ole="t" filled="f" o:preferrelative="t" stroked="f" coordsize="21600,21600">
                  <v:path/>
                  <v:fill on="f" focussize="0,0"/>
                  <v:stroke on="f" joinstyle="miter"/>
                  <v:imagedata r:id="rId17" o:title=""/>
                  <o:lock v:ext="edit" aspectratio="t"/>
                  <w10:wrap type="none"/>
                  <w10:anchorlock/>
                </v:shape>
                <o:OLEObject Type="Embed" ProgID="Equation.3" ShapeID="_x0000_i1052" DrawAspect="Content" ObjectID="_1468075752" r:id="rId67">
                  <o:LockedField>false</o:LockedField>
                </o:OLEObject>
              </w:object>
            </w:r>
          </w:p>
          <w:p>
            <w:pPr>
              <w:widowControl/>
              <w:tabs>
                <w:tab w:val="left" w:pos="1421"/>
              </w:tabs>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kern w:val="2"/>
              </w:rPr>
              <w:t>式中：</w:t>
            </w:r>
            <w:r>
              <w:rPr>
                <w:rFonts w:hint="eastAsia" w:ascii="Times New Roman" w:hAnsi="Times New Roman"/>
                <w:color w:val="auto"/>
              </w:rPr>
              <w:t>E</w:t>
            </w:r>
            <w:r>
              <w:rPr>
                <w:rFonts w:hint="eastAsia" w:ascii="Times New Roman" w:hAnsi="Times New Roman"/>
                <w:color w:val="auto"/>
                <w:vertAlign w:val="subscript"/>
              </w:rPr>
              <w:t>h</w:t>
            </w:r>
            <w:r>
              <w:rPr>
                <w:rFonts w:hint="eastAsia" w:ascii="Times New Roman" w:hAnsi="Times New Roman"/>
                <w:color w:val="auto"/>
              </w:rPr>
              <w:t>为堆场装卸运输过程的扬尘颗粒物排放系数，kg/t；</w:t>
            </w:r>
          </w:p>
          <w:p>
            <w:pPr>
              <w:pStyle w:val="37"/>
              <w:adjustRightInd w:val="0"/>
              <w:snapToGrid w:val="0"/>
              <w:spacing w:line="360" w:lineRule="auto"/>
              <w:ind w:firstLine="1200" w:firstLineChars="500"/>
              <w:rPr>
                <w:rFonts w:ascii="Times New Roman" w:hAnsi="Times New Roman"/>
                <w:color w:val="auto"/>
              </w:rPr>
            </w:pPr>
            <w:r>
              <w:rPr>
                <w:rFonts w:hint="eastAsia" w:ascii="Times New Roman" w:hAnsi="Times New Roman"/>
                <w:color w:val="auto"/>
              </w:rPr>
              <w:t>k</w:t>
            </w:r>
            <w:r>
              <w:rPr>
                <w:rFonts w:hint="eastAsia" w:ascii="Times New Roman" w:hAnsi="Times New Roman"/>
                <w:color w:val="auto"/>
                <w:vertAlign w:val="subscript"/>
              </w:rPr>
              <w:t>i</w:t>
            </w:r>
            <w:r>
              <w:rPr>
                <w:rFonts w:hint="eastAsia" w:ascii="Times New Roman" w:hAnsi="Times New Roman"/>
                <w:color w:val="auto"/>
              </w:rPr>
              <w:t>为物料的粒度乘数，TSP取0.74；</w:t>
            </w:r>
          </w:p>
          <w:p>
            <w:pPr>
              <w:pStyle w:val="36"/>
              <w:adjustRightInd w:val="0"/>
              <w:snapToGrid w:val="0"/>
              <w:spacing w:line="360" w:lineRule="auto"/>
              <w:ind w:firstLine="1200" w:firstLineChars="500"/>
              <w:jc w:val="both"/>
              <w:rPr>
                <w:rFonts w:ascii="Times New Roman" w:hAnsi="Times New Roman"/>
                <w:color w:val="auto"/>
              </w:rPr>
            </w:pPr>
            <w:r>
              <w:rPr>
                <w:rFonts w:hint="eastAsia" w:ascii="Times New Roman" w:hAnsi="Times New Roman"/>
                <w:color w:val="auto"/>
              </w:rPr>
              <w:t>u为地面平均风速，m/s，取1.9；</w:t>
            </w:r>
          </w:p>
          <w:p>
            <w:pPr>
              <w:adjustRightInd w:val="0"/>
              <w:snapToGrid w:val="0"/>
              <w:spacing w:line="360" w:lineRule="auto"/>
              <w:ind w:firstLine="1200" w:firstLineChars="500"/>
              <w:rPr>
                <w:rFonts w:ascii="Times New Roman" w:hAnsi="Times New Roman"/>
                <w:color w:val="auto"/>
              </w:rPr>
            </w:pPr>
            <w:r>
              <w:rPr>
                <w:rFonts w:hint="eastAsia" w:ascii="Times New Roman" w:hAnsi="Times New Roman"/>
                <w:color w:val="auto"/>
              </w:rPr>
              <w:t>M为物料含水率，%，取3%；</w:t>
            </w:r>
          </w:p>
          <w:p>
            <w:pPr>
              <w:pStyle w:val="37"/>
              <w:adjustRightInd w:val="0"/>
              <w:snapToGrid w:val="0"/>
              <w:spacing w:line="360" w:lineRule="auto"/>
              <w:ind w:firstLine="1200" w:firstLineChars="500"/>
              <w:rPr>
                <w:color w:val="auto"/>
              </w:rPr>
            </w:pPr>
            <w:r>
              <w:rPr>
                <w:rFonts w:hint="eastAsia" w:ascii="微软雅黑" w:hAnsi="微软雅黑" w:eastAsia="微软雅黑" w:cs="微软雅黑"/>
                <w:color w:val="auto"/>
              </w:rPr>
              <w:t>η</w:t>
            </w:r>
            <w:r>
              <w:rPr>
                <w:rFonts w:hint="eastAsia" w:ascii="Times New Roman" w:hAnsi="Times New Roman"/>
                <w:color w:val="auto"/>
              </w:rPr>
              <w:t>为污染控制技术对扬尘的去除效率，%，取60%。</w:t>
            </w:r>
          </w:p>
          <w:p>
            <w:pPr>
              <w:widowControl/>
              <w:tabs>
                <w:tab w:val="left" w:pos="1421"/>
              </w:tabs>
              <w:adjustRightInd w:val="0"/>
              <w:snapToGrid w:val="0"/>
              <w:spacing w:line="360" w:lineRule="auto"/>
              <w:ind w:firstLine="480" w:firstLineChars="200"/>
              <w:rPr>
                <w:rFonts w:ascii="Times New Roman" w:hAnsi="Times New Roman"/>
                <w:color w:val="auto"/>
                <w:kern w:val="2"/>
              </w:rPr>
            </w:pPr>
            <w:r>
              <w:rPr>
                <w:rFonts w:hint="eastAsia" w:ascii="Times New Roman" w:hAnsi="Times New Roman"/>
                <w:color w:val="auto"/>
                <w:kern w:val="2"/>
              </w:rPr>
              <w:t>根据建设单位提供的运营经验数据，炉渣平均3日清运1次，每次约12t，全年清运100次；生物质燃料平均每周购置1次，全年购置约48次，每次购入量约380t。经计算，项目无组织粉尘产生量约</w:t>
            </w:r>
            <w:r>
              <w:rPr>
                <w:rFonts w:ascii="Times New Roman" w:hAnsi="Times New Roman"/>
                <w:color w:val="auto"/>
                <w:kern w:val="2"/>
              </w:rPr>
              <w:t>6.80</w:t>
            </w:r>
            <w:r>
              <w:rPr>
                <w:rFonts w:hint="eastAsia" w:ascii="Times New Roman" w:hAnsi="Times New Roman"/>
                <w:color w:val="auto"/>
                <w:kern w:val="2"/>
              </w:rPr>
              <w:t>t/a，采取封闭改造和洒水降尘措施后的排放量约</w:t>
            </w:r>
            <w:r>
              <w:rPr>
                <w:rFonts w:ascii="Times New Roman" w:hAnsi="Times New Roman"/>
                <w:color w:val="auto"/>
                <w:kern w:val="2"/>
              </w:rPr>
              <w:t>2.72</w:t>
            </w:r>
            <w:r>
              <w:rPr>
                <w:rFonts w:hint="eastAsia" w:ascii="Times New Roman" w:hAnsi="Times New Roman"/>
                <w:color w:val="auto"/>
                <w:kern w:val="2"/>
              </w:rPr>
              <w:t>t/a。</w:t>
            </w:r>
          </w:p>
          <w:p>
            <w:pPr>
              <w:adjustRightInd w:val="0"/>
              <w:snapToGrid w:val="0"/>
              <w:spacing w:line="360" w:lineRule="auto"/>
              <w:rPr>
                <w:rFonts w:ascii="Times New Roman" w:hAnsi="Times New Roman"/>
                <w:b/>
                <w:bCs/>
                <w:color w:val="auto"/>
              </w:rPr>
            </w:pPr>
            <w:r>
              <w:rPr>
                <w:rFonts w:ascii="Times New Roman" w:hAnsi="Times New Roman"/>
                <w:b/>
                <w:bCs/>
                <w:color w:val="auto"/>
              </w:rPr>
              <w:t>1.4 非正常排放</w:t>
            </w:r>
          </w:p>
          <w:p>
            <w:pPr>
              <w:widowControl/>
              <w:tabs>
                <w:tab w:val="left" w:pos="1421"/>
              </w:tabs>
              <w:adjustRightInd w:val="0"/>
              <w:snapToGrid w:val="0"/>
              <w:spacing w:line="360" w:lineRule="auto"/>
              <w:ind w:firstLine="480" w:firstLineChars="200"/>
              <w:jc w:val="left"/>
              <w:rPr>
                <w:rFonts w:ascii="Times New Roman" w:hAnsi="Times New Roman"/>
                <w:bCs/>
                <w:color w:val="auto"/>
              </w:rPr>
            </w:pPr>
            <w:r>
              <w:rPr>
                <w:rFonts w:ascii="Times New Roman" w:hAnsi="Times New Roman"/>
                <w:bCs/>
                <w:color w:val="auto"/>
              </w:rPr>
              <w:t>项目锅炉的布袋除尘器出现破袋情况时为非正常排放，破袋导致布袋除尘器对生物质锅炉的颗粒物去除效率变为0%，</w:t>
            </w:r>
            <w:r>
              <w:rPr>
                <w:rFonts w:ascii="Times New Roman" w:hAnsi="Times New Roman"/>
                <w:bCs/>
                <w:color w:val="auto"/>
              </w:rPr>
              <w:t>其锅炉</w:t>
            </w:r>
            <w:r>
              <w:rPr>
                <w:rFonts w:hint="eastAsia" w:ascii="Times New Roman" w:hAnsi="Times New Roman"/>
                <w:bCs/>
                <w:color w:val="auto"/>
              </w:rPr>
              <w:t>烟气非正常</w:t>
            </w:r>
            <w:r>
              <w:rPr>
                <w:rFonts w:ascii="Times New Roman" w:hAnsi="Times New Roman"/>
                <w:bCs/>
                <w:color w:val="auto"/>
              </w:rPr>
              <w:t>排放</w:t>
            </w:r>
            <w:r>
              <w:rPr>
                <w:rFonts w:hint="eastAsia" w:ascii="Times New Roman" w:hAnsi="Times New Roman"/>
                <w:bCs/>
                <w:color w:val="auto"/>
              </w:rPr>
              <w:t>源强如下表所示。</w:t>
            </w:r>
          </w:p>
          <w:p>
            <w:pPr>
              <w:adjustRightInd w:val="0"/>
              <w:snapToGrid w:val="0"/>
              <w:jc w:val="center"/>
              <w:rPr>
                <w:rFonts w:ascii="Times New Roman" w:hAnsi="Times New Roman"/>
                <w:b/>
                <w:bCs/>
                <w:color w:val="auto"/>
                <w:kern w:val="2"/>
                <w:sz w:val="21"/>
                <w:szCs w:val="20"/>
              </w:rPr>
            </w:pPr>
            <w:r>
              <w:rPr>
                <w:rFonts w:ascii="Times New Roman" w:hAnsi="Times New Roman"/>
                <w:b/>
                <w:bCs/>
                <w:color w:val="auto"/>
                <w:kern w:val="2"/>
                <w:sz w:val="21"/>
                <w:szCs w:val="20"/>
              </w:rPr>
              <w:t>表5-3   项目废气</w:t>
            </w:r>
            <w:r>
              <w:rPr>
                <w:rFonts w:hint="eastAsia" w:ascii="Times New Roman" w:hAnsi="Times New Roman"/>
                <w:b/>
                <w:bCs/>
                <w:color w:val="auto"/>
                <w:kern w:val="2"/>
                <w:sz w:val="21"/>
                <w:szCs w:val="20"/>
              </w:rPr>
              <w:t>非正常工况</w:t>
            </w:r>
            <w:r>
              <w:rPr>
                <w:rFonts w:ascii="Times New Roman" w:hAnsi="Times New Roman"/>
                <w:b/>
                <w:bCs/>
                <w:color w:val="auto"/>
                <w:kern w:val="2"/>
                <w:sz w:val="21"/>
                <w:szCs w:val="20"/>
              </w:rPr>
              <w:t>污染物产生</w:t>
            </w:r>
            <w:r>
              <w:rPr>
                <w:rFonts w:hint="eastAsia" w:ascii="Times New Roman" w:hAnsi="Times New Roman"/>
                <w:b/>
                <w:bCs/>
                <w:color w:val="auto"/>
                <w:kern w:val="2"/>
                <w:sz w:val="21"/>
                <w:szCs w:val="20"/>
              </w:rPr>
              <w:t>及排放</w:t>
            </w:r>
            <w:r>
              <w:rPr>
                <w:rFonts w:ascii="Times New Roman" w:hAnsi="Times New Roman"/>
                <w:b/>
                <w:bCs/>
                <w:color w:val="auto"/>
                <w:kern w:val="2"/>
                <w:sz w:val="21"/>
                <w:szCs w:val="20"/>
              </w:rPr>
              <w:t>情况一览表</w:t>
            </w:r>
          </w:p>
          <w:tbl>
            <w:tblPr>
              <w:tblStyle w:val="38"/>
              <w:tblW w:w="5000" w:type="pct"/>
              <w:tblInd w:w="0" w:type="dxa"/>
              <w:tblLayout w:type="autofit"/>
              <w:tblCellMar>
                <w:top w:w="0" w:type="dxa"/>
                <w:left w:w="108" w:type="dxa"/>
                <w:bottom w:w="0" w:type="dxa"/>
                <w:right w:w="108" w:type="dxa"/>
              </w:tblCellMar>
            </w:tblPr>
            <w:tblGrid>
              <w:gridCol w:w="5008"/>
              <w:gridCol w:w="1530"/>
              <w:gridCol w:w="1178"/>
              <w:gridCol w:w="1179"/>
            </w:tblGrid>
            <w:tr>
              <w:tblPrEx>
                <w:tblCellMar>
                  <w:top w:w="0" w:type="dxa"/>
                  <w:left w:w="108" w:type="dxa"/>
                  <w:bottom w:w="0" w:type="dxa"/>
                  <w:right w:w="108" w:type="dxa"/>
                </w:tblCellMar>
              </w:tblPrEx>
              <w:trPr>
                <w:trHeight w:val="20" w:hRule="atLeast"/>
              </w:trPr>
              <w:tc>
                <w:tcPr>
                  <w:tcW w:w="2815"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废气种类</w:t>
                  </w:r>
                </w:p>
              </w:tc>
              <w:tc>
                <w:tcPr>
                  <w:tcW w:w="2185" w:type="pct"/>
                  <w:gridSpan w:val="3"/>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有组织废气G1</w:t>
                  </w:r>
                </w:p>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w:t>
                  </w:r>
                  <w:r>
                    <w:rPr>
                      <w:rFonts w:hint="eastAsia" w:ascii="Times New Roman" w:hAnsi="Times New Roman"/>
                      <w:color w:val="auto"/>
                      <w:kern w:val="0"/>
                      <w:sz w:val="21"/>
                      <w:szCs w:val="21"/>
                    </w:rPr>
                    <w:t>非正常工况</w:t>
                  </w:r>
                  <w:r>
                    <w:rPr>
                      <w:rFonts w:ascii="Times New Roman" w:hAnsi="Times New Roman"/>
                      <w:color w:val="auto"/>
                      <w:kern w:val="0"/>
                      <w:sz w:val="21"/>
                      <w:szCs w:val="21"/>
                    </w:rPr>
                    <w:t>生物质锅炉烟气）</w:t>
                  </w:r>
                </w:p>
              </w:tc>
            </w:tr>
            <w:tr>
              <w:tblPrEx>
                <w:tblCellMar>
                  <w:top w:w="0" w:type="dxa"/>
                  <w:left w:w="108" w:type="dxa"/>
                  <w:bottom w:w="0" w:type="dxa"/>
                  <w:right w:w="108" w:type="dxa"/>
                </w:tblCellMar>
              </w:tblPrEx>
              <w:trPr>
                <w:trHeight w:val="20" w:hRule="atLeast"/>
              </w:trPr>
              <w:tc>
                <w:tcPr>
                  <w:tcW w:w="2815"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废气量（</w:t>
                  </w:r>
                  <w:r>
                    <w:rPr>
                      <w:rFonts w:ascii="Times New Roman" w:hAnsi="Times New Roman"/>
                      <w:color w:val="auto"/>
                      <w:sz w:val="21"/>
                      <w:szCs w:val="21"/>
                    </w:rPr>
                    <w:t>m</w:t>
                  </w:r>
                  <w:r>
                    <w:rPr>
                      <w:rFonts w:ascii="Times New Roman" w:hAnsi="Times New Roman"/>
                      <w:color w:val="auto"/>
                      <w:sz w:val="21"/>
                      <w:szCs w:val="21"/>
                      <w:vertAlign w:val="superscript"/>
                    </w:rPr>
                    <w:t>3</w:t>
                  </w:r>
                  <w:r>
                    <w:rPr>
                      <w:rFonts w:ascii="Times New Roman" w:hAnsi="Times New Roman"/>
                      <w:color w:val="auto"/>
                      <w:sz w:val="21"/>
                      <w:szCs w:val="21"/>
                    </w:rPr>
                    <w:t>/h</w:t>
                  </w:r>
                  <w:r>
                    <w:rPr>
                      <w:rFonts w:ascii="Times New Roman" w:hAnsi="Times New Roman"/>
                      <w:color w:val="auto"/>
                      <w:kern w:val="0"/>
                      <w:sz w:val="21"/>
                      <w:szCs w:val="21"/>
                    </w:rPr>
                    <w:t>）</w:t>
                  </w:r>
                </w:p>
              </w:tc>
              <w:tc>
                <w:tcPr>
                  <w:tcW w:w="2185" w:type="pct"/>
                  <w:gridSpan w:val="3"/>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bCs/>
                      <w:color w:val="auto"/>
                      <w:kern w:val="2"/>
                      <w:sz w:val="21"/>
                      <w:szCs w:val="21"/>
                    </w:rPr>
                    <w:t>19696.29</w:t>
                  </w:r>
                </w:p>
              </w:tc>
            </w:tr>
            <w:tr>
              <w:tblPrEx>
                <w:tblCellMar>
                  <w:top w:w="0" w:type="dxa"/>
                  <w:left w:w="108" w:type="dxa"/>
                  <w:bottom w:w="0" w:type="dxa"/>
                  <w:right w:w="108" w:type="dxa"/>
                </w:tblCellMar>
              </w:tblPrEx>
              <w:trPr>
                <w:trHeight w:val="20" w:hRule="atLeast"/>
              </w:trPr>
              <w:tc>
                <w:tcPr>
                  <w:tcW w:w="2815"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污染因子</w:t>
                  </w:r>
                </w:p>
              </w:tc>
              <w:tc>
                <w:tcPr>
                  <w:tcW w:w="86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颗粒物</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vertAlign w:val="subscript"/>
                    </w:rPr>
                  </w:pPr>
                  <w:r>
                    <w:rPr>
                      <w:rFonts w:ascii="Times New Roman" w:hAnsi="Times New Roman"/>
                      <w:color w:val="auto"/>
                      <w:kern w:val="0"/>
                      <w:sz w:val="21"/>
                      <w:szCs w:val="21"/>
                    </w:rPr>
                    <w:t>SO</w:t>
                  </w:r>
                  <w:r>
                    <w:rPr>
                      <w:rFonts w:ascii="Times New Roman" w:hAnsi="Times New Roman"/>
                      <w:color w:val="auto"/>
                      <w:kern w:val="0"/>
                      <w:sz w:val="21"/>
                      <w:szCs w:val="21"/>
                      <w:vertAlign w:val="subscript"/>
                    </w:rPr>
                    <w:t>2</w:t>
                  </w:r>
                </w:p>
              </w:tc>
              <w:tc>
                <w:tcPr>
                  <w:tcW w:w="663"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vertAlign w:val="subscript"/>
                    </w:rPr>
                  </w:pPr>
                  <w:r>
                    <w:rPr>
                      <w:rFonts w:ascii="Times New Roman" w:hAnsi="Times New Roman"/>
                      <w:color w:val="auto"/>
                      <w:kern w:val="0"/>
                      <w:sz w:val="21"/>
                      <w:szCs w:val="21"/>
                    </w:rPr>
                    <w:t>NO</w:t>
                  </w:r>
                  <w:r>
                    <w:rPr>
                      <w:rFonts w:ascii="Times New Roman" w:hAnsi="Times New Roman"/>
                      <w:color w:val="auto"/>
                      <w:kern w:val="0"/>
                      <w:sz w:val="21"/>
                      <w:szCs w:val="21"/>
                      <w:vertAlign w:val="subscript"/>
                    </w:rPr>
                    <w:t>X</w:t>
                  </w:r>
                </w:p>
              </w:tc>
            </w:tr>
            <w:tr>
              <w:tblPrEx>
                <w:tblCellMar>
                  <w:top w:w="0" w:type="dxa"/>
                  <w:left w:w="108" w:type="dxa"/>
                  <w:bottom w:w="0" w:type="dxa"/>
                  <w:right w:w="108" w:type="dxa"/>
                </w:tblCellMar>
              </w:tblPrEx>
              <w:trPr>
                <w:trHeight w:val="20" w:hRule="atLeast"/>
              </w:trPr>
              <w:tc>
                <w:tcPr>
                  <w:tcW w:w="2815"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产生</w:t>
                  </w:r>
                  <w:r>
                    <w:rPr>
                      <w:rFonts w:hint="eastAsia" w:ascii="Times New Roman" w:hAnsi="Times New Roman"/>
                      <w:color w:val="auto"/>
                      <w:kern w:val="0"/>
                      <w:sz w:val="21"/>
                      <w:szCs w:val="21"/>
                    </w:rPr>
                    <w:t>及排放</w:t>
                  </w:r>
                  <w:r>
                    <w:rPr>
                      <w:rFonts w:ascii="Times New Roman" w:hAnsi="Times New Roman"/>
                      <w:color w:val="auto"/>
                      <w:kern w:val="0"/>
                      <w:sz w:val="21"/>
                      <w:szCs w:val="21"/>
                    </w:rPr>
                    <w:t>速率（kg/h）</w:t>
                  </w:r>
                </w:p>
              </w:tc>
              <w:tc>
                <w:tcPr>
                  <w:tcW w:w="860"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20.51 </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1.54 </w:t>
                  </w:r>
                </w:p>
              </w:tc>
              <w:tc>
                <w:tcPr>
                  <w:tcW w:w="663"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2.56 </w:t>
                  </w:r>
                </w:p>
              </w:tc>
            </w:tr>
            <w:tr>
              <w:tblPrEx>
                <w:tblCellMar>
                  <w:top w:w="0" w:type="dxa"/>
                  <w:left w:w="108" w:type="dxa"/>
                  <w:bottom w:w="0" w:type="dxa"/>
                  <w:right w:w="108" w:type="dxa"/>
                </w:tblCellMar>
              </w:tblPrEx>
              <w:trPr>
                <w:trHeight w:val="20" w:hRule="atLeast"/>
              </w:trPr>
              <w:tc>
                <w:tcPr>
                  <w:tcW w:w="2815"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产生</w:t>
                  </w:r>
                  <w:r>
                    <w:rPr>
                      <w:rFonts w:hint="eastAsia" w:ascii="Times New Roman" w:hAnsi="Times New Roman"/>
                      <w:color w:val="auto"/>
                      <w:kern w:val="0"/>
                      <w:sz w:val="21"/>
                      <w:szCs w:val="21"/>
                    </w:rPr>
                    <w:t>及排放</w:t>
                  </w:r>
                  <w:r>
                    <w:rPr>
                      <w:rFonts w:ascii="Times New Roman" w:hAnsi="Times New Roman"/>
                      <w:color w:val="auto"/>
                      <w:kern w:val="0"/>
                      <w:sz w:val="21"/>
                      <w:szCs w:val="21"/>
                    </w:rPr>
                    <w:t>浓度（mg/m</w:t>
                  </w:r>
                  <w:r>
                    <w:rPr>
                      <w:rFonts w:ascii="Times New Roman" w:hAnsi="Times New Roman"/>
                      <w:color w:val="auto"/>
                      <w:kern w:val="0"/>
                      <w:sz w:val="21"/>
                      <w:szCs w:val="21"/>
                      <w:vertAlign w:val="superscript"/>
                    </w:rPr>
                    <w:t>3</w:t>
                  </w:r>
                  <w:r>
                    <w:rPr>
                      <w:rFonts w:ascii="Times New Roman" w:hAnsi="Times New Roman"/>
                      <w:color w:val="auto"/>
                      <w:kern w:val="0"/>
                      <w:sz w:val="21"/>
                      <w:szCs w:val="21"/>
                    </w:rPr>
                    <w:t>）</w:t>
                  </w:r>
                </w:p>
              </w:tc>
              <w:tc>
                <w:tcPr>
                  <w:tcW w:w="860"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1041.36 </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77.94 </w:t>
                  </w:r>
                </w:p>
              </w:tc>
              <w:tc>
                <w:tcPr>
                  <w:tcW w:w="663"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130.00 </w:t>
                  </w:r>
                </w:p>
              </w:tc>
            </w:tr>
          </w:tbl>
          <w:p>
            <w:pPr>
              <w:adjustRightInd w:val="0"/>
              <w:snapToGrid w:val="0"/>
              <w:spacing w:before="163" w:beforeLines="50" w:line="360" w:lineRule="auto"/>
              <w:rPr>
                <w:rFonts w:ascii="Times New Roman" w:hAnsi="Times New Roman"/>
                <w:b/>
                <w:bCs/>
                <w:color w:val="auto"/>
                <w:kern w:val="0"/>
                <w:szCs w:val="22"/>
              </w:rPr>
            </w:pPr>
            <w:r>
              <w:rPr>
                <w:rFonts w:ascii="Times New Roman" w:hAnsi="Times New Roman"/>
                <w:b/>
                <w:bCs/>
                <w:color w:val="auto"/>
                <w:kern w:val="0"/>
                <w:szCs w:val="22"/>
              </w:rPr>
              <w:t>1.3 废气</w:t>
            </w:r>
            <w:r>
              <w:rPr>
                <w:rFonts w:hint="eastAsia" w:ascii="Times New Roman" w:hAnsi="Times New Roman"/>
                <w:b/>
                <w:bCs/>
                <w:color w:val="auto"/>
                <w:kern w:val="0"/>
                <w:szCs w:val="22"/>
              </w:rPr>
              <w:t>污染物</w:t>
            </w:r>
            <w:r>
              <w:rPr>
                <w:rFonts w:ascii="Times New Roman" w:hAnsi="Times New Roman"/>
                <w:b/>
                <w:bCs/>
                <w:color w:val="auto"/>
                <w:kern w:val="0"/>
                <w:szCs w:val="22"/>
              </w:rPr>
              <w:t>汇总</w:t>
            </w:r>
          </w:p>
          <w:p>
            <w:pPr>
              <w:adjustRightInd w:val="0"/>
              <w:snapToGrid w:val="0"/>
              <w:jc w:val="center"/>
              <w:rPr>
                <w:rFonts w:ascii="Times New Roman" w:hAnsi="Times New Roman"/>
                <w:b/>
                <w:bCs/>
                <w:color w:val="auto"/>
                <w:kern w:val="2"/>
                <w:sz w:val="21"/>
                <w:szCs w:val="20"/>
              </w:rPr>
            </w:pPr>
            <w:r>
              <w:rPr>
                <w:rFonts w:ascii="Times New Roman" w:hAnsi="Times New Roman"/>
                <w:b/>
                <w:bCs/>
                <w:color w:val="auto"/>
                <w:kern w:val="2"/>
                <w:sz w:val="21"/>
                <w:szCs w:val="20"/>
              </w:rPr>
              <w:t>表5-4   项目废气污染物产生</w:t>
            </w:r>
            <w:r>
              <w:rPr>
                <w:rFonts w:hint="eastAsia" w:ascii="Times New Roman" w:hAnsi="Times New Roman"/>
                <w:b/>
                <w:bCs/>
                <w:color w:val="auto"/>
                <w:kern w:val="2"/>
                <w:sz w:val="21"/>
                <w:szCs w:val="20"/>
              </w:rPr>
              <w:t>及排放</w:t>
            </w:r>
            <w:r>
              <w:rPr>
                <w:rFonts w:ascii="Times New Roman" w:hAnsi="Times New Roman"/>
                <w:b/>
                <w:bCs/>
                <w:color w:val="auto"/>
                <w:kern w:val="2"/>
                <w:sz w:val="21"/>
                <w:szCs w:val="20"/>
              </w:rPr>
              <w:t>情况一览表</w:t>
            </w:r>
          </w:p>
          <w:tbl>
            <w:tblPr>
              <w:tblStyle w:val="38"/>
              <w:tblW w:w="5000" w:type="pct"/>
              <w:tblInd w:w="0" w:type="dxa"/>
              <w:tblLayout w:type="autofit"/>
              <w:tblCellMar>
                <w:top w:w="0" w:type="dxa"/>
                <w:left w:w="108" w:type="dxa"/>
                <w:bottom w:w="0" w:type="dxa"/>
                <w:right w:w="108" w:type="dxa"/>
              </w:tblCellMar>
            </w:tblPr>
            <w:tblGrid>
              <w:gridCol w:w="2218"/>
              <w:gridCol w:w="1528"/>
              <w:gridCol w:w="1178"/>
              <w:gridCol w:w="1178"/>
              <w:gridCol w:w="2793"/>
            </w:tblGrid>
            <w:tr>
              <w:tblPrEx>
                <w:tblCellMar>
                  <w:top w:w="0" w:type="dxa"/>
                  <w:left w:w="108" w:type="dxa"/>
                  <w:bottom w:w="0" w:type="dxa"/>
                  <w:right w:w="108" w:type="dxa"/>
                </w:tblCellMar>
              </w:tblPrEx>
              <w:trPr>
                <w:trHeight w:val="20" w:hRule="atLeast"/>
              </w:trPr>
              <w:tc>
                <w:tcPr>
                  <w:tcW w:w="124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废气种类</w:t>
                  </w:r>
                </w:p>
              </w:tc>
              <w:tc>
                <w:tcPr>
                  <w:tcW w:w="2183" w:type="pct"/>
                  <w:gridSpan w:val="3"/>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有组织废气G1</w:t>
                  </w:r>
                </w:p>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（生物质锅炉烟气）</w:t>
                  </w:r>
                </w:p>
              </w:tc>
              <w:tc>
                <w:tcPr>
                  <w:tcW w:w="157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生物质燃料棚无组织粉尘</w:t>
                  </w:r>
                </w:p>
              </w:tc>
            </w:tr>
            <w:tr>
              <w:tblPrEx>
                <w:tblCellMar>
                  <w:top w:w="0" w:type="dxa"/>
                  <w:left w:w="108" w:type="dxa"/>
                  <w:bottom w:w="0" w:type="dxa"/>
                  <w:right w:w="108" w:type="dxa"/>
                </w:tblCellMar>
              </w:tblPrEx>
              <w:trPr>
                <w:trHeight w:val="20" w:hRule="atLeast"/>
              </w:trPr>
              <w:tc>
                <w:tcPr>
                  <w:tcW w:w="124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废气量（</w:t>
                  </w:r>
                  <w:r>
                    <w:rPr>
                      <w:rFonts w:ascii="Times New Roman" w:hAnsi="Times New Roman"/>
                      <w:color w:val="auto"/>
                      <w:sz w:val="21"/>
                      <w:szCs w:val="21"/>
                    </w:rPr>
                    <w:t>m</w:t>
                  </w:r>
                  <w:r>
                    <w:rPr>
                      <w:rFonts w:ascii="Times New Roman" w:hAnsi="Times New Roman"/>
                      <w:color w:val="auto"/>
                      <w:sz w:val="21"/>
                      <w:szCs w:val="21"/>
                      <w:vertAlign w:val="superscript"/>
                    </w:rPr>
                    <w:t>3</w:t>
                  </w:r>
                  <w:r>
                    <w:rPr>
                      <w:rFonts w:ascii="Times New Roman" w:hAnsi="Times New Roman"/>
                      <w:color w:val="auto"/>
                      <w:sz w:val="21"/>
                      <w:szCs w:val="21"/>
                    </w:rPr>
                    <w:t>/h</w:t>
                  </w:r>
                  <w:r>
                    <w:rPr>
                      <w:rFonts w:ascii="Times New Roman" w:hAnsi="Times New Roman"/>
                      <w:color w:val="auto"/>
                      <w:kern w:val="0"/>
                      <w:sz w:val="21"/>
                      <w:szCs w:val="21"/>
                    </w:rPr>
                    <w:t>）</w:t>
                  </w:r>
                </w:p>
              </w:tc>
              <w:tc>
                <w:tcPr>
                  <w:tcW w:w="2183" w:type="pct"/>
                  <w:gridSpan w:val="3"/>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bCs/>
                      <w:color w:val="auto"/>
                      <w:kern w:val="2"/>
                      <w:sz w:val="21"/>
                      <w:szCs w:val="21"/>
                    </w:rPr>
                    <w:t>19696.29</w:t>
                  </w:r>
                </w:p>
              </w:tc>
              <w:tc>
                <w:tcPr>
                  <w:tcW w:w="157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w:t>
                  </w:r>
                </w:p>
              </w:tc>
            </w:tr>
            <w:tr>
              <w:tblPrEx>
                <w:tblCellMar>
                  <w:top w:w="0" w:type="dxa"/>
                  <w:left w:w="108" w:type="dxa"/>
                  <w:bottom w:w="0" w:type="dxa"/>
                  <w:right w:w="108" w:type="dxa"/>
                </w:tblCellMar>
              </w:tblPrEx>
              <w:trPr>
                <w:trHeight w:val="20" w:hRule="atLeast"/>
              </w:trPr>
              <w:tc>
                <w:tcPr>
                  <w:tcW w:w="124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污染因子</w:t>
                  </w:r>
                </w:p>
              </w:tc>
              <w:tc>
                <w:tcPr>
                  <w:tcW w:w="85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颗粒物</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vertAlign w:val="subscript"/>
                    </w:rPr>
                  </w:pPr>
                  <w:r>
                    <w:rPr>
                      <w:rFonts w:ascii="Times New Roman" w:hAnsi="Times New Roman"/>
                      <w:color w:val="auto"/>
                      <w:kern w:val="0"/>
                      <w:sz w:val="21"/>
                      <w:szCs w:val="21"/>
                    </w:rPr>
                    <w:t>SO</w:t>
                  </w:r>
                  <w:r>
                    <w:rPr>
                      <w:rFonts w:ascii="Times New Roman" w:hAnsi="Times New Roman"/>
                      <w:color w:val="auto"/>
                      <w:kern w:val="0"/>
                      <w:sz w:val="21"/>
                      <w:szCs w:val="21"/>
                      <w:vertAlign w:val="subscript"/>
                    </w:rPr>
                    <w:t>2</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vertAlign w:val="subscript"/>
                    </w:rPr>
                  </w:pPr>
                  <w:r>
                    <w:rPr>
                      <w:rFonts w:ascii="Times New Roman" w:hAnsi="Times New Roman"/>
                      <w:color w:val="auto"/>
                      <w:kern w:val="0"/>
                      <w:sz w:val="21"/>
                      <w:szCs w:val="21"/>
                    </w:rPr>
                    <w:t>NO</w:t>
                  </w:r>
                  <w:r>
                    <w:rPr>
                      <w:rFonts w:ascii="Times New Roman" w:hAnsi="Times New Roman"/>
                      <w:color w:val="auto"/>
                      <w:kern w:val="0"/>
                      <w:sz w:val="21"/>
                      <w:szCs w:val="21"/>
                      <w:vertAlign w:val="subscript"/>
                    </w:rPr>
                    <w:t>X</w:t>
                  </w:r>
                </w:p>
              </w:tc>
              <w:tc>
                <w:tcPr>
                  <w:tcW w:w="157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eastAsia="zh-CN"/>
                    </w:rPr>
                    <w:t>颗粒物（以</w:t>
                  </w:r>
                  <w:r>
                    <w:rPr>
                      <w:rFonts w:ascii="Times New Roman" w:hAnsi="Times New Roman"/>
                      <w:color w:val="auto"/>
                      <w:kern w:val="0"/>
                      <w:sz w:val="21"/>
                      <w:szCs w:val="21"/>
                    </w:rPr>
                    <w:t>TSP</w:t>
                  </w:r>
                  <w:r>
                    <w:rPr>
                      <w:rFonts w:hint="eastAsia" w:ascii="Times New Roman" w:hAnsi="Times New Roman"/>
                      <w:color w:val="auto"/>
                      <w:kern w:val="0"/>
                      <w:sz w:val="21"/>
                      <w:szCs w:val="21"/>
                      <w:lang w:eastAsia="zh-CN"/>
                    </w:rPr>
                    <w:t>计）</w:t>
                  </w:r>
                </w:p>
              </w:tc>
            </w:tr>
            <w:tr>
              <w:tblPrEx>
                <w:tblCellMar>
                  <w:top w:w="0" w:type="dxa"/>
                  <w:left w:w="108" w:type="dxa"/>
                  <w:bottom w:w="0" w:type="dxa"/>
                  <w:right w:w="108" w:type="dxa"/>
                </w:tblCellMar>
              </w:tblPrEx>
              <w:trPr>
                <w:trHeight w:val="20" w:hRule="atLeast"/>
              </w:trPr>
              <w:tc>
                <w:tcPr>
                  <w:tcW w:w="124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产生量（t/a）</w:t>
                  </w:r>
                </w:p>
              </w:tc>
              <w:tc>
                <w:tcPr>
                  <w:tcW w:w="859"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147.68 </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11.05 </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18.44 </w:t>
                  </w:r>
                </w:p>
              </w:tc>
              <w:tc>
                <w:tcPr>
                  <w:tcW w:w="157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6.80</w:t>
                  </w:r>
                </w:p>
              </w:tc>
            </w:tr>
            <w:tr>
              <w:tblPrEx>
                <w:tblCellMar>
                  <w:top w:w="0" w:type="dxa"/>
                  <w:left w:w="108" w:type="dxa"/>
                  <w:bottom w:w="0" w:type="dxa"/>
                  <w:right w:w="108" w:type="dxa"/>
                </w:tblCellMar>
              </w:tblPrEx>
              <w:trPr>
                <w:trHeight w:val="20" w:hRule="atLeast"/>
              </w:trPr>
              <w:tc>
                <w:tcPr>
                  <w:tcW w:w="124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产生速率（kg/h）</w:t>
                  </w:r>
                </w:p>
              </w:tc>
              <w:tc>
                <w:tcPr>
                  <w:tcW w:w="859"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20.51 </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1.54 </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2.56 </w:t>
                  </w:r>
                </w:p>
              </w:tc>
              <w:tc>
                <w:tcPr>
                  <w:tcW w:w="157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0.94</w:t>
                  </w:r>
                </w:p>
              </w:tc>
            </w:tr>
            <w:tr>
              <w:tblPrEx>
                <w:tblCellMar>
                  <w:top w:w="0" w:type="dxa"/>
                  <w:left w:w="108" w:type="dxa"/>
                  <w:bottom w:w="0" w:type="dxa"/>
                  <w:right w:w="108" w:type="dxa"/>
                </w:tblCellMar>
              </w:tblPrEx>
              <w:trPr>
                <w:trHeight w:val="20" w:hRule="atLeast"/>
              </w:trPr>
              <w:tc>
                <w:tcPr>
                  <w:tcW w:w="124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产生浓度（mg/m</w:t>
                  </w:r>
                  <w:r>
                    <w:rPr>
                      <w:rFonts w:ascii="Times New Roman" w:hAnsi="Times New Roman"/>
                      <w:color w:val="auto"/>
                      <w:kern w:val="0"/>
                      <w:sz w:val="21"/>
                      <w:szCs w:val="21"/>
                      <w:vertAlign w:val="superscript"/>
                    </w:rPr>
                    <w:t>3</w:t>
                  </w:r>
                  <w:r>
                    <w:rPr>
                      <w:rFonts w:ascii="Times New Roman" w:hAnsi="Times New Roman"/>
                      <w:color w:val="auto"/>
                      <w:kern w:val="0"/>
                      <w:sz w:val="21"/>
                      <w:szCs w:val="21"/>
                    </w:rPr>
                    <w:t>）</w:t>
                  </w:r>
                </w:p>
              </w:tc>
              <w:tc>
                <w:tcPr>
                  <w:tcW w:w="859"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1041.36 </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77.94 </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130.00 </w:t>
                  </w:r>
                </w:p>
              </w:tc>
              <w:tc>
                <w:tcPr>
                  <w:tcW w:w="157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w:t>
                  </w:r>
                </w:p>
              </w:tc>
            </w:tr>
            <w:tr>
              <w:tblPrEx>
                <w:tblCellMar>
                  <w:top w:w="0" w:type="dxa"/>
                  <w:left w:w="108" w:type="dxa"/>
                  <w:bottom w:w="0" w:type="dxa"/>
                  <w:right w:w="108" w:type="dxa"/>
                </w:tblCellMar>
              </w:tblPrEx>
              <w:trPr>
                <w:trHeight w:val="20" w:hRule="atLeast"/>
              </w:trPr>
              <w:tc>
                <w:tcPr>
                  <w:tcW w:w="124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治理方式</w:t>
                  </w:r>
                </w:p>
              </w:tc>
              <w:tc>
                <w:tcPr>
                  <w:tcW w:w="2183" w:type="pct"/>
                  <w:gridSpan w:val="3"/>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袋式除尘器+45m排气筒（Φ0.8m）</w:t>
                  </w:r>
                </w:p>
              </w:tc>
              <w:tc>
                <w:tcPr>
                  <w:tcW w:w="157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厂房封闭、</w:t>
                  </w:r>
                  <w:r>
                    <w:rPr>
                      <w:rFonts w:ascii="Times New Roman" w:hAnsi="Times New Roman"/>
                      <w:color w:val="auto"/>
                      <w:kern w:val="0"/>
                      <w:sz w:val="21"/>
                      <w:szCs w:val="21"/>
                    </w:rPr>
                    <w:t>洒水降尘</w:t>
                  </w:r>
                </w:p>
              </w:tc>
            </w:tr>
            <w:tr>
              <w:tblPrEx>
                <w:tblCellMar>
                  <w:top w:w="0" w:type="dxa"/>
                  <w:left w:w="108" w:type="dxa"/>
                  <w:bottom w:w="0" w:type="dxa"/>
                  <w:right w:w="108" w:type="dxa"/>
                </w:tblCellMar>
              </w:tblPrEx>
              <w:trPr>
                <w:trHeight w:val="20" w:hRule="atLeast"/>
              </w:trPr>
              <w:tc>
                <w:tcPr>
                  <w:tcW w:w="124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处理效率（%）</w:t>
                  </w:r>
                </w:p>
              </w:tc>
              <w:tc>
                <w:tcPr>
                  <w:tcW w:w="85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eastAsia="等线"/>
                      <w:color w:val="auto"/>
                      <w:sz w:val="21"/>
                      <w:szCs w:val="21"/>
                    </w:rPr>
                  </w:pPr>
                  <w:r>
                    <w:rPr>
                      <w:rFonts w:ascii="Times New Roman" w:hAnsi="Times New Roman" w:eastAsia="等线"/>
                      <w:color w:val="auto"/>
                      <w:sz w:val="21"/>
                      <w:szCs w:val="21"/>
                    </w:rPr>
                    <w:t>99</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0</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0</w:t>
                  </w:r>
                </w:p>
              </w:tc>
              <w:tc>
                <w:tcPr>
                  <w:tcW w:w="157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60</w:t>
                  </w:r>
                </w:p>
              </w:tc>
            </w:tr>
            <w:tr>
              <w:tblPrEx>
                <w:tblCellMar>
                  <w:top w:w="0" w:type="dxa"/>
                  <w:left w:w="108" w:type="dxa"/>
                  <w:bottom w:w="0" w:type="dxa"/>
                  <w:right w:w="108" w:type="dxa"/>
                </w:tblCellMar>
              </w:tblPrEx>
              <w:trPr>
                <w:trHeight w:val="20" w:hRule="atLeast"/>
              </w:trPr>
              <w:tc>
                <w:tcPr>
                  <w:tcW w:w="124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排放量（t/a）</w:t>
                  </w:r>
                </w:p>
              </w:tc>
              <w:tc>
                <w:tcPr>
                  <w:tcW w:w="859"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1.48 </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11.05 </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18.44 </w:t>
                  </w:r>
                </w:p>
              </w:tc>
              <w:tc>
                <w:tcPr>
                  <w:tcW w:w="157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2.72</w:t>
                  </w:r>
                </w:p>
              </w:tc>
            </w:tr>
            <w:tr>
              <w:tblPrEx>
                <w:tblCellMar>
                  <w:top w:w="0" w:type="dxa"/>
                  <w:left w:w="108" w:type="dxa"/>
                  <w:bottom w:w="0" w:type="dxa"/>
                  <w:right w:w="108" w:type="dxa"/>
                </w:tblCellMar>
              </w:tblPrEx>
              <w:trPr>
                <w:trHeight w:val="20" w:hRule="atLeast"/>
              </w:trPr>
              <w:tc>
                <w:tcPr>
                  <w:tcW w:w="124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排放速率（kg/h）</w:t>
                  </w:r>
                </w:p>
              </w:tc>
              <w:tc>
                <w:tcPr>
                  <w:tcW w:w="859"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0.21 </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1.54 </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2.56 </w:t>
                  </w:r>
                </w:p>
              </w:tc>
              <w:tc>
                <w:tcPr>
                  <w:tcW w:w="157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0.38</w:t>
                  </w:r>
                </w:p>
              </w:tc>
            </w:tr>
            <w:tr>
              <w:tblPrEx>
                <w:tblCellMar>
                  <w:top w:w="0" w:type="dxa"/>
                  <w:left w:w="108" w:type="dxa"/>
                  <w:bottom w:w="0" w:type="dxa"/>
                  <w:right w:w="108" w:type="dxa"/>
                </w:tblCellMar>
              </w:tblPrEx>
              <w:trPr>
                <w:trHeight w:val="20" w:hRule="atLeast"/>
              </w:trPr>
              <w:tc>
                <w:tcPr>
                  <w:tcW w:w="124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排放浓度（mg/m</w:t>
                  </w:r>
                  <w:r>
                    <w:rPr>
                      <w:rFonts w:ascii="Times New Roman" w:hAnsi="Times New Roman"/>
                      <w:color w:val="auto"/>
                      <w:kern w:val="0"/>
                      <w:sz w:val="21"/>
                      <w:szCs w:val="21"/>
                      <w:vertAlign w:val="superscript"/>
                    </w:rPr>
                    <w:t>3</w:t>
                  </w:r>
                  <w:r>
                    <w:rPr>
                      <w:rFonts w:ascii="Times New Roman" w:hAnsi="Times New Roman"/>
                      <w:color w:val="auto"/>
                      <w:kern w:val="0"/>
                      <w:sz w:val="21"/>
                      <w:szCs w:val="21"/>
                    </w:rPr>
                    <w:t>）</w:t>
                  </w:r>
                </w:p>
              </w:tc>
              <w:tc>
                <w:tcPr>
                  <w:tcW w:w="859"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10.41 </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77.94 </w:t>
                  </w:r>
                </w:p>
              </w:tc>
              <w:tc>
                <w:tcPr>
                  <w:tcW w:w="662" w:type="pct"/>
                  <w:tcBorders>
                    <w:top w:val="single" w:color="auto" w:sz="4" w:space="0"/>
                    <w:left w:val="single" w:color="auto" w:sz="4" w:space="0"/>
                    <w:bottom w:val="single" w:color="auto" w:sz="4" w:space="0"/>
                    <w:right w:val="single" w:color="auto" w:sz="4" w:space="0"/>
                  </w:tcBorders>
                  <w:tcMar>
                    <w:left w:w="28" w:type="dxa"/>
                    <w:right w:w="28" w:type="dxa"/>
                  </w:tcMa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 xml:space="preserve">130.00 </w:t>
                  </w:r>
                </w:p>
              </w:tc>
              <w:tc>
                <w:tcPr>
                  <w:tcW w:w="157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w:t>
                  </w:r>
                </w:p>
              </w:tc>
            </w:tr>
          </w:tbl>
          <w:p>
            <w:pPr>
              <w:adjustRightInd w:val="0"/>
              <w:snapToGrid w:val="0"/>
              <w:spacing w:before="163" w:beforeLines="50" w:line="360" w:lineRule="auto"/>
              <w:rPr>
                <w:rFonts w:ascii="Times New Roman" w:hAnsi="Times New Roman"/>
                <w:b/>
                <w:bCs/>
                <w:color w:val="auto"/>
              </w:rPr>
            </w:pPr>
            <w:r>
              <w:rPr>
                <w:rFonts w:ascii="Times New Roman" w:hAnsi="Times New Roman"/>
                <w:b/>
                <w:bCs/>
                <w:color w:val="auto"/>
              </w:rPr>
              <w:t>2、噪声</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本</w:t>
            </w:r>
            <w:r>
              <w:rPr>
                <w:rFonts w:ascii="Times New Roman" w:hAnsi="Times New Roman"/>
                <w:color w:val="auto"/>
              </w:rPr>
              <w:t>项目运营期噪声主要来源于鼓风机。鼓风机位于锅炉房内，</w:t>
            </w:r>
            <w:r>
              <w:rPr>
                <w:rFonts w:hint="eastAsia" w:ascii="Times New Roman" w:hAnsi="Times New Roman"/>
                <w:color w:val="auto"/>
              </w:rPr>
              <w:t>进出口加装消声器</w:t>
            </w:r>
            <w:r>
              <w:rPr>
                <w:rFonts w:ascii="Times New Roman" w:hAnsi="Times New Roman"/>
                <w:color w:val="auto"/>
              </w:rPr>
              <w:t>，</w:t>
            </w:r>
            <w:r>
              <w:rPr>
                <w:rFonts w:hint="eastAsia" w:ascii="Times New Roman" w:hAnsi="Times New Roman"/>
                <w:color w:val="auto"/>
              </w:rPr>
              <w:t>降噪</w:t>
            </w:r>
            <w:r>
              <w:rPr>
                <w:rFonts w:ascii="Times New Roman" w:hAnsi="Times New Roman"/>
                <w:color w:val="auto"/>
              </w:rPr>
              <w:t>效果较好。声源声级见下表：</w:t>
            </w:r>
          </w:p>
          <w:p>
            <w:pPr>
              <w:adjustRightInd w:val="0"/>
              <w:snapToGrid w:val="0"/>
              <w:jc w:val="center"/>
              <w:rPr>
                <w:rFonts w:ascii="Times New Roman" w:hAnsi="Times New Roman"/>
                <w:b/>
                <w:bCs/>
                <w:color w:val="auto"/>
                <w:kern w:val="2"/>
                <w:sz w:val="21"/>
                <w:szCs w:val="20"/>
              </w:rPr>
            </w:pPr>
            <w:r>
              <w:rPr>
                <w:rFonts w:ascii="Times New Roman" w:hAnsi="Times New Roman"/>
                <w:b/>
                <w:bCs/>
                <w:color w:val="auto"/>
                <w:kern w:val="2"/>
                <w:sz w:val="21"/>
                <w:szCs w:val="20"/>
              </w:rPr>
              <w:t>表5-5   项目主要设备噪声源强一览表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7"/>
              <w:gridCol w:w="2966"/>
              <w:gridCol w:w="2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0" w:type="pc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设备名称</w:t>
                  </w:r>
                </w:p>
              </w:tc>
              <w:tc>
                <w:tcPr>
                  <w:tcW w:w="1669" w:type="pc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声级dB（A）</w:t>
                  </w:r>
                </w:p>
              </w:tc>
              <w:tc>
                <w:tcPr>
                  <w:tcW w:w="1661" w:type="pc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设备数量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0"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鼓风机</w:t>
                  </w:r>
                </w:p>
              </w:tc>
              <w:tc>
                <w:tcPr>
                  <w:tcW w:w="1669"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85</w:t>
                  </w:r>
                </w:p>
              </w:tc>
              <w:tc>
                <w:tcPr>
                  <w:tcW w:w="1661"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1台</w:t>
                  </w:r>
                </w:p>
              </w:tc>
            </w:tr>
          </w:tbl>
          <w:p>
            <w:pPr>
              <w:adjustRightInd w:val="0"/>
              <w:snapToGrid w:val="0"/>
              <w:spacing w:before="163" w:beforeLines="50" w:line="360" w:lineRule="auto"/>
              <w:rPr>
                <w:rFonts w:ascii="Times New Roman" w:hAnsi="Times New Roman"/>
                <w:b/>
                <w:bCs/>
                <w:color w:val="auto"/>
              </w:rPr>
            </w:pPr>
            <w:r>
              <w:rPr>
                <w:rFonts w:ascii="Times New Roman" w:hAnsi="Times New Roman"/>
                <w:b/>
                <w:bCs/>
                <w:color w:val="auto"/>
              </w:rPr>
              <w:t>3、固废</w:t>
            </w:r>
          </w:p>
          <w:p>
            <w:pPr>
              <w:adjustRightInd w:val="0"/>
              <w:snapToGrid w:val="0"/>
              <w:spacing w:line="360" w:lineRule="auto"/>
              <w:ind w:firstLine="440"/>
              <w:rPr>
                <w:rFonts w:ascii="Times New Roman" w:hAnsi="Times New Roman"/>
                <w:color w:val="auto"/>
                <w:kern w:val="0"/>
              </w:rPr>
            </w:pPr>
            <w:r>
              <w:rPr>
                <w:rFonts w:ascii="Times New Roman" w:hAnsi="Times New Roman"/>
                <w:color w:val="auto"/>
                <w:kern w:val="0"/>
              </w:rPr>
              <w:t>项目固废主要为</w:t>
            </w:r>
            <w:r>
              <w:rPr>
                <w:rFonts w:hint="eastAsia" w:ascii="Times New Roman" w:hAnsi="Times New Roman"/>
                <w:color w:val="auto"/>
                <w:kern w:val="0"/>
              </w:rPr>
              <w:t>生物质</w:t>
            </w:r>
            <w:r>
              <w:rPr>
                <w:rFonts w:ascii="Times New Roman" w:hAnsi="Times New Roman"/>
                <w:color w:val="auto"/>
                <w:kern w:val="0"/>
              </w:rPr>
              <w:t>锅炉</w:t>
            </w:r>
            <w:r>
              <w:rPr>
                <w:rFonts w:hint="eastAsia" w:ascii="Times New Roman" w:hAnsi="Times New Roman"/>
                <w:color w:val="auto"/>
                <w:kern w:val="0"/>
              </w:rPr>
              <w:t>炉渣、除尘灰</w:t>
            </w:r>
            <w:r>
              <w:rPr>
                <w:rFonts w:ascii="Times New Roman" w:hAnsi="Times New Roman"/>
                <w:color w:val="auto"/>
                <w:kern w:val="0"/>
              </w:rPr>
              <w:t>及废离子交换树脂。</w:t>
            </w:r>
            <w:r>
              <w:rPr>
                <w:rFonts w:hint="eastAsia" w:ascii="Times New Roman" w:hAnsi="Times New Roman"/>
                <w:color w:val="auto"/>
                <w:kern w:val="0"/>
              </w:rPr>
              <w:t>项目员工生活依托</w:t>
            </w:r>
            <w:r>
              <w:rPr>
                <w:rFonts w:ascii="Times New Roman" w:hAnsi="Times New Roman"/>
                <w:color w:val="auto"/>
                <w:kern w:val="0"/>
              </w:rPr>
              <w:t>宜良明丰造纸厂</w:t>
            </w:r>
            <w:r>
              <w:rPr>
                <w:rFonts w:hint="eastAsia" w:ascii="Times New Roman" w:hAnsi="Times New Roman"/>
                <w:color w:val="auto"/>
                <w:kern w:val="0"/>
              </w:rPr>
              <w:t>现有项目生活设施，则不产生生活垃圾。</w:t>
            </w:r>
          </w:p>
          <w:p>
            <w:pPr>
              <w:adjustRightInd w:val="0"/>
              <w:snapToGrid w:val="0"/>
              <w:spacing w:line="360" w:lineRule="auto"/>
              <w:ind w:firstLine="440"/>
              <w:rPr>
                <w:rFonts w:ascii="Times New Roman" w:hAnsi="Times New Roman"/>
                <w:color w:val="auto"/>
                <w:kern w:val="0"/>
              </w:rPr>
            </w:pPr>
            <w:r>
              <w:rPr>
                <w:rFonts w:ascii="Times New Roman" w:hAnsi="Times New Roman"/>
                <w:color w:val="auto"/>
                <w:kern w:val="0"/>
              </w:rPr>
              <w:t>（1）生物质</w:t>
            </w:r>
            <w:r>
              <w:rPr>
                <w:rFonts w:hint="eastAsia" w:ascii="Times New Roman" w:hAnsi="Times New Roman"/>
                <w:color w:val="auto"/>
                <w:kern w:val="0"/>
              </w:rPr>
              <w:t>锅炉炉渣</w:t>
            </w:r>
          </w:p>
          <w:p>
            <w:pPr>
              <w:adjustRightInd w:val="0"/>
              <w:snapToGrid w:val="0"/>
              <w:spacing w:line="360" w:lineRule="auto"/>
              <w:ind w:firstLine="440"/>
              <w:rPr>
                <w:rFonts w:ascii="Times New Roman" w:hAnsi="Times New Roman"/>
                <w:color w:val="auto"/>
                <w:kern w:val="0"/>
              </w:rPr>
            </w:pPr>
            <w:r>
              <w:rPr>
                <w:rFonts w:ascii="Times New Roman" w:hAnsi="Times New Roman"/>
                <w:color w:val="auto"/>
                <w:kern w:val="0"/>
              </w:rPr>
              <w:t>项目锅炉燃烧生物质燃料产生的废渣经过收集后部分作为肥料回用于周边农田，</w:t>
            </w:r>
            <w:r>
              <w:rPr>
                <w:rFonts w:ascii="Times New Roman" w:hAnsi="Times New Roman"/>
                <w:color w:val="auto"/>
                <w:kern w:val="0"/>
              </w:rPr>
              <w:t>部分委托环卫部门清运处置</w:t>
            </w:r>
            <w:r>
              <w:rPr>
                <w:rFonts w:ascii="Times New Roman" w:hAnsi="Times New Roman"/>
                <w:color w:val="auto"/>
                <w:kern w:val="0"/>
              </w:rPr>
              <w:t>。</w:t>
            </w:r>
          </w:p>
          <w:p>
            <w:pPr>
              <w:pStyle w:val="16"/>
              <w:adjustRightInd w:val="0"/>
              <w:snapToGrid w:val="0"/>
              <w:spacing w:after="0" w:line="360" w:lineRule="auto"/>
              <w:ind w:firstLine="480" w:firstLineChars="200"/>
              <w:jc w:val="both"/>
              <w:rPr>
                <w:rFonts w:ascii="Times New Roman" w:hAnsi="Times New Roman"/>
                <w:color w:val="auto"/>
              </w:rPr>
            </w:pPr>
            <w:r>
              <w:rPr>
                <w:rFonts w:ascii="Times New Roman" w:hAnsi="Times New Roman"/>
                <w:color w:val="auto"/>
              </w:rPr>
              <w:t>根据《污染源源强核算技术指南 锅炉》（HJ 991-2018），选取物料衡算法对生物质锅炉炉渣产生量进行核算。根据</w:t>
            </w:r>
            <w:r>
              <w:rPr>
                <w:rFonts w:ascii="Times New Roman" w:hAnsi="Times New Roman"/>
                <w:color w:val="auto"/>
              </w:rPr>
              <w:t>炉渣</w:t>
            </w:r>
            <w:r>
              <w:rPr>
                <w:rFonts w:ascii="Times New Roman" w:hAnsi="Times New Roman"/>
                <w:color w:val="auto"/>
              </w:rPr>
              <w:t>平衡按下式计算：</w:t>
            </w:r>
          </w:p>
          <w:p>
            <w:pPr>
              <w:pStyle w:val="16"/>
              <w:tabs>
                <w:tab w:val="left" w:pos="2942"/>
                <w:tab w:val="center" w:pos="4453"/>
              </w:tabs>
              <w:adjustRightInd w:val="0"/>
              <w:snapToGrid w:val="0"/>
              <w:spacing w:after="0" w:line="360" w:lineRule="auto"/>
              <w:rPr>
                <w:rFonts w:ascii="Times New Roman" w:hAnsi="Times New Roman"/>
                <w:color w:val="auto"/>
              </w:rPr>
            </w:pPr>
            <w:r>
              <w:rPr>
                <w:rFonts w:ascii="Times New Roman" w:hAnsi="Times New Roman"/>
                <w:color w:val="auto"/>
                <w:position w:val="-24"/>
              </w:rPr>
              <w:object>
                <v:shape id="_x0000_i1053" o:spt="75" type="#_x0000_t75" style="height:30.75pt;width:144pt;" o:ole="t" filled="f" o:preferrelative="t" stroked="f" coordsize="21600,21600">
                  <v:path/>
                  <v:fill on="f" focussize="0,0"/>
                  <v:stroke on="f" joinstyle="miter"/>
                  <v:imagedata r:id="rId69" o:title=""/>
                  <o:lock v:ext="edit" aspectratio="t"/>
                  <w10:wrap type="none"/>
                  <w10:anchorlock/>
                </v:shape>
                <o:OLEObject Type="Embed" ProgID="Equation.3" ShapeID="_x0000_i1053" DrawAspect="Content" ObjectID="_1468075753" r:id="rId68">
                  <o:LockedField>false</o:LockedField>
                </o:OLEObject>
              </w:object>
            </w:r>
          </w:p>
          <w:p>
            <w:pPr>
              <w:pStyle w:val="16"/>
              <w:adjustRightInd w:val="0"/>
              <w:snapToGrid w:val="0"/>
              <w:spacing w:after="0" w:line="360" w:lineRule="auto"/>
              <w:ind w:firstLine="480" w:firstLineChars="200"/>
              <w:jc w:val="both"/>
              <w:rPr>
                <w:rFonts w:ascii="Times New Roman" w:hAnsi="Times New Roman"/>
                <w:color w:val="auto"/>
              </w:rPr>
            </w:pPr>
            <w:r>
              <w:rPr>
                <w:rFonts w:ascii="Times New Roman" w:hAnsi="Times New Roman"/>
                <w:color w:val="auto"/>
              </w:rPr>
              <w:t>式中：</w:t>
            </w:r>
            <w:r>
              <w:rPr>
                <w:rFonts w:ascii="Times New Roman" w:hAnsi="Times New Roman"/>
                <w:color w:val="auto"/>
              </w:rPr>
              <w:drawing>
                <wp:inline distT="0" distB="0" distL="0" distR="0">
                  <wp:extent cx="238125" cy="228600"/>
                  <wp:effectExtent l="0" t="0" r="0" b="0"/>
                  <wp:docPr id="3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38125" cy="228600"/>
                          </a:xfrm>
                          <a:prstGeom prst="rect">
                            <a:avLst/>
                          </a:prstGeom>
                          <a:noFill/>
                          <a:ln>
                            <a:noFill/>
                          </a:ln>
                        </pic:spPr>
                      </pic:pic>
                    </a:graphicData>
                  </a:graphic>
                </wp:inline>
              </w:drawing>
            </w:r>
            <w:r>
              <w:rPr>
                <w:rFonts w:ascii="Times New Roman" w:hAnsi="Times New Roman"/>
                <w:color w:val="auto"/>
              </w:rPr>
              <w:t>——核算时段内</w:t>
            </w:r>
            <w:r>
              <w:rPr>
                <w:rFonts w:ascii="Times New Roman" w:hAnsi="Times New Roman"/>
                <w:color w:val="auto"/>
              </w:rPr>
              <w:t>炉渣</w:t>
            </w:r>
            <w:r>
              <w:rPr>
                <w:rFonts w:ascii="Times New Roman" w:hAnsi="Times New Roman"/>
                <w:color w:val="auto"/>
              </w:rPr>
              <w:t>产生量，t；</w:t>
            </w:r>
          </w:p>
          <w:p>
            <w:pPr>
              <w:pStyle w:val="16"/>
              <w:adjustRightInd w:val="0"/>
              <w:snapToGrid w:val="0"/>
              <w:spacing w:after="0" w:line="360" w:lineRule="auto"/>
              <w:ind w:firstLine="480" w:firstLineChars="200"/>
              <w:jc w:val="both"/>
              <w:rPr>
                <w:rFonts w:ascii="Times New Roman" w:hAnsi="Times New Roman"/>
                <w:bCs/>
                <w:color w:val="auto"/>
                <w:kern w:val="44"/>
              </w:rPr>
            </w:pPr>
            <w:r>
              <w:rPr>
                <w:rFonts w:ascii="Times New Roman" w:hAnsi="Times New Roman"/>
                <w:color w:val="auto"/>
              </w:rPr>
              <w:t xml:space="preserve">      </w:t>
            </w:r>
            <w:r>
              <w:rPr>
                <w:rFonts w:ascii="Times New Roman" w:hAnsi="Times New Roman"/>
                <w:bCs/>
                <w:color w:val="auto"/>
                <w:kern w:val="44"/>
                <w:position w:val="-4"/>
              </w:rPr>
              <w:object>
                <v:shape id="_x0000_i1054" o:spt="75" type="#_x0000_t75" style="height:12.75pt;width:12pt;" o:ole="t" filled="f" o:preferrelative="t" stroked="f" coordsize="21600,21600">
                  <v:path/>
                  <v:fill on="f" focussize="0,0"/>
                  <v:stroke on="f" joinstyle="miter"/>
                  <v:imagedata r:id="rId57" o:title=""/>
                  <o:lock v:ext="edit" aspectratio="t"/>
                  <w10:wrap type="none"/>
                  <w10:anchorlock/>
                </v:shape>
                <o:OLEObject Type="Embed" ProgID="Equation.3" ShapeID="_x0000_i1054" DrawAspect="Content" ObjectID="_1468075754" r:id="rId71">
                  <o:LockedField>false</o:LockedField>
                </o:OLEObject>
              </w:object>
            </w:r>
            <w:r>
              <w:rPr>
                <w:rFonts w:ascii="Times New Roman" w:hAnsi="Times New Roman"/>
                <w:bCs/>
                <w:color w:val="auto"/>
                <w:kern w:val="44"/>
              </w:rPr>
              <w:t>——核算时段内锅炉燃料耗量，t</w:t>
            </w:r>
            <w:r>
              <w:rPr>
                <w:rFonts w:hint="eastAsia" w:ascii="Times New Roman" w:hAnsi="Times New Roman"/>
                <w:bCs/>
                <w:color w:val="auto"/>
                <w:kern w:val="44"/>
              </w:rPr>
              <w:t>，</w:t>
            </w:r>
            <w:r>
              <w:rPr>
                <w:rFonts w:hint="eastAsia" w:ascii="Times New Roman" w:hAnsi="Times New Roman"/>
                <w:color w:val="auto"/>
                <w:kern w:val="0"/>
              </w:rPr>
              <w:t>根据前文计算，</w:t>
            </w:r>
            <w:r>
              <w:rPr>
                <w:rFonts w:ascii="Times New Roman" w:hAnsi="Times New Roman"/>
                <w:color w:val="auto"/>
                <w:kern w:val="0"/>
              </w:rPr>
              <w:t>生物质燃料用量为18061.36t/a</w:t>
            </w:r>
            <w:r>
              <w:rPr>
                <w:rFonts w:ascii="Times New Roman" w:hAnsi="Times New Roman"/>
                <w:bCs/>
                <w:color w:val="auto"/>
                <w:kern w:val="44"/>
              </w:rPr>
              <w:t>；</w:t>
            </w:r>
          </w:p>
          <w:p>
            <w:pPr>
              <w:pStyle w:val="16"/>
              <w:adjustRightInd w:val="0"/>
              <w:snapToGrid w:val="0"/>
              <w:spacing w:after="0" w:line="360" w:lineRule="auto"/>
              <w:ind w:firstLine="480" w:firstLineChars="200"/>
              <w:jc w:val="both"/>
              <w:rPr>
                <w:rFonts w:ascii="Times New Roman" w:hAnsi="Times New Roman"/>
                <w:bCs/>
                <w:color w:val="auto"/>
                <w:kern w:val="44"/>
              </w:rPr>
            </w:pPr>
            <w:r>
              <w:rPr>
                <w:rFonts w:ascii="Times New Roman" w:hAnsi="Times New Roman"/>
                <w:bCs/>
                <w:color w:val="auto"/>
                <w:kern w:val="44"/>
              </w:rPr>
              <w:t xml:space="preserve">      </w:t>
            </w:r>
            <w:r>
              <w:rPr>
                <w:rFonts w:ascii="Times New Roman" w:hAnsi="Times New Roman"/>
                <w:bCs/>
                <w:color w:val="auto"/>
                <w:kern w:val="44"/>
                <w:position w:val="-14"/>
              </w:rPr>
              <w:object>
                <v:shape id="_x0000_i1055" o:spt="75" type="#_x0000_t75" style="height:18.75pt;width:21.75pt;" o:ole="t" filled="f" o:preferrelative="t" stroked="f" coordsize="21600,21600">
                  <v:path/>
                  <v:fill on="f" focussize="0,0"/>
                  <v:stroke on="f" joinstyle="miter"/>
                  <v:imagedata r:id="rId59" o:title=""/>
                  <o:lock v:ext="edit" aspectratio="t"/>
                  <w10:wrap type="none"/>
                  <w10:anchorlock/>
                </v:shape>
                <o:OLEObject Type="Embed" ProgID="Equation.3" ShapeID="_x0000_i1055" DrawAspect="Content" ObjectID="_1468075755" r:id="rId72">
                  <o:LockedField>false</o:LockedField>
                </o:OLEObject>
              </w:object>
            </w:r>
            <w:r>
              <w:rPr>
                <w:rFonts w:ascii="Times New Roman" w:hAnsi="Times New Roman"/>
                <w:bCs/>
                <w:color w:val="auto"/>
                <w:kern w:val="44"/>
              </w:rPr>
              <w:t>——收到基灰分的质量分数，%</w:t>
            </w:r>
            <w:r>
              <w:rPr>
                <w:rFonts w:hint="eastAsia" w:ascii="Times New Roman" w:hAnsi="Times New Roman"/>
                <w:bCs/>
                <w:color w:val="auto"/>
                <w:kern w:val="44"/>
              </w:rPr>
              <w:t>，</w:t>
            </w:r>
            <w:r>
              <w:rPr>
                <w:rFonts w:hint="eastAsia" w:ascii="Times New Roman" w:hAnsi="Times New Roman"/>
                <w:color w:val="auto"/>
                <w:kern w:val="0"/>
              </w:rPr>
              <w:t>根据前文计算，</w:t>
            </w:r>
            <w:r>
              <w:rPr>
                <w:rFonts w:ascii="Times New Roman" w:hAnsi="Times New Roman"/>
                <w:color w:val="auto"/>
                <w:kern w:val="0"/>
              </w:rPr>
              <w:t>收到基灰分为1.39%</w:t>
            </w:r>
            <w:r>
              <w:rPr>
                <w:rFonts w:ascii="Times New Roman" w:hAnsi="Times New Roman"/>
                <w:bCs/>
                <w:color w:val="auto"/>
                <w:kern w:val="44"/>
              </w:rPr>
              <w:t>；</w:t>
            </w:r>
          </w:p>
          <w:p>
            <w:pPr>
              <w:pStyle w:val="16"/>
              <w:adjustRightInd w:val="0"/>
              <w:snapToGrid w:val="0"/>
              <w:spacing w:after="0" w:line="360" w:lineRule="auto"/>
              <w:ind w:firstLine="480" w:firstLineChars="200"/>
              <w:jc w:val="both"/>
              <w:rPr>
                <w:rFonts w:ascii="Times New Roman" w:hAnsi="Times New Roman"/>
                <w:bCs/>
                <w:color w:val="auto"/>
                <w:kern w:val="44"/>
              </w:rPr>
            </w:pPr>
            <w:r>
              <w:rPr>
                <w:rFonts w:ascii="Times New Roman" w:hAnsi="Times New Roman"/>
                <w:bCs/>
                <w:color w:val="auto"/>
                <w:kern w:val="44"/>
              </w:rPr>
              <w:t xml:space="preserve">      </w:t>
            </w:r>
            <w:r>
              <w:rPr>
                <w:rFonts w:ascii="Times New Roman" w:hAnsi="Times New Roman"/>
                <w:color w:val="auto"/>
              </w:rPr>
              <w:drawing>
                <wp:inline distT="0" distB="0" distL="0" distR="0">
                  <wp:extent cx="171450" cy="209550"/>
                  <wp:effectExtent l="0" t="0" r="0" b="0"/>
                  <wp:docPr id="3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71450" cy="209550"/>
                          </a:xfrm>
                          <a:prstGeom prst="rect">
                            <a:avLst/>
                          </a:prstGeom>
                          <a:noFill/>
                          <a:ln>
                            <a:noFill/>
                          </a:ln>
                        </pic:spPr>
                      </pic:pic>
                    </a:graphicData>
                  </a:graphic>
                </wp:inline>
              </w:drawing>
            </w:r>
            <w:r>
              <w:rPr>
                <w:rFonts w:ascii="Times New Roman" w:hAnsi="Times New Roman"/>
                <w:bCs/>
                <w:color w:val="auto"/>
                <w:kern w:val="44"/>
              </w:rPr>
              <w:t>——锅炉机械不完全燃烧热损失，%</w:t>
            </w:r>
            <w:r>
              <w:rPr>
                <w:rFonts w:hint="eastAsia" w:ascii="Times New Roman" w:hAnsi="Times New Roman"/>
                <w:bCs/>
                <w:color w:val="auto"/>
                <w:kern w:val="44"/>
              </w:rPr>
              <w:t>，</w:t>
            </w:r>
            <w:r>
              <w:rPr>
                <w:rFonts w:ascii="Times New Roman" w:hAnsi="Times New Roman"/>
                <w:bCs/>
                <w:color w:val="auto"/>
              </w:rPr>
              <w:t>参考《排污许可证申请与核发 锅炉》（HJ953-2018）</w:t>
            </w:r>
            <w:r>
              <w:rPr>
                <w:rFonts w:hint="eastAsia" w:ascii="Times New Roman" w:hAnsi="Times New Roman"/>
                <w:color w:val="auto"/>
              </w:rPr>
              <w:t>表1</w:t>
            </w:r>
            <w:r>
              <w:rPr>
                <w:rFonts w:ascii="Times New Roman" w:hAnsi="Times New Roman"/>
                <w:color w:val="auto"/>
              </w:rPr>
              <w:t>1</w:t>
            </w:r>
            <w:r>
              <w:rPr>
                <w:rFonts w:hint="eastAsia" w:ascii="Times New Roman" w:hAnsi="Times New Roman"/>
                <w:color w:val="auto"/>
              </w:rPr>
              <w:t>，取</w:t>
            </w:r>
            <w:r>
              <w:rPr>
                <w:rFonts w:ascii="Times New Roman" w:hAnsi="Times New Roman"/>
                <w:color w:val="auto"/>
                <w:kern w:val="0"/>
              </w:rPr>
              <w:t>10%</w:t>
            </w:r>
            <w:r>
              <w:rPr>
                <w:rFonts w:ascii="Times New Roman" w:hAnsi="Times New Roman"/>
                <w:bCs/>
                <w:color w:val="auto"/>
                <w:kern w:val="44"/>
              </w:rPr>
              <w:t>；</w:t>
            </w:r>
          </w:p>
          <w:p>
            <w:pPr>
              <w:pStyle w:val="16"/>
              <w:adjustRightInd w:val="0"/>
              <w:snapToGrid w:val="0"/>
              <w:spacing w:after="0" w:line="360" w:lineRule="auto"/>
              <w:ind w:firstLine="480" w:firstLineChars="200"/>
              <w:jc w:val="both"/>
              <w:rPr>
                <w:rFonts w:ascii="Times New Roman" w:hAnsi="Times New Roman"/>
                <w:bCs/>
                <w:color w:val="auto"/>
                <w:kern w:val="44"/>
              </w:rPr>
            </w:pPr>
            <w:r>
              <w:rPr>
                <w:rFonts w:ascii="Times New Roman" w:hAnsi="Times New Roman"/>
                <w:bCs/>
                <w:color w:val="auto"/>
                <w:kern w:val="44"/>
              </w:rPr>
              <w:t xml:space="preserve">      </w:t>
            </w:r>
            <w:r>
              <w:rPr>
                <w:rFonts w:ascii="Times New Roman" w:hAnsi="Times New Roman"/>
                <w:color w:val="auto"/>
              </w:rPr>
              <w:drawing>
                <wp:inline distT="0" distB="0" distL="0" distR="0">
                  <wp:extent cx="428625" cy="228600"/>
                  <wp:effectExtent l="0" t="0" r="0" b="0"/>
                  <wp:docPr id="3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28625" cy="228600"/>
                          </a:xfrm>
                          <a:prstGeom prst="rect">
                            <a:avLst/>
                          </a:prstGeom>
                          <a:noFill/>
                          <a:ln>
                            <a:noFill/>
                          </a:ln>
                        </pic:spPr>
                      </pic:pic>
                    </a:graphicData>
                  </a:graphic>
                </wp:inline>
              </w:drawing>
            </w:r>
            <w:r>
              <w:rPr>
                <w:rFonts w:ascii="Times New Roman" w:hAnsi="Times New Roman"/>
                <w:color w:val="auto"/>
              </w:rPr>
              <w:t>——收到基低位发热量，kJ/kg</w:t>
            </w:r>
            <w:r>
              <w:rPr>
                <w:rFonts w:hint="eastAsia" w:ascii="Times New Roman" w:hAnsi="Times New Roman"/>
                <w:color w:val="auto"/>
              </w:rPr>
              <w:t>，</w:t>
            </w:r>
            <w:r>
              <w:rPr>
                <w:rFonts w:hint="eastAsia" w:ascii="Times New Roman" w:hAnsi="Times New Roman"/>
                <w:color w:val="auto"/>
              </w:rPr>
              <w:t>根据生物质燃料检测报告，本项目</w:t>
            </w:r>
            <w:r>
              <w:rPr>
                <w:rFonts w:ascii="Times New Roman" w:hAnsi="Times New Roman"/>
                <w:color w:val="auto"/>
                <w:kern w:val="0"/>
              </w:rPr>
              <w:t>收到基低位发热量为17.75MJ/kg</w:t>
            </w:r>
            <w:r>
              <w:rPr>
                <w:rFonts w:ascii="Times New Roman" w:hAnsi="Times New Roman"/>
                <w:color w:val="auto"/>
              </w:rPr>
              <w:t>；</w:t>
            </w:r>
          </w:p>
          <w:p>
            <w:pPr>
              <w:adjustRightInd w:val="0"/>
              <w:snapToGrid w:val="0"/>
              <w:spacing w:line="360" w:lineRule="auto"/>
              <w:ind w:firstLine="440"/>
              <w:rPr>
                <w:rFonts w:ascii="Times New Roman" w:hAnsi="Times New Roman"/>
                <w:color w:val="auto"/>
                <w:kern w:val="0"/>
              </w:rPr>
            </w:pPr>
            <w:r>
              <w:rPr>
                <w:rFonts w:ascii="Times New Roman" w:hAnsi="Times New Roman"/>
                <w:color w:val="auto"/>
                <w:kern w:val="0"/>
              </w:rPr>
              <w:t>根据</w:t>
            </w:r>
            <w:r>
              <w:rPr>
                <w:rFonts w:hint="eastAsia" w:ascii="Times New Roman" w:hAnsi="Times New Roman"/>
                <w:color w:val="auto"/>
                <w:kern w:val="0"/>
              </w:rPr>
              <w:t>上式</w:t>
            </w:r>
            <w:r>
              <w:rPr>
                <w:rFonts w:ascii="Times New Roman" w:hAnsi="Times New Roman"/>
                <w:color w:val="auto"/>
                <w:kern w:val="0"/>
              </w:rPr>
              <w:t>计算可得生物质锅炉炉渣产生量为</w:t>
            </w:r>
            <w:r>
              <w:rPr>
                <w:rFonts w:ascii="Times New Roman" w:hAnsi="Times New Roman"/>
                <w:color w:val="auto"/>
                <w:kern w:val="0"/>
              </w:rPr>
              <w:t>1197.58t/a。</w:t>
            </w:r>
          </w:p>
          <w:p>
            <w:pPr>
              <w:adjustRightInd w:val="0"/>
              <w:snapToGrid w:val="0"/>
              <w:spacing w:line="360" w:lineRule="auto"/>
              <w:ind w:firstLine="440"/>
              <w:rPr>
                <w:rFonts w:ascii="Times New Roman" w:hAnsi="Times New Roman"/>
                <w:color w:val="auto"/>
                <w:kern w:val="0"/>
                <w:lang w:val="zh-CN"/>
              </w:rPr>
            </w:pPr>
            <w:r>
              <w:rPr>
                <w:rFonts w:ascii="Times New Roman" w:hAnsi="Times New Roman"/>
                <w:color w:val="auto"/>
                <w:kern w:val="0"/>
                <w:lang w:val="zh-CN"/>
              </w:rPr>
              <w:t>（</w:t>
            </w:r>
            <w:r>
              <w:rPr>
                <w:rFonts w:ascii="Times New Roman" w:hAnsi="Times New Roman"/>
                <w:color w:val="auto"/>
                <w:kern w:val="0"/>
              </w:rPr>
              <w:t>2</w:t>
            </w:r>
            <w:r>
              <w:rPr>
                <w:rFonts w:ascii="Times New Roman" w:hAnsi="Times New Roman"/>
                <w:color w:val="auto"/>
                <w:kern w:val="0"/>
                <w:lang w:val="zh-CN"/>
              </w:rPr>
              <w:t>）</w:t>
            </w:r>
            <w:r>
              <w:rPr>
                <w:rFonts w:hint="eastAsia" w:ascii="Times New Roman" w:hAnsi="Times New Roman"/>
                <w:color w:val="auto"/>
                <w:kern w:val="0"/>
                <w:lang w:val="zh-CN"/>
              </w:rPr>
              <w:t>布袋除尘器收尘灰</w:t>
            </w:r>
          </w:p>
          <w:p>
            <w:pPr>
              <w:adjustRightInd w:val="0"/>
              <w:snapToGrid w:val="0"/>
              <w:spacing w:line="360" w:lineRule="auto"/>
              <w:ind w:firstLine="440"/>
              <w:rPr>
                <w:rFonts w:ascii="Times New Roman" w:hAnsi="Times New Roman"/>
                <w:color w:val="auto"/>
                <w:kern w:val="0"/>
              </w:rPr>
            </w:pPr>
            <w:r>
              <w:rPr>
                <w:rFonts w:hint="eastAsia" w:ascii="Times New Roman" w:hAnsi="Times New Roman"/>
                <w:color w:val="auto"/>
                <w:kern w:val="0"/>
              </w:rPr>
              <w:t>技改项目新增的袋式除尘器将产生收尘灰，根据锅炉烟气污染源源强核算，颗粒物产生量为</w:t>
            </w:r>
            <w:r>
              <w:rPr>
                <w:rFonts w:ascii="Times New Roman" w:hAnsi="Times New Roman"/>
                <w:color w:val="auto"/>
                <w:kern w:val="0"/>
              </w:rPr>
              <w:t>147.68t/a</w:t>
            </w:r>
            <w:r>
              <w:rPr>
                <w:rFonts w:hint="eastAsia" w:ascii="Times New Roman" w:hAnsi="Times New Roman"/>
                <w:color w:val="auto"/>
                <w:kern w:val="0"/>
              </w:rPr>
              <w:t>，排放量为</w:t>
            </w:r>
            <w:r>
              <w:rPr>
                <w:rFonts w:ascii="Times New Roman" w:hAnsi="Times New Roman"/>
                <w:color w:val="auto"/>
                <w:kern w:val="0"/>
              </w:rPr>
              <w:t>1.48t/a</w:t>
            </w:r>
            <w:r>
              <w:rPr>
                <w:rFonts w:hint="eastAsia" w:ascii="Times New Roman" w:hAnsi="Times New Roman"/>
                <w:color w:val="auto"/>
                <w:kern w:val="0"/>
              </w:rPr>
              <w:t>，则收尘灰产生量为</w:t>
            </w:r>
            <w:r>
              <w:rPr>
                <w:rFonts w:ascii="Times New Roman" w:hAnsi="Times New Roman"/>
                <w:color w:val="auto"/>
                <w:kern w:val="0"/>
              </w:rPr>
              <w:t>146.20t/a</w:t>
            </w:r>
            <w:r>
              <w:rPr>
                <w:rFonts w:hint="eastAsia" w:ascii="Times New Roman" w:hAnsi="Times New Roman"/>
                <w:color w:val="auto"/>
                <w:kern w:val="0"/>
              </w:rPr>
              <w:t>。这些收尘灰与生物质炉渣一同存放在生物质燃料棚的渣棚中，委托环卫部门清运处置。</w:t>
            </w:r>
          </w:p>
          <w:p>
            <w:pPr>
              <w:adjustRightInd w:val="0"/>
              <w:snapToGrid w:val="0"/>
              <w:spacing w:line="360" w:lineRule="auto"/>
              <w:ind w:firstLine="440"/>
              <w:rPr>
                <w:rFonts w:ascii="Times New Roman" w:hAnsi="Times New Roman"/>
                <w:color w:val="auto"/>
                <w:kern w:val="0"/>
              </w:rPr>
            </w:pPr>
            <w:r>
              <w:rPr>
                <w:rFonts w:hint="eastAsia" w:ascii="Times New Roman" w:hAnsi="Times New Roman"/>
                <w:color w:val="auto"/>
                <w:kern w:val="0"/>
                <w:lang w:val="zh-CN"/>
              </w:rPr>
              <w:t>（3）</w:t>
            </w:r>
            <w:r>
              <w:rPr>
                <w:rFonts w:ascii="Times New Roman" w:hAnsi="Times New Roman"/>
                <w:color w:val="auto"/>
                <w:kern w:val="0"/>
              </w:rPr>
              <w:t>废离子交换树脂</w:t>
            </w:r>
          </w:p>
          <w:p>
            <w:pPr>
              <w:adjustRightInd w:val="0"/>
              <w:snapToGrid w:val="0"/>
              <w:spacing w:line="360" w:lineRule="auto"/>
              <w:ind w:firstLine="440"/>
              <w:rPr>
                <w:rFonts w:ascii="Times New Roman" w:hAnsi="Times New Roman"/>
                <w:color w:val="auto"/>
                <w:kern w:val="0"/>
              </w:rPr>
            </w:pPr>
            <w:r>
              <w:rPr>
                <w:rFonts w:ascii="Times New Roman" w:hAnsi="Times New Roman"/>
                <w:color w:val="auto"/>
                <w:kern w:val="0"/>
              </w:rPr>
              <w:t>项目软水处理产生的废离子交换树脂属于一般固废废物，由厂家回收。产生量约为0.01t/a。</w:t>
            </w:r>
          </w:p>
          <w:p>
            <w:pPr>
              <w:adjustRightInd w:val="0"/>
              <w:snapToGrid w:val="0"/>
              <w:jc w:val="center"/>
              <w:rPr>
                <w:rFonts w:ascii="Times New Roman" w:hAnsi="Times New Roman"/>
                <w:b/>
                <w:bCs/>
                <w:color w:val="auto"/>
                <w:kern w:val="2"/>
                <w:sz w:val="21"/>
                <w:szCs w:val="21"/>
              </w:rPr>
            </w:pPr>
            <w:r>
              <w:rPr>
                <w:rFonts w:ascii="Times New Roman" w:hAnsi="Times New Roman"/>
                <w:b/>
                <w:bCs/>
                <w:color w:val="auto"/>
                <w:kern w:val="2"/>
                <w:sz w:val="21"/>
                <w:szCs w:val="21"/>
              </w:rPr>
              <w:t>表5-6   项目固体废物产生及处置情况一览表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125"/>
              <w:gridCol w:w="1214"/>
              <w:gridCol w:w="1367"/>
              <w:gridCol w:w="3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8" w:type="pct"/>
                  <w:vAlign w:val="center"/>
                </w:tcPr>
                <w:p>
                  <w:pPr>
                    <w:adjustRightInd w:val="0"/>
                    <w:snapToGrid w:val="0"/>
                    <w:jc w:val="center"/>
                    <w:rPr>
                      <w:rFonts w:ascii="Times New Roman" w:hAnsi="Times New Roman"/>
                      <w:b/>
                      <w:bCs/>
                      <w:color w:val="auto"/>
                      <w:kern w:val="2"/>
                      <w:sz w:val="21"/>
                      <w:szCs w:val="21"/>
                    </w:rPr>
                  </w:pPr>
                  <w:r>
                    <w:rPr>
                      <w:rFonts w:ascii="Times New Roman" w:hAnsi="Times New Roman"/>
                      <w:b/>
                      <w:bCs/>
                      <w:color w:val="auto"/>
                      <w:kern w:val="2"/>
                      <w:sz w:val="21"/>
                      <w:szCs w:val="21"/>
                    </w:rPr>
                    <w:t>序号</w:t>
                  </w:r>
                </w:p>
              </w:tc>
              <w:tc>
                <w:tcPr>
                  <w:tcW w:w="1196" w:type="pct"/>
                  <w:vAlign w:val="center"/>
                </w:tcPr>
                <w:p>
                  <w:pPr>
                    <w:adjustRightInd w:val="0"/>
                    <w:snapToGrid w:val="0"/>
                    <w:jc w:val="center"/>
                    <w:rPr>
                      <w:rFonts w:ascii="Times New Roman" w:hAnsi="Times New Roman"/>
                      <w:b/>
                      <w:bCs/>
                      <w:color w:val="auto"/>
                      <w:kern w:val="2"/>
                      <w:sz w:val="21"/>
                      <w:szCs w:val="21"/>
                    </w:rPr>
                  </w:pPr>
                  <w:r>
                    <w:rPr>
                      <w:rFonts w:ascii="Times New Roman" w:hAnsi="Times New Roman"/>
                      <w:b/>
                      <w:bCs/>
                      <w:color w:val="auto"/>
                      <w:kern w:val="2"/>
                      <w:sz w:val="21"/>
                      <w:szCs w:val="21"/>
                    </w:rPr>
                    <w:t>名称</w:t>
                  </w:r>
                </w:p>
              </w:tc>
              <w:tc>
                <w:tcPr>
                  <w:tcW w:w="683" w:type="pct"/>
                  <w:vAlign w:val="center"/>
                </w:tcPr>
                <w:p>
                  <w:pPr>
                    <w:adjustRightInd w:val="0"/>
                    <w:snapToGrid w:val="0"/>
                    <w:jc w:val="center"/>
                    <w:rPr>
                      <w:rFonts w:ascii="Times New Roman" w:hAnsi="Times New Roman"/>
                      <w:b/>
                      <w:bCs/>
                      <w:color w:val="auto"/>
                      <w:kern w:val="2"/>
                      <w:sz w:val="21"/>
                      <w:szCs w:val="21"/>
                    </w:rPr>
                  </w:pPr>
                  <w:r>
                    <w:rPr>
                      <w:rFonts w:ascii="Times New Roman" w:hAnsi="Times New Roman"/>
                      <w:b/>
                      <w:bCs/>
                      <w:color w:val="auto"/>
                      <w:kern w:val="2"/>
                      <w:sz w:val="21"/>
                      <w:szCs w:val="21"/>
                    </w:rPr>
                    <w:t>固废类型</w:t>
                  </w:r>
                </w:p>
              </w:tc>
              <w:tc>
                <w:tcPr>
                  <w:tcW w:w="769" w:type="pct"/>
                  <w:vAlign w:val="center"/>
                </w:tcPr>
                <w:p>
                  <w:pPr>
                    <w:adjustRightInd w:val="0"/>
                    <w:snapToGrid w:val="0"/>
                    <w:jc w:val="center"/>
                    <w:rPr>
                      <w:rFonts w:ascii="Times New Roman" w:hAnsi="Times New Roman"/>
                      <w:b/>
                      <w:bCs/>
                      <w:color w:val="auto"/>
                      <w:kern w:val="2"/>
                      <w:sz w:val="21"/>
                      <w:szCs w:val="21"/>
                    </w:rPr>
                  </w:pPr>
                  <w:r>
                    <w:rPr>
                      <w:rFonts w:ascii="Times New Roman" w:hAnsi="Times New Roman"/>
                      <w:b/>
                      <w:bCs/>
                      <w:color w:val="auto"/>
                      <w:kern w:val="2"/>
                      <w:sz w:val="21"/>
                      <w:szCs w:val="21"/>
                    </w:rPr>
                    <w:t>产生量t/a</w:t>
                  </w:r>
                </w:p>
              </w:tc>
              <w:tc>
                <w:tcPr>
                  <w:tcW w:w="1915" w:type="pct"/>
                  <w:vAlign w:val="center"/>
                </w:tcPr>
                <w:p>
                  <w:pPr>
                    <w:adjustRightInd w:val="0"/>
                    <w:snapToGrid w:val="0"/>
                    <w:jc w:val="center"/>
                    <w:rPr>
                      <w:rFonts w:ascii="Times New Roman" w:hAnsi="Times New Roman"/>
                      <w:b/>
                      <w:bCs/>
                      <w:color w:val="auto"/>
                      <w:kern w:val="2"/>
                      <w:sz w:val="21"/>
                      <w:szCs w:val="21"/>
                    </w:rPr>
                  </w:pPr>
                  <w:r>
                    <w:rPr>
                      <w:rFonts w:ascii="Times New Roman" w:hAnsi="Times New Roman"/>
                      <w:b/>
                      <w:bCs/>
                      <w:color w:val="auto"/>
                      <w:kern w:val="2"/>
                      <w:sz w:val="21"/>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8" w:type="pct"/>
                  <w:vAlign w:val="center"/>
                </w:tcPr>
                <w:p>
                  <w:pPr>
                    <w:adjustRightInd w:val="0"/>
                    <w:snapToGrid w:val="0"/>
                    <w:jc w:val="center"/>
                    <w:rPr>
                      <w:rFonts w:ascii="Times New Roman" w:hAnsi="Times New Roman"/>
                      <w:color w:val="auto"/>
                      <w:kern w:val="2"/>
                      <w:sz w:val="21"/>
                      <w:szCs w:val="21"/>
                    </w:rPr>
                  </w:pPr>
                  <w:r>
                    <w:rPr>
                      <w:rFonts w:ascii="Times New Roman" w:hAnsi="Times New Roman"/>
                      <w:color w:val="auto"/>
                      <w:kern w:val="2"/>
                      <w:sz w:val="21"/>
                      <w:szCs w:val="21"/>
                    </w:rPr>
                    <w:t>1</w:t>
                  </w:r>
                </w:p>
              </w:tc>
              <w:tc>
                <w:tcPr>
                  <w:tcW w:w="1196" w:type="pct"/>
                  <w:vAlign w:val="center"/>
                </w:tcPr>
                <w:p>
                  <w:pPr>
                    <w:adjustRightInd w:val="0"/>
                    <w:snapToGrid w:val="0"/>
                    <w:jc w:val="center"/>
                    <w:rPr>
                      <w:rFonts w:ascii="Times New Roman" w:hAnsi="Times New Roman"/>
                      <w:color w:val="auto"/>
                      <w:kern w:val="2"/>
                      <w:sz w:val="21"/>
                      <w:szCs w:val="21"/>
                    </w:rPr>
                  </w:pPr>
                  <w:r>
                    <w:rPr>
                      <w:rFonts w:ascii="Times New Roman" w:hAnsi="Times New Roman"/>
                      <w:color w:val="auto"/>
                      <w:kern w:val="2"/>
                      <w:sz w:val="21"/>
                      <w:szCs w:val="21"/>
                    </w:rPr>
                    <w:t>生物质</w:t>
                  </w:r>
                  <w:r>
                    <w:rPr>
                      <w:rFonts w:hint="eastAsia" w:ascii="Times New Roman" w:hAnsi="Times New Roman"/>
                      <w:color w:val="auto"/>
                      <w:kern w:val="2"/>
                      <w:sz w:val="21"/>
                      <w:szCs w:val="21"/>
                    </w:rPr>
                    <w:t>锅炉炉渣</w:t>
                  </w:r>
                </w:p>
              </w:tc>
              <w:tc>
                <w:tcPr>
                  <w:tcW w:w="683" w:type="pct"/>
                  <w:vMerge w:val="restart"/>
                  <w:vAlign w:val="center"/>
                </w:tcPr>
                <w:p>
                  <w:pPr>
                    <w:adjustRightInd w:val="0"/>
                    <w:snapToGrid w:val="0"/>
                    <w:jc w:val="center"/>
                    <w:rPr>
                      <w:rFonts w:ascii="Times New Roman" w:hAnsi="Times New Roman"/>
                      <w:color w:val="auto"/>
                      <w:kern w:val="2"/>
                      <w:sz w:val="21"/>
                      <w:szCs w:val="21"/>
                    </w:rPr>
                  </w:pPr>
                  <w:r>
                    <w:rPr>
                      <w:rFonts w:ascii="Times New Roman" w:hAnsi="Times New Roman"/>
                      <w:color w:val="auto"/>
                      <w:kern w:val="2"/>
                      <w:sz w:val="21"/>
                      <w:szCs w:val="21"/>
                    </w:rPr>
                    <w:t>一般工业固废</w:t>
                  </w:r>
                </w:p>
              </w:tc>
              <w:tc>
                <w:tcPr>
                  <w:tcW w:w="769" w:type="pct"/>
                  <w:vAlign w:val="center"/>
                </w:tcPr>
                <w:p>
                  <w:pPr>
                    <w:adjustRightInd w:val="0"/>
                    <w:snapToGrid w:val="0"/>
                    <w:jc w:val="center"/>
                    <w:rPr>
                      <w:rFonts w:ascii="Times New Roman" w:hAnsi="Times New Roman"/>
                      <w:color w:val="auto"/>
                      <w:kern w:val="2"/>
                      <w:sz w:val="21"/>
                      <w:szCs w:val="21"/>
                    </w:rPr>
                  </w:pPr>
                  <w:r>
                    <w:rPr>
                      <w:rFonts w:ascii="Times New Roman" w:hAnsi="Times New Roman"/>
                      <w:color w:val="auto"/>
                      <w:kern w:val="2"/>
                      <w:sz w:val="21"/>
                      <w:szCs w:val="21"/>
                    </w:rPr>
                    <w:t>1197.58</w:t>
                  </w:r>
                </w:p>
              </w:tc>
              <w:tc>
                <w:tcPr>
                  <w:tcW w:w="1915" w:type="pct"/>
                  <w:vAlign w:val="center"/>
                </w:tcPr>
                <w:p>
                  <w:pPr>
                    <w:adjustRightInd w:val="0"/>
                    <w:snapToGrid w:val="0"/>
                    <w:jc w:val="center"/>
                    <w:rPr>
                      <w:rFonts w:ascii="Times New Roman" w:hAnsi="Times New Roman"/>
                      <w:color w:val="auto"/>
                      <w:kern w:val="2"/>
                      <w:sz w:val="21"/>
                      <w:szCs w:val="21"/>
                    </w:rPr>
                  </w:pPr>
                  <w:r>
                    <w:rPr>
                      <w:rFonts w:ascii="Times New Roman" w:hAnsi="Times New Roman"/>
                      <w:color w:val="auto"/>
                      <w:kern w:val="2"/>
                      <w:sz w:val="21"/>
                      <w:szCs w:val="21"/>
                    </w:rPr>
                    <w:t>部分作为肥料回用于周边农田，部分</w:t>
                  </w:r>
                  <w:r>
                    <w:rPr>
                      <w:rFonts w:hint="eastAsia" w:ascii="Times New Roman" w:hAnsi="Times New Roman"/>
                      <w:color w:val="auto"/>
                      <w:kern w:val="2"/>
                      <w:sz w:val="21"/>
                      <w:szCs w:val="21"/>
                    </w:rPr>
                    <w:t>委托环卫部门清运处置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8" w:type="pct"/>
                  <w:vAlign w:val="center"/>
                </w:tcPr>
                <w:p>
                  <w:pPr>
                    <w:adjustRightInd w:val="0"/>
                    <w:snapToGrid w:val="0"/>
                    <w:jc w:val="center"/>
                    <w:rPr>
                      <w:rFonts w:ascii="Times New Roman" w:hAnsi="Times New Roman"/>
                      <w:color w:val="auto"/>
                      <w:kern w:val="2"/>
                      <w:sz w:val="21"/>
                      <w:szCs w:val="21"/>
                    </w:rPr>
                  </w:pPr>
                  <w:r>
                    <w:rPr>
                      <w:rFonts w:ascii="Times New Roman" w:hAnsi="Times New Roman"/>
                      <w:color w:val="auto"/>
                      <w:kern w:val="2"/>
                      <w:sz w:val="21"/>
                      <w:szCs w:val="21"/>
                    </w:rPr>
                    <w:t>2</w:t>
                  </w:r>
                </w:p>
              </w:tc>
              <w:tc>
                <w:tcPr>
                  <w:tcW w:w="1196" w:type="pct"/>
                  <w:vAlign w:val="center"/>
                </w:tcPr>
                <w:p>
                  <w:pPr>
                    <w:adjustRightInd w:val="0"/>
                    <w:snapToGrid w:val="0"/>
                    <w:jc w:val="center"/>
                    <w:rPr>
                      <w:rFonts w:ascii="Times New Roman" w:hAnsi="Times New Roman"/>
                      <w:color w:val="auto"/>
                      <w:kern w:val="2"/>
                      <w:sz w:val="21"/>
                      <w:szCs w:val="21"/>
                    </w:rPr>
                  </w:pPr>
                  <w:r>
                    <w:rPr>
                      <w:rFonts w:hint="eastAsia" w:ascii="Times New Roman" w:hAnsi="Times New Roman"/>
                      <w:color w:val="auto"/>
                      <w:kern w:val="2"/>
                      <w:sz w:val="21"/>
                      <w:szCs w:val="21"/>
                    </w:rPr>
                    <w:t>布袋除尘器收尘灰</w:t>
                  </w:r>
                </w:p>
              </w:tc>
              <w:tc>
                <w:tcPr>
                  <w:tcW w:w="683" w:type="pct"/>
                  <w:vMerge w:val="continue"/>
                  <w:vAlign w:val="center"/>
                </w:tcPr>
                <w:p>
                  <w:pPr>
                    <w:adjustRightInd w:val="0"/>
                    <w:snapToGrid w:val="0"/>
                    <w:jc w:val="center"/>
                    <w:rPr>
                      <w:rFonts w:ascii="Times New Roman" w:hAnsi="Times New Roman"/>
                      <w:color w:val="auto"/>
                      <w:kern w:val="2"/>
                      <w:sz w:val="21"/>
                      <w:szCs w:val="21"/>
                    </w:rPr>
                  </w:pPr>
                </w:p>
              </w:tc>
              <w:tc>
                <w:tcPr>
                  <w:tcW w:w="769" w:type="pct"/>
                  <w:vAlign w:val="center"/>
                </w:tcPr>
                <w:p>
                  <w:pPr>
                    <w:adjustRightInd w:val="0"/>
                    <w:snapToGrid w:val="0"/>
                    <w:jc w:val="center"/>
                    <w:rPr>
                      <w:rFonts w:ascii="Times New Roman" w:hAnsi="Times New Roman"/>
                      <w:color w:val="auto"/>
                      <w:kern w:val="2"/>
                      <w:sz w:val="21"/>
                      <w:szCs w:val="21"/>
                    </w:rPr>
                  </w:pPr>
                  <w:r>
                    <w:rPr>
                      <w:rFonts w:ascii="Times New Roman" w:hAnsi="Times New Roman"/>
                      <w:color w:val="auto"/>
                      <w:kern w:val="2"/>
                      <w:sz w:val="21"/>
                      <w:szCs w:val="21"/>
                    </w:rPr>
                    <w:t>146.20</w:t>
                  </w:r>
                </w:p>
              </w:tc>
              <w:tc>
                <w:tcPr>
                  <w:tcW w:w="1915" w:type="pct"/>
                  <w:vAlign w:val="center"/>
                </w:tcPr>
                <w:p>
                  <w:pPr>
                    <w:adjustRightInd w:val="0"/>
                    <w:snapToGrid w:val="0"/>
                    <w:jc w:val="center"/>
                    <w:rPr>
                      <w:rFonts w:ascii="Times New Roman" w:hAnsi="Times New Roman"/>
                      <w:color w:val="auto"/>
                      <w:kern w:val="2"/>
                      <w:sz w:val="21"/>
                      <w:szCs w:val="21"/>
                    </w:rPr>
                  </w:pPr>
                  <w:r>
                    <w:rPr>
                      <w:rFonts w:hint="eastAsia" w:ascii="Times New Roman" w:hAnsi="Times New Roman"/>
                      <w:color w:val="auto"/>
                      <w:kern w:val="2"/>
                      <w:sz w:val="21"/>
                      <w:szCs w:val="21"/>
                    </w:rPr>
                    <w:t>委托环卫部门清运处置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8" w:type="pct"/>
                  <w:vAlign w:val="center"/>
                </w:tcPr>
                <w:p>
                  <w:pPr>
                    <w:adjustRightInd w:val="0"/>
                    <w:snapToGrid w:val="0"/>
                    <w:jc w:val="center"/>
                    <w:rPr>
                      <w:rFonts w:ascii="Times New Roman" w:hAnsi="Times New Roman"/>
                      <w:color w:val="auto"/>
                      <w:kern w:val="2"/>
                      <w:sz w:val="21"/>
                      <w:szCs w:val="21"/>
                    </w:rPr>
                  </w:pPr>
                  <w:r>
                    <w:rPr>
                      <w:rFonts w:ascii="Times New Roman" w:hAnsi="Times New Roman"/>
                      <w:color w:val="auto"/>
                      <w:kern w:val="2"/>
                      <w:sz w:val="21"/>
                      <w:szCs w:val="21"/>
                    </w:rPr>
                    <w:t>3</w:t>
                  </w:r>
                </w:p>
              </w:tc>
              <w:tc>
                <w:tcPr>
                  <w:tcW w:w="1196" w:type="pct"/>
                  <w:vAlign w:val="center"/>
                </w:tcPr>
                <w:p>
                  <w:pPr>
                    <w:adjustRightInd w:val="0"/>
                    <w:snapToGrid w:val="0"/>
                    <w:jc w:val="center"/>
                    <w:rPr>
                      <w:rFonts w:ascii="Times New Roman" w:hAnsi="Times New Roman"/>
                      <w:color w:val="auto"/>
                      <w:kern w:val="2"/>
                      <w:sz w:val="21"/>
                      <w:szCs w:val="21"/>
                    </w:rPr>
                  </w:pPr>
                  <w:r>
                    <w:rPr>
                      <w:rFonts w:ascii="Times New Roman" w:hAnsi="Times New Roman"/>
                      <w:color w:val="auto"/>
                      <w:kern w:val="2"/>
                      <w:sz w:val="21"/>
                      <w:szCs w:val="21"/>
                    </w:rPr>
                    <w:t>废离子交换树脂</w:t>
                  </w:r>
                </w:p>
              </w:tc>
              <w:tc>
                <w:tcPr>
                  <w:tcW w:w="683" w:type="pct"/>
                  <w:vMerge w:val="continue"/>
                  <w:vAlign w:val="center"/>
                </w:tcPr>
                <w:p>
                  <w:pPr>
                    <w:adjustRightInd w:val="0"/>
                    <w:snapToGrid w:val="0"/>
                    <w:jc w:val="center"/>
                    <w:rPr>
                      <w:rFonts w:ascii="Times New Roman" w:hAnsi="Times New Roman"/>
                      <w:color w:val="auto"/>
                      <w:kern w:val="2"/>
                      <w:sz w:val="21"/>
                      <w:szCs w:val="21"/>
                    </w:rPr>
                  </w:pPr>
                </w:p>
              </w:tc>
              <w:tc>
                <w:tcPr>
                  <w:tcW w:w="769" w:type="pct"/>
                  <w:vAlign w:val="center"/>
                </w:tcPr>
                <w:p>
                  <w:pPr>
                    <w:adjustRightInd w:val="0"/>
                    <w:snapToGrid w:val="0"/>
                    <w:jc w:val="center"/>
                    <w:rPr>
                      <w:rFonts w:ascii="Times New Roman" w:hAnsi="Times New Roman"/>
                      <w:color w:val="auto"/>
                      <w:kern w:val="2"/>
                      <w:sz w:val="21"/>
                      <w:szCs w:val="21"/>
                    </w:rPr>
                  </w:pPr>
                  <w:r>
                    <w:rPr>
                      <w:rFonts w:hint="eastAsia" w:ascii="Times New Roman" w:hAnsi="Times New Roman"/>
                      <w:color w:val="auto"/>
                      <w:kern w:val="2"/>
                      <w:sz w:val="21"/>
                      <w:szCs w:val="21"/>
                    </w:rPr>
                    <w:t>0</w:t>
                  </w:r>
                  <w:r>
                    <w:rPr>
                      <w:rFonts w:ascii="Times New Roman" w:hAnsi="Times New Roman"/>
                      <w:color w:val="auto"/>
                      <w:kern w:val="2"/>
                      <w:sz w:val="21"/>
                      <w:szCs w:val="21"/>
                    </w:rPr>
                    <w:t>.01</w:t>
                  </w:r>
                </w:p>
              </w:tc>
              <w:tc>
                <w:tcPr>
                  <w:tcW w:w="1915" w:type="pct"/>
                  <w:vAlign w:val="center"/>
                </w:tcPr>
                <w:p>
                  <w:pPr>
                    <w:adjustRightInd w:val="0"/>
                    <w:snapToGrid w:val="0"/>
                    <w:jc w:val="center"/>
                    <w:rPr>
                      <w:rFonts w:ascii="Times New Roman" w:hAnsi="Times New Roman"/>
                      <w:color w:val="auto"/>
                      <w:kern w:val="2"/>
                      <w:sz w:val="21"/>
                      <w:szCs w:val="21"/>
                    </w:rPr>
                  </w:pPr>
                  <w:r>
                    <w:rPr>
                      <w:rFonts w:ascii="Times New Roman" w:hAnsi="Times New Roman"/>
                      <w:color w:val="auto"/>
                      <w:kern w:val="2"/>
                      <w:sz w:val="21"/>
                      <w:szCs w:val="21"/>
                    </w:rPr>
                    <w:t>厂家回收处置</w:t>
                  </w:r>
                </w:p>
              </w:tc>
            </w:tr>
          </w:tbl>
          <w:p>
            <w:pPr>
              <w:adjustRightInd w:val="0"/>
              <w:snapToGrid w:val="0"/>
              <w:spacing w:before="163" w:beforeLines="50" w:line="360" w:lineRule="auto"/>
              <w:rPr>
                <w:rFonts w:ascii="Times New Roman" w:hAnsi="Times New Roman"/>
                <w:b/>
                <w:bCs/>
                <w:color w:val="auto"/>
                <w:szCs w:val="22"/>
              </w:rPr>
            </w:pPr>
            <w:r>
              <w:rPr>
                <w:rFonts w:ascii="Times New Roman" w:hAnsi="Times New Roman"/>
                <w:b/>
                <w:bCs/>
                <w:color w:val="auto"/>
                <w:szCs w:val="22"/>
              </w:rPr>
              <w:t>4、废水</w:t>
            </w:r>
          </w:p>
          <w:p>
            <w:pPr>
              <w:adjustRightInd w:val="0"/>
              <w:snapToGrid w:val="0"/>
              <w:spacing w:line="360" w:lineRule="auto"/>
              <w:ind w:firstLine="440"/>
              <w:rPr>
                <w:rFonts w:ascii="Times New Roman" w:hAnsi="Times New Roman"/>
                <w:color w:val="auto"/>
                <w:kern w:val="0"/>
              </w:rPr>
            </w:pPr>
            <w:r>
              <w:rPr>
                <w:rFonts w:hint="eastAsia" w:ascii="Times New Roman" w:hAnsi="Times New Roman"/>
                <w:color w:val="auto"/>
                <w:kern w:val="0"/>
              </w:rPr>
              <w:t>技改项目员工生活依托造纸厂现有项目生活设施，技改项目用水仅为锅炉用水，</w:t>
            </w:r>
            <w:r>
              <w:rPr>
                <w:rFonts w:ascii="Times New Roman" w:hAnsi="Times New Roman"/>
                <w:color w:val="auto"/>
                <w:kern w:val="0"/>
              </w:rPr>
              <w:t>锅炉软水处理</w:t>
            </w:r>
            <w:r>
              <w:rPr>
                <w:rFonts w:hint="eastAsia" w:ascii="Times New Roman" w:hAnsi="Times New Roman"/>
                <w:color w:val="auto"/>
                <w:kern w:val="0"/>
              </w:rPr>
              <w:t>设备的处理工艺为</w:t>
            </w:r>
            <w:r>
              <w:rPr>
                <w:rFonts w:ascii="Times New Roman" w:hAnsi="Times New Roman"/>
                <w:color w:val="auto"/>
                <w:kern w:val="0"/>
              </w:rPr>
              <w:t>砂滤+离子交换</w:t>
            </w:r>
            <w:r>
              <w:rPr>
                <w:rFonts w:hint="eastAsia" w:ascii="Times New Roman" w:hAnsi="Times New Roman"/>
                <w:color w:val="auto"/>
                <w:kern w:val="0"/>
              </w:rPr>
              <w:t>，</w:t>
            </w:r>
            <w:r>
              <w:rPr>
                <w:rFonts w:ascii="Times New Roman" w:hAnsi="Times New Roman"/>
                <w:color w:val="auto"/>
                <w:kern w:val="0"/>
              </w:rPr>
              <w:t>产生的软水进入锅炉转化为水蒸汽</w:t>
            </w:r>
            <w:r>
              <w:rPr>
                <w:rFonts w:hint="eastAsia" w:ascii="Times New Roman" w:hAnsi="Times New Roman"/>
                <w:color w:val="auto"/>
                <w:kern w:val="0"/>
              </w:rPr>
              <w:t>后全部供</w:t>
            </w:r>
            <w:r>
              <w:rPr>
                <w:rFonts w:ascii="Times New Roman" w:hAnsi="Times New Roman"/>
                <w:color w:val="auto"/>
                <w:kern w:val="0"/>
              </w:rPr>
              <w:t>造纸工段的烘干工</w:t>
            </w:r>
            <w:r>
              <w:rPr>
                <w:rFonts w:hint="eastAsia" w:ascii="Times New Roman" w:hAnsi="Times New Roman"/>
                <w:color w:val="auto"/>
                <w:kern w:val="0"/>
              </w:rPr>
              <w:t>段使用。</w:t>
            </w:r>
          </w:p>
          <w:p>
            <w:pPr>
              <w:adjustRightInd w:val="0"/>
              <w:snapToGrid w:val="0"/>
              <w:spacing w:line="360" w:lineRule="auto"/>
              <w:ind w:firstLine="440"/>
              <w:rPr>
                <w:rFonts w:ascii="Times New Roman" w:hAnsi="Times New Roman"/>
                <w:color w:val="auto"/>
                <w:kern w:val="0"/>
              </w:rPr>
            </w:pPr>
            <w:r>
              <w:rPr>
                <w:rFonts w:hint="eastAsia" w:ascii="Times New Roman" w:hAnsi="Times New Roman"/>
                <w:color w:val="auto"/>
                <w:kern w:val="0"/>
              </w:rPr>
              <w:t>技改项目锅炉新鲜水耗用水量为</w:t>
            </w:r>
            <w:r>
              <w:rPr>
                <w:rFonts w:ascii="Times New Roman" w:hAnsi="Times New Roman"/>
                <w:color w:val="auto"/>
                <w:kern w:val="0"/>
              </w:rPr>
              <w:t>57.43m</w:t>
            </w:r>
            <w:r>
              <w:rPr>
                <w:rFonts w:ascii="Times New Roman" w:hAnsi="Times New Roman"/>
                <w:color w:val="auto"/>
                <w:kern w:val="0"/>
                <w:vertAlign w:val="superscript"/>
              </w:rPr>
              <w:t>3</w:t>
            </w:r>
            <w:r>
              <w:rPr>
                <w:rFonts w:ascii="Times New Roman" w:hAnsi="Times New Roman"/>
                <w:color w:val="auto"/>
                <w:kern w:val="0"/>
              </w:rPr>
              <w:t>/d</w:t>
            </w:r>
            <w:r>
              <w:rPr>
                <w:rFonts w:hint="eastAsia" w:ascii="Times New Roman" w:hAnsi="Times New Roman"/>
                <w:color w:val="auto"/>
                <w:kern w:val="0"/>
              </w:rPr>
              <w:t>，</w:t>
            </w:r>
            <w:r>
              <w:rPr>
                <w:rFonts w:ascii="Times New Roman" w:hAnsi="Times New Roman"/>
                <w:color w:val="auto"/>
                <w:kern w:val="0"/>
              </w:rPr>
              <w:t>1.72</w:t>
            </w:r>
            <w:r>
              <w:rPr>
                <w:rFonts w:hint="eastAsia" w:ascii="Times New Roman" w:hAnsi="Times New Roman"/>
                <w:color w:val="auto"/>
                <w:kern w:val="0"/>
              </w:rPr>
              <w:t>万</w:t>
            </w:r>
            <w:r>
              <w:rPr>
                <w:rFonts w:ascii="Times New Roman" w:hAnsi="Times New Roman"/>
                <w:color w:val="auto"/>
                <w:kern w:val="0"/>
              </w:rPr>
              <w:t>m</w:t>
            </w:r>
            <w:r>
              <w:rPr>
                <w:rFonts w:ascii="Times New Roman" w:hAnsi="Times New Roman"/>
                <w:color w:val="auto"/>
                <w:kern w:val="0"/>
                <w:vertAlign w:val="superscript"/>
              </w:rPr>
              <w:t>3</w:t>
            </w:r>
            <w:r>
              <w:rPr>
                <w:rFonts w:ascii="Times New Roman" w:hAnsi="Times New Roman"/>
                <w:color w:val="auto"/>
                <w:kern w:val="0"/>
              </w:rPr>
              <w:t>/a</w:t>
            </w:r>
            <w:r>
              <w:rPr>
                <w:rFonts w:hint="eastAsia" w:ascii="Times New Roman" w:hAnsi="Times New Roman"/>
                <w:color w:val="auto"/>
                <w:kern w:val="0"/>
              </w:rPr>
              <w:t>，锅炉蒸汽回收利用率为9</w:t>
            </w:r>
            <w:r>
              <w:rPr>
                <w:rFonts w:ascii="Times New Roman" w:hAnsi="Times New Roman"/>
                <w:color w:val="auto"/>
                <w:kern w:val="0"/>
              </w:rPr>
              <w:t>0%</w:t>
            </w:r>
            <w:r>
              <w:rPr>
                <w:rFonts w:hint="eastAsia" w:ascii="Times New Roman" w:hAnsi="Times New Roman"/>
                <w:color w:val="auto"/>
                <w:kern w:val="0"/>
              </w:rPr>
              <w:t>。锅炉废水主要为锅炉排污水和软化处理废水，根据《第二次全国污染源普查工业污染源产排污系数手册》“4430 工业锅炉（热力生产和供应行业）产排污系数表－工业废水量和化学需氧量（续2）”，技改项目采用生物质锅炉，锅炉用水经前端软化水处理系统处理后进入锅炉，产污系数按“0.356t/t－原料”计算，锅炉燃生物质燃料用量为</w:t>
            </w:r>
            <w:r>
              <w:rPr>
                <w:rFonts w:ascii="Times New Roman" w:hAnsi="Times New Roman"/>
                <w:color w:val="auto"/>
                <w:kern w:val="0"/>
              </w:rPr>
              <w:t>60.20</w:t>
            </w:r>
            <w:r>
              <w:rPr>
                <w:rFonts w:hint="eastAsia" w:ascii="Times New Roman" w:hAnsi="Times New Roman"/>
                <w:color w:val="auto"/>
                <w:kern w:val="0"/>
              </w:rPr>
              <w:t>t/</w:t>
            </w:r>
            <w:r>
              <w:rPr>
                <w:rFonts w:ascii="Times New Roman" w:hAnsi="Times New Roman"/>
                <w:color w:val="auto"/>
                <w:kern w:val="0"/>
              </w:rPr>
              <w:t>d</w:t>
            </w:r>
            <w:r>
              <w:rPr>
                <w:rFonts w:hint="eastAsia" w:ascii="Times New Roman" w:hAnsi="Times New Roman"/>
                <w:color w:val="auto"/>
                <w:kern w:val="0"/>
              </w:rPr>
              <w:t>，</w:t>
            </w:r>
            <w:r>
              <w:rPr>
                <w:rFonts w:ascii="Times New Roman" w:hAnsi="Times New Roman"/>
                <w:color w:val="auto"/>
                <w:kern w:val="0"/>
              </w:rPr>
              <w:t>18061.36</w:t>
            </w:r>
            <w:r>
              <w:rPr>
                <w:rFonts w:hint="eastAsia" w:ascii="Times New Roman" w:hAnsi="Times New Roman"/>
                <w:color w:val="auto"/>
                <w:kern w:val="0"/>
              </w:rPr>
              <w:t>t/a。则锅炉废水产生量为21.43m</w:t>
            </w:r>
            <w:r>
              <w:rPr>
                <w:rFonts w:ascii="Times New Roman" w:hAnsi="Times New Roman"/>
                <w:color w:val="auto"/>
                <w:kern w:val="0"/>
                <w:vertAlign w:val="superscript"/>
              </w:rPr>
              <w:t>3</w:t>
            </w:r>
            <w:r>
              <w:rPr>
                <w:rFonts w:hint="eastAsia" w:ascii="Times New Roman" w:hAnsi="Times New Roman"/>
                <w:color w:val="auto"/>
                <w:kern w:val="0"/>
              </w:rPr>
              <w:t>/d，6429.84m</w:t>
            </w:r>
            <w:r>
              <w:rPr>
                <w:rFonts w:ascii="Times New Roman" w:hAnsi="Times New Roman"/>
                <w:color w:val="auto"/>
                <w:kern w:val="0"/>
                <w:vertAlign w:val="superscript"/>
              </w:rPr>
              <w:t>3</w:t>
            </w:r>
            <w:r>
              <w:rPr>
                <w:rFonts w:hint="eastAsia" w:ascii="Times New Roman" w:hAnsi="Times New Roman"/>
                <w:color w:val="auto"/>
                <w:kern w:val="0"/>
              </w:rPr>
              <w:t>/a。锅炉废水中主要污染物</w:t>
            </w:r>
            <w:r>
              <w:rPr>
                <w:rFonts w:ascii="Times New Roman" w:hAnsi="Times New Roman"/>
                <w:color w:val="auto"/>
                <w:kern w:val="0"/>
              </w:rPr>
              <w:t>为COD</w:t>
            </w:r>
            <w:r>
              <w:rPr>
                <w:rFonts w:hint="eastAsia" w:ascii="Times New Roman" w:hAnsi="Times New Roman"/>
                <w:color w:val="auto"/>
                <w:kern w:val="0"/>
              </w:rPr>
              <w:t>，根据《第二次全国污染源普查工业污染源产排污系数手册》，产污系数按“30g/t－原料”计，则产生量为0</w:t>
            </w:r>
            <w:r>
              <w:rPr>
                <w:rFonts w:ascii="Times New Roman" w:hAnsi="Times New Roman"/>
                <w:color w:val="auto"/>
                <w:kern w:val="0"/>
              </w:rPr>
              <w:t>.54t/a</w:t>
            </w:r>
            <w:r>
              <w:rPr>
                <w:rFonts w:hint="eastAsia" w:ascii="Times New Roman" w:hAnsi="Times New Roman"/>
                <w:color w:val="auto"/>
                <w:kern w:val="0"/>
              </w:rPr>
              <w:t>，产生浓度为8</w:t>
            </w:r>
            <w:r>
              <w:rPr>
                <w:rFonts w:ascii="Times New Roman" w:hAnsi="Times New Roman"/>
                <w:color w:val="auto"/>
                <w:kern w:val="0"/>
              </w:rPr>
              <w:t>4.3mg/L</w:t>
            </w:r>
            <w:r>
              <w:rPr>
                <w:rFonts w:hint="eastAsia" w:ascii="Times New Roman" w:hAnsi="Times New Roman"/>
                <w:color w:val="auto"/>
                <w:kern w:val="0"/>
              </w:rPr>
              <w:t>，产生浓度低。锅炉废水全部回用于造纸厂现有项目造纸工段，不外排。</w:t>
            </w:r>
          </w:p>
          <w:p>
            <w:pPr>
              <w:pStyle w:val="37"/>
              <w:adjustRightInd w:val="0"/>
              <w:snapToGrid w:val="0"/>
              <w:ind w:firstLine="0" w:firstLineChars="0"/>
              <w:jc w:val="center"/>
              <w:rPr>
                <w:rFonts w:ascii="Times New Roman" w:hAnsi="Times New Roman"/>
                <w:color w:val="auto"/>
              </w:rPr>
            </w:pPr>
            <w:r>
              <w:rPr>
                <w:color w:val="auto"/>
              </w:rPr>
              <w:object>
                <v:shape id="_x0000_i1056" o:spt="75" type="#_x0000_t75" style="height:114.75pt;width:350.25pt;" o:ole="t" filled="f" o:preferrelative="t" stroked="f" coordsize="21600,21600">
                  <v:path/>
                  <v:fill on="f" focussize="0,0"/>
                  <v:stroke on="f" joinstyle="miter"/>
                  <v:imagedata r:id="rId76" o:title=""/>
                  <o:lock v:ext="edit" aspectratio="t"/>
                  <w10:wrap type="none"/>
                  <w10:anchorlock/>
                </v:shape>
                <o:OLEObject Type="Embed" ProgID="Visio.Drawing.11" ShapeID="_x0000_i1056" DrawAspect="Content" ObjectID="_1468075756" r:id="rId75">
                  <o:LockedField>false</o:LockedField>
                </o:OLEObject>
              </w:object>
            </w:r>
          </w:p>
          <w:p>
            <w:pPr>
              <w:pStyle w:val="36"/>
              <w:adjustRightInd w:val="0"/>
              <w:snapToGrid w:val="0"/>
              <w:ind w:firstLine="241"/>
              <w:rPr>
                <w:rFonts w:ascii="Times New Roman" w:hAnsi="Times New Roman"/>
                <w:b/>
                <w:bCs/>
                <w:color w:val="auto"/>
              </w:rPr>
            </w:pPr>
            <w:r>
              <w:rPr>
                <w:rFonts w:ascii="Times New Roman" w:hAnsi="Times New Roman"/>
                <w:b/>
                <w:bCs/>
                <w:color w:val="auto"/>
              </w:rPr>
              <w:t xml:space="preserve">图5-3   </w:t>
            </w:r>
            <w:r>
              <w:rPr>
                <w:rFonts w:hint="eastAsia" w:ascii="Times New Roman" w:hAnsi="Times New Roman"/>
                <w:b/>
                <w:bCs/>
                <w:color w:val="auto"/>
              </w:rPr>
              <w:t>技改</w:t>
            </w:r>
            <w:r>
              <w:rPr>
                <w:rFonts w:ascii="Times New Roman" w:hAnsi="Times New Roman"/>
                <w:b/>
                <w:bCs/>
                <w:color w:val="auto"/>
              </w:rPr>
              <w:t>项目水平衡图(</w:t>
            </w:r>
            <w:r>
              <w:rPr>
                <w:rFonts w:hint="eastAsia" w:ascii="Times New Roman" w:hAnsi="Times New Roman"/>
                <w:b/>
                <w:bCs/>
                <w:color w:val="auto"/>
              </w:rPr>
              <w:t>m</w:t>
            </w:r>
            <w:r>
              <w:rPr>
                <w:rFonts w:ascii="Times New Roman" w:hAnsi="Times New Roman"/>
                <w:b/>
                <w:bCs/>
                <w:color w:val="auto"/>
                <w:vertAlign w:val="superscript"/>
              </w:rPr>
              <w:t>3</w:t>
            </w:r>
            <w:r>
              <w:rPr>
                <w:rFonts w:ascii="Times New Roman" w:hAnsi="Times New Roman"/>
                <w:b/>
                <w:bCs/>
                <w:color w:val="auto"/>
              </w:rPr>
              <w:t>/d)</w:t>
            </w:r>
          </w:p>
          <w:p>
            <w:pPr>
              <w:adjustRightInd w:val="0"/>
              <w:snapToGrid w:val="0"/>
              <w:spacing w:line="360" w:lineRule="auto"/>
              <w:rPr>
                <w:rFonts w:ascii="Times New Roman" w:hAnsi="Times New Roman"/>
                <w:b/>
                <w:bCs/>
                <w:color w:val="auto"/>
                <w:szCs w:val="22"/>
              </w:rPr>
            </w:pPr>
            <w:r>
              <w:rPr>
                <w:rFonts w:ascii="Times New Roman" w:hAnsi="Times New Roman"/>
                <w:b/>
                <w:bCs/>
                <w:color w:val="auto"/>
                <w:szCs w:val="22"/>
              </w:rPr>
              <w:t>5、“三本账”核算</w:t>
            </w:r>
          </w:p>
          <w:p>
            <w:pPr>
              <w:adjustRightInd w:val="0"/>
              <w:snapToGrid w:val="0"/>
              <w:spacing w:line="360" w:lineRule="auto"/>
              <w:ind w:firstLine="360" w:firstLineChars="150"/>
              <w:rPr>
                <w:rFonts w:ascii="Times New Roman" w:hAnsi="Times New Roman"/>
                <w:color w:val="auto"/>
                <w:lang w:val="zh-CN"/>
              </w:rPr>
            </w:pPr>
            <w:r>
              <w:rPr>
                <w:rFonts w:hint="eastAsia" w:ascii="Times New Roman" w:hAnsi="Times New Roman"/>
                <w:color w:val="auto"/>
                <w:lang w:val="zh-CN"/>
              </w:rPr>
              <w:t>技改</w:t>
            </w:r>
            <w:r>
              <w:rPr>
                <w:rFonts w:ascii="Times New Roman" w:hAnsi="Times New Roman"/>
                <w:color w:val="auto"/>
                <w:lang w:val="zh-CN"/>
              </w:rPr>
              <w:t>项目</w:t>
            </w:r>
            <w:r>
              <w:rPr>
                <w:rFonts w:hint="eastAsia" w:ascii="Times New Roman" w:hAnsi="Times New Roman"/>
                <w:color w:val="auto"/>
                <w:lang w:val="zh-CN"/>
              </w:rPr>
              <w:t>“</w:t>
            </w:r>
            <w:r>
              <w:rPr>
                <w:rFonts w:ascii="Times New Roman" w:hAnsi="Times New Roman"/>
                <w:color w:val="auto"/>
                <w:lang w:val="zh-CN"/>
              </w:rPr>
              <w:t>三本账</w:t>
            </w:r>
            <w:r>
              <w:rPr>
                <w:rFonts w:hint="eastAsia" w:ascii="Times New Roman" w:hAnsi="Times New Roman"/>
                <w:color w:val="auto"/>
                <w:lang w:val="zh-CN"/>
              </w:rPr>
              <w:t>”</w:t>
            </w:r>
            <w:r>
              <w:rPr>
                <w:rFonts w:ascii="Times New Roman" w:hAnsi="Times New Roman"/>
                <w:color w:val="auto"/>
                <w:lang w:val="zh-CN"/>
              </w:rPr>
              <w:t>核算如下表所示。</w:t>
            </w:r>
          </w:p>
          <w:p>
            <w:pPr>
              <w:adjustRightInd w:val="0"/>
              <w:snapToGrid w:val="0"/>
              <w:jc w:val="center"/>
              <w:rPr>
                <w:rFonts w:ascii="Times New Roman" w:hAnsi="Times New Roman"/>
                <w:b/>
                <w:bCs/>
                <w:color w:val="auto"/>
                <w:kern w:val="2"/>
                <w:sz w:val="21"/>
                <w:szCs w:val="21"/>
              </w:rPr>
            </w:pPr>
            <w:r>
              <w:rPr>
                <w:rFonts w:ascii="Times New Roman" w:hAnsi="Times New Roman"/>
                <w:b/>
                <w:bCs/>
                <w:color w:val="auto"/>
                <w:kern w:val="2"/>
                <w:sz w:val="21"/>
                <w:szCs w:val="21"/>
              </w:rPr>
              <w:t>表5-7   “三本账”核算表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752"/>
              <w:gridCol w:w="660"/>
              <w:gridCol w:w="787"/>
              <w:gridCol w:w="878"/>
              <w:gridCol w:w="898"/>
              <w:gridCol w:w="886"/>
              <w:gridCol w:w="898"/>
              <w:gridCol w:w="885"/>
              <w:gridCol w:w="878"/>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8" w:type="dxa"/>
                  <w:vMerge w:val="restart"/>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b/>
                      <w:color w:val="auto"/>
                      <w:sz w:val="21"/>
                      <w:szCs w:val="21"/>
                    </w:rPr>
                  </w:pPr>
                  <w:r>
                    <w:rPr>
                      <w:rFonts w:ascii="Times New Roman" w:hAnsi="Times New Roman"/>
                      <w:b/>
                      <w:color w:val="auto"/>
                      <w:sz w:val="21"/>
                      <w:szCs w:val="21"/>
                    </w:rPr>
                    <w:t>类别</w:t>
                  </w:r>
                </w:p>
              </w:tc>
              <w:tc>
                <w:tcPr>
                  <w:tcW w:w="752" w:type="dxa"/>
                  <w:vMerge w:val="restart"/>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b/>
                      <w:color w:val="auto"/>
                      <w:sz w:val="21"/>
                      <w:szCs w:val="21"/>
                    </w:rPr>
                  </w:pPr>
                  <w:r>
                    <w:rPr>
                      <w:rFonts w:ascii="Times New Roman" w:hAnsi="Times New Roman"/>
                      <w:b/>
                      <w:color w:val="auto"/>
                      <w:sz w:val="21"/>
                      <w:szCs w:val="21"/>
                    </w:rPr>
                    <w:t>污染</w:t>
                  </w:r>
                  <w:r>
                    <w:rPr>
                      <w:rFonts w:hint="eastAsia" w:ascii="Times New Roman" w:hAnsi="Times New Roman"/>
                      <w:b/>
                      <w:color w:val="auto"/>
                      <w:sz w:val="21"/>
                      <w:szCs w:val="21"/>
                    </w:rPr>
                    <w:t>物</w:t>
                  </w:r>
                </w:p>
              </w:tc>
              <w:tc>
                <w:tcPr>
                  <w:tcW w:w="660" w:type="dxa"/>
                  <w:vMerge w:val="restart"/>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b/>
                      <w:color w:val="auto"/>
                      <w:sz w:val="21"/>
                      <w:szCs w:val="21"/>
                    </w:rPr>
                  </w:pPr>
                  <w:r>
                    <w:rPr>
                      <w:rFonts w:ascii="Times New Roman" w:hAnsi="Times New Roman"/>
                      <w:b/>
                      <w:color w:val="auto"/>
                      <w:sz w:val="21"/>
                      <w:szCs w:val="21"/>
                    </w:rPr>
                    <w:t>污染</w:t>
                  </w:r>
                  <w:r>
                    <w:rPr>
                      <w:rFonts w:hint="eastAsia" w:ascii="Times New Roman" w:hAnsi="Times New Roman"/>
                      <w:b/>
                      <w:color w:val="auto"/>
                      <w:sz w:val="21"/>
                      <w:szCs w:val="21"/>
                    </w:rPr>
                    <w:t>因子</w:t>
                  </w:r>
                </w:p>
              </w:tc>
              <w:tc>
                <w:tcPr>
                  <w:tcW w:w="1665" w:type="dxa"/>
                  <w:gridSpan w:val="2"/>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b/>
                      <w:color w:val="auto"/>
                      <w:sz w:val="21"/>
                      <w:szCs w:val="21"/>
                    </w:rPr>
                  </w:pPr>
                  <w:r>
                    <w:rPr>
                      <w:rFonts w:hint="eastAsia" w:ascii="Times New Roman" w:hAnsi="Times New Roman"/>
                      <w:b/>
                      <w:color w:val="auto"/>
                      <w:sz w:val="21"/>
                      <w:szCs w:val="21"/>
                    </w:rPr>
                    <w:t>现有项目</w:t>
                  </w:r>
                </w:p>
              </w:tc>
              <w:tc>
                <w:tcPr>
                  <w:tcW w:w="1784" w:type="dxa"/>
                  <w:gridSpan w:val="2"/>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b/>
                      <w:color w:val="auto"/>
                      <w:sz w:val="21"/>
                      <w:szCs w:val="21"/>
                    </w:rPr>
                  </w:pPr>
                  <w:r>
                    <w:rPr>
                      <w:rFonts w:hint="eastAsia" w:ascii="Times New Roman" w:hAnsi="Times New Roman"/>
                      <w:b/>
                      <w:color w:val="auto"/>
                      <w:sz w:val="21"/>
                      <w:szCs w:val="21"/>
                    </w:rPr>
                    <w:t>技改项目</w:t>
                  </w:r>
                </w:p>
              </w:tc>
              <w:tc>
                <w:tcPr>
                  <w:tcW w:w="1783" w:type="dxa"/>
                  <w:gridSpan w:val="2"/>
                  <w:tcMar>
                    <w:left w:w="57" w:type="dxa"/>
                    <w:right w:w="57" w:type="dxa"/>
                  </w:tcMar>
                  <w:vAlign w:val="center"/>
                </w:tcPr>
                <w:p>
                  <w:pPr>
                    <w:widowControl/>
                    <w:adjustRightInd w:val="0"/>
                    <w:snapToGrid w:val="0"/>
                    <w:jc w:val="center"/>
                    <w:rPr>
                      <w:rFonts w:ascii="Times New Roman" w:hAnsi="Times New Roman"/>
                      <w:b/>
                      <w:color w:val="auto"/>
                      <w:sz w:val="21"/>
                      <w:szCs w:val="21"/>
                    </w:rPr>
                  </w:pPr>
                  <w:r>
                    <w:rPr>
                      <w:rFonts w:hint="eastAsia" w:ascii="Times New Roman" w:hAnsi="Times New Roman"/>
                      <w:b/>
                      <w:color w:val="auto"/>
                      <w:sz w:val="21"/>
                      <w:szCs w:val="21"/>
                    </w:rPr>
                    <w:t>技改完成后全厂</w:t>
                  </w:r>
                </w:p>
              </w:tc>
              <w:tc>
                <w:tcPr>
                  <w:tcW w:w="878" w:type="dxa"/>
                  <w:vMerge w:val="restart"/>
                  <w:tcMar>
                    <w:left w:w="57" w:type="dxa"/>
                    <w:right w:w="57" w:type="dxa"/>
                  </w:tcMar>
                  <w:vAlign w:val="center"/>
                </w:tcPr>
                <w:p>
                  <w:pPr>
                    <w:widowControl/>
                    <w:adjustRightInd w:val="0"/>
                    <w:snapToGrid w:val="0"/>
                    <w:jc w:val="center"/>
                    <w:rPr>
                      <w:rFonts w:ascii="Times New Roman" w:hAnsi="Times New Roman"/>
                      <w:b/>
                      <w:color w:val="auto"/>
                      <w:sz w:val="21"/>
                      <w:szCs w:val="21"/>
                    </w:rPr>
                  </w:pPr>
                  <w:r>
                    <w:rPr>
                      <w:rFonts w:ascii="Times New Roman" w:hAnsi="Times New Roman"/>
                      <w:b/>
                      <w:color w:val="auto"/>
                      <w:sz w:val="21"/>
                      <w:szCs w:val="21"/>
                    </w:rPr>
                    <w:t>以新带老</w:t>
                  </w:r>
                  <w:r>
                    <w:rPr>
                      <w:rFonts w:hint="eastAsia" w:ascii="Times New Roman" w:hAnsi="Times New Roman"/>
                      <w:b/>
                      <w:color w:val="auto"/>
                      <w:sz w:val="21"/>
                      <w:szCs w:val="21"/>
                    </w:rPr>
                    <w:t>削减</w:t>
                  </w:r>
                  <w:r>
                    <w:rPr>
                      <w:rFonts w:ascii="Times New Roman" w:hAnsi="Times New Roman"/>
                      <w:b/>
                      <w:color w:val="auto"/>
                      <w:sz w:val="21"/>
                      <w:szCs w:val="21"/>
                    </w:rPr>
                    <w:t>量t/a</w:t>
                  </w:r>
                </w:p>
              </w:tc>
              <w:tc>
                <w:tcPr>
                  <w:tcW w:w="934" w:type="dxa"/>
                  <w:vMerge w:val="restart"/>
                  <w:tcMar>
                    <w:left w:w="57" w:type="dxa"/>
                    <w:right w:w="57" w:type="dxa"/>
                  </w:tcMar>
                  <w:vAlign w:val="center"/>
                </w:tcPr>
                <w:p>
                  <w:pPr>
                    <w:widowControl/>
                    <w:adjustRightInd w:val="0"/>
                    <w:snapToGrid w:val="0"/>
                    <w:jc w:val="center"/>
                    <w:rPr>
                      <w:rFonts w:ascii="Times New Roman" w:hAnsi="Times New Roman"/>
                      <w:b/>
                      <w:color w:val="auto"/>
                      <w:sz w:val="21"/>
                      <w:szCs w:val="21"/>
                    </w:rPr>
                  </w:pPr>
                  <w:r>
                    <w:rPr>
                      <w:rFonts w:ascii="Times New Roman" w:hAnsi="Times New Roman"/>
                      <w:b/>
                      <w:color w:val="auto"/>
                      <w:sz w:val="21"/>
                      <w:szCs w:val="21"/>
                    </w:rPr>
                    <w:t>排放增减量t/a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28" w:type="dxa"/>
                  <w:vMerge w:val="continue"/>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b/>
                      <w:color w:val="auto"/>
                      <w:sz w:val="21"/>
                      <w:szCs w:val="21"/>
                    </w:rPr>
                  </w:pPr>
                </w:p>
              </w:tc>
              <w:tc>
                <w:tcPr>
                  <w:tcW w:w="752" w:type="dxa"/>
                  <w:vMerge w:val="continue"/>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b/>
                      <w:color w:val="auto"/>
                      <w:sz w:val="21"/>
                      <w:szCs w:val="21"/>
                    </w:rPr>
                  </w:pPr>
                </w:p>
              </w:tc>
              <w:tc>
                <w:tcPr>
                  <w:tcW w:w="660" w:type="dxa"/>
                  <w:vMerge w:val="continue"/>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b/>
                      <w:color w:val="auto"/>
                      <w:sz w:val="21"/>
                      <w:szCs w:val="21"/>
                    </w:rPr>
                  </w:pPr>
                </w:p>
              </w:tc>
              <w:tc>
                <w:tcPr>
                  <w:tcW w:w="787"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b/>
                      <w:color w:val="auto"/>
                      <w:sz w:val="21"/>
                      <w:szCs w:val="21"/>
                    </w:rPr>
                  </w:pPr>
                  <w:r>
                    <w:rPr>
                      <w:rFonts w:ascii="Times New Roman" w:hAnsi="Times New Roman"/>
                      <w:b/>
                      <w:color w:val="auto"/>
                      <w:sz w:val="21"/>
                      <w:szCs w:val="21"/>
                    </w:rPr>
                    <w:t>产生量t/a</w:t>
                  </w:r>
                </w:p>
              </w:tc>
              <w:tc>
                <w:tcPr>
                  <w:tcW w:w="878"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b/>
                      <w:color w:val="auto"/>
                      <w:sz w:val="21"/>
                      <w:szCs w:val="21"/>
                    </w:rPr>
                  </w:pPr>
                  <w:r>
                    <w:rPr>
                      <w:rFonts w:ascii="Times New Roman" w:hAnsi="Times New Roman"/>
                      <w:b/>
                      <w:color w:val="auto"/>
                      <w:sz w:val="21"/>
                      <w:szCs w:val="21"/>
                    </w:rPr>
                    <w:t>排放量t/a</w:t>
                  </w:r>
                </w:p>
              </w:tc>
              <w:tc>
                <w:tcPr>
                  <w:tcW w:w="898"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b/>
                      <w:color w:val="auto"/>
                      <w:sz w:val="21"/>
                      <w:szCs w:val="21"/>
                    </w:rPr>
                  </w:pPr>
                  <w:r>
                    <w:rPr>
                      <w:rFonts w:ascii="Times New Roman" w:hAnsi="Times New Roman"/>
                      <w:b/>
                      <w:color w:val="auto"/>
                      <w:sz w:val="21"/>
                      <w:szCs w:val="21"/>
                    </w:rPr>
                    <w:t>产生量t/a</w:t>
                  </w:r>
                </w:p>
              </w:tc>
              <w:tc>
                <w:tcPr>
                  <w:tcW w:w="886"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b/>
                      <w:color w:val="auto"/>
                      <w:sz w:val="21"/>
                      <w:szCs w:val="21"/>
                    </w:rPr>
                  </w:pPr>
                  <w:r>
                    <w:rPr>
                      <w:rFonts w:ascii="Times New Roman" w:hAnsi="Times New Roman"/>
                      <w:b/>
                      <w:color w:val="auto"/>
                      <w:sz w:val="21"/>
                      <w:szCs w:val="21"/>
                    </w:rPr>
                    <w:t>排放量t/a</w:t>
                  </w:r>
                </w:p>
              </w:tc>
              <w:tc>
                <w:tcPr>
                  <w:tcW w:w="898" w:type="dxa"/>
                  <w:tcMar>
                    <w:left w:w="57" w:type="dxa"/>
                    <w:right w:w="57" w:type="dxa"/>
                  </w:tcMar>
                  <w:vAlign w:val="center"/>
                </w:tcPr>
                <w:p>
                  <w:pPr>
                    <w:widowControl/>
                    <w:adjustRightInd w:val="0"/>
                    <w:snapToGrid w:val="0"/>
                    <w:jc w:val="center"/>
                    <w:rPr>
                      <w:rFonts w:ascii="Times New Roman" w:hAnsi="Times New Roman"/>
                      <w:b/>
                      <w:color w:val="auto"/>
                      <w:sz w:val="21"/>
                      <w:szCs w:val="21"/>
                    </w:rPr>
                  </w:pPr>
                  <w:r>
                    <w:rPr>
                      <w:rFonts w:ascii="Times New Roman" w:hAnsi="Times New Roman"/>
                      <w:b/>
                      <w:color w:val="auto"/>
                      <w:sz w:val="21"/>
                      <w:szCs w:val="21"/>
                    </w:rPr>
                    <w:t>产生量t/a</w:t>
                  </w:r>
                </w:p>
              </w:tc>
              <w:tc>
                <w:tcPr>
                  <w:tcW w:w="885" w:type="dxa"/>
                  <w:tcMar>
                    <w:left w:w="57" w:type="dxa"/>
                    <w:right w:w="57" w:type="dxa"/>
                  </w:tcMar>
                  <w:vAlign w:val="center"/>
                </w:tcPr>
                <w:p>
                  <w:pPr>
                    <w:widowControl/>
                    <w:adjustRightInd w:val="0"/>
                    <w:snapToGrid w:val="0"/>
                    <w:jc w:val="center"/>
                    <w:rPr>
                      <w:rFonts w:ascii="Times New Roman" w:hAnsi="Times New Roman"/>
                      <w:b/>
                      <w:color w:val="auto"/>
                      <w:sz w:val="21"/>
                      <w:szCs w:val="21"/>
                    </w:rPr>
                  </w:pPr>
                  <w:r>
                    <w:rPr>
                      <w:rFonts w:ascii="Times New Roman" w:hAnsi="Times New Roman"/>
                      <w:b/>
                      <w:color w:val="auto"/>
                      <w:sz w:val="21"/>
                      <w:szCs w:val="21"/>
                    </w:rPr>
                    <w:t>排放量t/a</w:t>
                  </w:r>
                </w:p>
              </w:tc>
              <w:tc>
                <w:tcPr>
                  <w:tcW w:w="878" w:type="dxa"/>
                  <w:vMerge w:val="continue"/>
                  <w:tcMar>
                    <w:left w:w="57" w:type="dxa"/>
                    <w:right w:w="57" w:type="dxa"/>
                  </w:tcMar>
                  <w:vAlign w:val="center"/>
                </w:tcPr>
                <w:p>
                  <w:pPr>
                    <w:widowControl/>
                    <w:adjustRightInd w:val="0"/>
                    <w:snapToGrid w:val="0"/>
                    <w:jc w:val="center"/>
                    <w:rPr>
                      <w:rFonts w:ascii="Times New Roman" w:hAnsi="Times New Roman"/>
                      <w:b/>
                      <w:color w:val="auto"/>
                      <w:sz w:val="21"/>
                      <w:szCs w:val="21"/>
                    </w:rPr>
                  </w:pPr>
                </w:p>
              </w:tc>
              <w:tc>
                <w:tcPr>
                  <w:tcW w:w="934" w:type="dxa"/>
                  <w:vMerge w:val="continue"/>
                  <w:tcMar>
                    <w:left w:w="57" w:type="dxa"/>
                    <w:right w:w="57" w:type="dxa"/>
                  </w:tcMar>
                  <w:vAlign w:val="center"/>
                </w:tcPr>
                <w:p>
                  <w:pPr>
                    <w:widowControl/>
                    <w:adjustRightInd w:val="0"/>
                    <w:snapToGrid w:val="0"/>
                    <w:jc w:val="center"/>
                    <w:rPr>
                      <w:rFonts w:ascii="Times New Roman" w:hAnsi="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28" w:type="dxa"/>
                  <w:vMerge w:val="restart"/>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ascii="Times New Roman" w:hAnsi="Times New Roman"/>
                      <w:color w:val="auto"/>
                      <w:sz w:val="21"/>
                      <w:szCs w:val="21"/>
                    </w:rPr>
                    <w:t>废气</w:t>
                  </w:r>
                </w:p>
                <w:p>
                  <w:pPr>
                    <w:pStyle w:val="37"/>
                    <w:adjustRightInd w:val="0"/>
                    <w:snapToGrid w:val="0"/>
                    <w:spacing w:line="0" w:lineRule="atLeast"/>
                    <w:jc w:val="center"/>
                    <w:rPr>
                      <w:rFonts w:ascii="Times New Roman" w:hAnsi="Times New Roman"/>
                      <w:color w:val="auto"/>
                      <w:sz w:val="21"/>
                      <w:szCs w:val="21"/>
                    </w:rPr>
                  </w:pPr>
                </w:p>
              </w:tc>
              <w:tc>
                <w:tcPr>
                  <w:tcW w:w="752" w:type="dxa"/>
                  <w:vMerge w:val="restart"/>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ascii="Times New Roman" w:hAnsi="Times New Roman"/>
                      <w:color w:val="auto"/>
                      <w:sz w:val="21"/>
                      <w:szCs w:val="21"/>
                    </w:rPr>
                    <w:t>锅炉</w:t>
                  </w:r>
                  <w:r>
                    <w:rPr>
                      <w:rFonts w:hint="eastAsia" w:ascii="Times New Roman" w:hAnsi="Times New Roman"/>
                      <w:color w:val="auto"/>
                      <w:sz w:val="21"/>
                      <w:szCs w:val="21"/>
                    </w:rPr>
                    <w:t>烟</w:t>
                  </w:r>
                  <w:r>
                    <w:rPr>
                      <w:rFonts w:ascii="Times New Roman" w:hAnsi="Times New Roman"/>
                      <w:color w:val="auto"/>
                      <w:sz w:val="21"/>
                      <w:szCs w:val="21"/>
                    </w:rPr>
                    <w:t>气</w:t>
                  </w:r>
                </w:p>
              </w:tc>
              <w:tc>
                <w:tcPr>
                  <w:tcW w:w="660"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hint="eastAsia" w:ascii="Times New Roman" w:hAnsi="Times New Roman"/>
                      <w:color w:val="auto"/>
                      <w:sz w:val="21"/>
                      <w:szCs w:val="21"/>
                    </w:rPr>
                    <w:t>废气量</w:t>
                  </w:r>
                  <w:r>
                    <w:rPr>
                      <w:rFonts w:ascii="Times New Roman" w:hAnsi="Times New Roman"/>
                      <w:color w:val="auto"/>
                      <w:sz w:val="21"/>
                      <w:szCs w:val="21"/>
                    </w:rPr>
                    <w:t xml:space="preserve"> </w:t>
                  </w:r>
                  <w:r>
                    <w:rPr>
                      <w:rFonts w:hint="eastAsia" w:ascii="Times New Roman" w:hAnsi="Times New Roman"/>
                      <w:color w:val="auto"/>
                      <w:sz w:val="21"/>
                      <w:szCs w:val="21"/>
                    </w:rPr>
                    <w:t>万</w:t>
                  </w:r>
                  <w:r>
                    <w:rPr>
                      <w:rFonts w:ascii="Times New Roman" w:hAnsi="Times New Roman"/>
                      <w:color w:val="auto"/>
                      <w:sz w:val="21"/>
                      <w:szCs w:val="21"/>
                    </w:rPr>
                    <w:t>m</w:t>
                  </w:r>
                  <w:r>
                    <w:rPr>
                      <w:rFonts w:ascii="Times New Roman" w:hAnsi="Times New Roman"/>
                      <w:color w:val="auto"/>
                      <w:sz w:val="21"/>
                      <w:szCs w:val="21"/>
                      <w:vertAlign w:val="superscript"/>
                    </w:rPr>
                    <w:t>3</w:t>
                  </w:r>
                  <w:r>
                    <w:rPr>
                      <w:rFonts w:ascii="Times New Roman" w:hAnsi="Times New Roman"/>
                      <w:color w:val="auto"/>
                      <w:sz w:val="21"/>
                      <w:szCs w:val="21"/>
                    </w:rPr>
                    <w:t>/a</w:t>
                  </w:r>
                </w:p>
              </w:tc>
              <w:tc>
                <w:tcPr>
                  <w:tcW w:w="1665" w:type="dxa"/>
                  <w:gridSpan w:val="2"/>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hint="eastAsia" w:ascii="Times New Roman" w:hAnsi="Times New Roman"/>
                      <w:color w:val="auto"/>
                      <w:sz w:val="21"/>
                      <w:szCs w:val="21"/>
                    </w:rPr>
                    <w:t>2</w:t>
                  </w:r>
                  <w:r>
                    <w:rPr>
                      <w:rFonts w:ascii="Times New Roman" w:hAnsi="Times New Roman"/>
                      <w:color w:val="auto"/>
                      <w:sz w:val="21"/>
                      <w:szCs w:val="21"/>
                    </w:rPr>
                    <w:t>2420.8</w:t>
                  </w:r>
                </w:p>
              </w:tc>
              <w:tc>
                <w:tcPr>
                  <w:tcW w:w="1784" w:type="dxa"/>
                  <w:gridSpan w:val="2"/>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hint="eastAsia" w:ascii="Times New Roman" w:hAnsi="Times New Roman"/>
                      <w:color w:val="auto"/>
                      <w:sz w:val="21"/>
                      <w:szCs w:val="21"/>
                    </w:rPr>
                    <w:t>1</w:t>
                  </w:r>
                  <w:r>
                    <w:rPr>
                      <w:rFonts w:ascii="Times New Roman" w:hAnsi="Times New Roman"/>
                      <w:color w:val="auto"/>
                      <w:sz w:val="21"/>
                      <w:szCs w:val="21"/>
                    </w:rPr>
                    <w:t>4181.3</w:t>
                  </w:r>
                </w:p>
              </w:tc>
              <w:tc>
                <w:tcPr>
                  <w:tcW w:w="1783" w:type="dxa"/>
                  <w:gridSpan w:val="2"/>
                  <w:tcMar>
                    <w:left w:w="57" w:type="dxa"/>
                    <w:right w:w="57" w:type="dxa"/>
                  </w:tcMar>
                  <w:vAlign w:val="center"/>
                </w:tcPr>
                <w:p>
                  <w:pPr>
                    <w:pStyle w:val="2"/>
                    <w:adjustRightInd w:val="0"/>
                    <w:snapToGrid w:val="0"/>
                    <w:jc w:val="center"/>
                    <w:rPr>
                      <w:rFonts w:ascii="Times New Roman" w:hAnsi="Times New Roman" w:cs="Times New Roman"/>
                      <w:color w:val="auto"/>
                      <w:kern w:val="0"/>
                      <w:sz w:val="21"/>
                      <w:szCs w:val="21"/>
                      <w:lang w:bidi="ar"/>
                    </w:rPr>
                  </w:pPr>
                  <w:r>
                    <w:rPr>
                      <w:rFonts w:hint="eastAsia" w:ascii="Times New Roman" w:hAnsi="Times New Roman"/>
                      <w:color w:val="auto"/>
                      <w:sz w:val="21"/>
                      <w:szCs w:val="21"/>
                    </w:rPr>
                    <w:t>1</w:t>
                  </w:r>
                  <w:r>
                    <w:rPr>
                      <w:rFonts w:ascii="Times New Roman" w:hAnsi="Times New Roman"/>
                      <w:color w:val="auto"/>
                      <w:sz w:val="21"/>
                      <w:szCs w:val="21"/>
                    </w:rPr>
                    <w:t>4181.3</w:t>
                  </w:r>
                </w:p>
              </w:tc>
              <w:tc>
                <w:tcPr>
                  <w:tcW w:w="878" w:type="dxa"/>
                  <w:tcMar>
                    <w:left w:w="57" w:type="dxa"/>
                    <w:right w:w="57" w:type="dxa"/>
                  </w:tcMar>
                  <w:vAlign w:val="center"/>
                </w:tcPr>
                <w:p>
                  <w:pPr>
                    <w:pStyle w:val="2"/>
                    <w:adjustRightInd w:val="0"/>
                    <w:snapToGrid w:val="0"/>
                    <w:jc w:val="center"/>
                    <w:rPr>
                      <w:rFonts w:ascii="Times New Roman" w:hAnsi="Times New Roman" w:cs="Times New Roman"/>
                      <w:color w:val="auto"/>
                      <w:kern w:val="0"/>
                      <w:sz w:val="21"/>
                      <w:szCs w:val="21"/>
                      <w:lang w:bidi="ar"/>
                    </w:rPr>
                  </w:pPr>
                  <w:r>
                    <w:rPr>
                      <w:rFonts w:hint="eastAsia" w:ascii="Times New Roman" w:hAnsi="Times New Roman"/>
                      <w:color w:val="auto"/>
                      <w:sz w:val="21"/>
                      <w:szCs w:val="21"/>
                    </w:rPr>
                    <w:t>2</w:t>
                  </w:r>
                  <w:r>
                    <w:rPr>
                      <w:rFonts w:ascii="Times New Roman" w:hAnsi="Times New Roman"/>
                      <w:color w:val="auto"/>
                      <w:sz w:val="21"/>
                      <w:szCs w:val="21"/>
                    </w:rPr>
                    <w:t>2420.8</w:t>
                  </w:r>
                </w:p>
              </w:tc>
              <w:tc>
                <w:tcPr>
                  <w:tcW w:w="934" w:type="dxa"/>
                  <w:tcMar>
                    <w:left w:w="57" w:type="dxa"/>
                    <w:right w:w="57" w:type="dxa"/>
                  </w:tcMar>
                  <w:vAlign w:val="center"/>
                </w:tcPr>
                <w:p>
                  <w:pPr>
                    <w:widowControl/>
                    <w:adjustRightInd w:val="0"/>
                    <w:snapToGrid w:val="0"/>
                    <w:jc w:val="center"/>
                    <w:textAlignment w:val="center"/>
                    <w:rPr>
                      <w:rFonts w:ascii="Times New Roman" w:hAnsi="Times New Roman"/>
                      <w:color w:val="auto"/>
                      <w:sz w:val="21"/>
                      <w:szCs w:val="21"/>
                    </w:rPr>
                  </w:pPr>
                  <w:r>
                    <w:rPr>
                      <w:rFonts w:hint="eastAsia" w:ascii="Times New Roman" w:hAnsi="Times New Roman"/>
                      <w:color w:val="auto"/>
                      <w:sz w:val="21"/>
                      <w:szCs w:val="21"/>
                    </w:rPr>
                    <w:t>-</w:t>
                  </w:r>
                  <w:r>
                    <w:rPr>
                      <w:rFonts w:ascii="Times New Roman" w:hAnsi="Times New Roman"/>
                      <w:color w:val="auto"/>
                      <w:sz w:val="21"/>
                      <w:szCs w:val="21"/>
                    </w:rPr>
                    <w:t>8239.5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28" w:type="dxa"/>
                  <w:vMerge w:val="continue"/>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p>
              </w:tc>
              <w:tc>
                <w:tcPr>
                  <w:tcW w:w="752" w:type="dxa"/>
                  <w:vMerge w:val="continue"/>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p>
              </w:tc>
              <w:tc>
                <w:tcPr>
                  <w:tcW w:w="660"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kern w:val="0"/>
                      <w:sz w:val="21"/>
                      <w:szCs w:val="21"/>
                    </w:rPr>
                  </w:pPr>
                  <w:r>
                    <w:rPr>
                      <w:rFonts w:ascii="Times New Roman" w:hAnsi="Times New Roman"/>
                      <w:color w:val="auto"/>
                      <w:kern w:val="0"/>
                      <w:sz w:val="21"/>
                      <w:szCs w:val="21"/>
                    </w:rPr>
                    <w:t>SO</w:t>
                  </w:r>
                  <w:r>
                    <w:rPr>
                      <w:rFonts w:ascii="Times New Roman" w:hAnsi="Times New Roman"/>
                      <w:color w:val="auto"/>
                      <w:kern w:val="0"/>
                      <w:sz w:val="21"/>
                      <w:szCs w:val="21"/>
                      <w:vertAlign w:val="subscript"/>
                    </w:rPr>
                    <w:t>2</w:t>
                  </w:r>
                </w:p>
              </w:tc>
              <w:tc>
                <w:tcPr>
                  <w:tcW w:w="787" w:type="dxa"/>
                  <w:tcMar>
                    <w:left w:w="57" w:type="dxa"/>
                    <w:right w:w="57" w:type="dxa"/>
                  </w:tcMar>
                  <w:vAlign w:val="center"/>
                </w:tcPr>
                <w:p>
                  <w:pPr>
                    <w:pStyle w:val="2"/>
                    <w:adjustRightInd w:val="0"/>
                    <w:snapToGrid w:val="0"/>
                    <w:jc w:val="center"/>
                    <w:rPr>
                      <w:rFonts w:ascii="Times New Roman" w:hAnsi="Times New Roman" w:eastAsia="等线" w:cs="Times New Roman"/>
                      <w:color w:val="auto"/>
                      <w:sz w:val="21"/>
                      <w:szCs w:val="21"/>
                    </w:rPr>
                  </w:pPr>
                  <w:r>
                    <w:rPr>
                      <w:rFonts w:ascii="Times New Roman" w:hAnsi="Times New Roman" w:eastAsia="等线" w:cs="Times New Roman"/>
                      <w:color w:val="auto"/>
                      <w:sz w:val="21"/>
                      <w:szCs w:val="21"/>
                    </w:rPr>
                    <w:t>34.75</w:t>
                  </w:r>
                </w:p>
              </w:tc>
              <w:tc>
                <w:tcPr>
                  <w:tcW w:w="878"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ascii="Times New Roman" w:hAnsi="Times New Roman"/>
                      <w:color w:val="auto"/>
                      <w:sz w:val="21"/>
                      <w:szCs w:val="21"/>
                    </w:rPr>
                    <w:t>13.9</w:t>
                  </w:r>
                </w:p>
              </w:tc>
              <w:tc>
                <w:tcPr>
                  <w:tcW w:w="898"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hint="eastAsia" w:ascii="Times New Roman" w:hAnsi="Times New Roman"/>
                      <w:color w:val="auto"/>
                      <w:sz w:val="21"/>
                      <w:szCs w:val="21"/>
                    </w:rPr>
                    <w:t>11.05</w:t>
                  </w:r>
                </w:p>
              </w:tc>
              <w:tc>
                <w:tcPr>
                  <w:tcW w:w="886"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hint="eastAsia" w:ascii="Times New Roman" w:hAnsi="Times New Roman"/>
                      <w:color w:val="auto"/>
                      <w:sz w:val="21"/>
                      <w:szCs w:val="21"/>
                    </w:rPr>
                    <w:t>11.05</w:t>
                  </w:r>
                </w:p>
              </w:tc>
              <w:tc>
                <w:tcPr>
                  <w:tcW w:w="898" w:type="dxa"/>
                  <w:tcMar>
                    <w:left w:w="57" w:type="dxa"/>
                    <w:right w:w="57" w:type="dxa"/>
                  </w:tcMar>
                  <w:vAlign w:val="center"/>
                </w:tcPr>
                <w:p>
                  <w:pPr>
                    <w:pStyle w:val="2"/>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11.05</w:t>
                  </w:r>
                </w:p>
              </w:tc>
              <w:tc>
                <w:tcPr>
                  <w:tcW w:w="885" w:type="dxa"/>
                  <w:tcMar>
                    <w:left w:w="57" w:type="dxa"/>
                    <w:right w:w="57" w:type="dxa"/>
                  </w:tcMar>
                  <w:vAlign w:val="center"/>
                </w:tcPr>
                <w:p>
                  <w:pPr>
                    <w:pStyle w:val="2"/>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11.05</w:t>
                  </w:r>
                </w:p>
              </w:tc>
              <w:tc>
                <w:tcPr>
                  <w:tcW w:w="878" w:type="dxa"/>
                  <w:tcMar>
                    <w:left w:w="57" w:type="dxa"/>
                    <w:right w:w="57" w:type="dxa"/>
                  </w:tcMar>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13.9</w:t>
                  </w:r>
                </w:p>
              </w:tc>
              <w:tc>
                <w:tcPr>
                  <w:tcW w:w="934" w:type="dxa"/>
                  <w:tcMar>
                    <w:left w:w="57" w:type="dxa"/>
                    <w:right w:w="57" w:type="dxa"/>
                  </w:tcMar>
                  <w:vAlign w:val="center"/>
                </w:tcPr>
                <w:p>
                  <w:pPr>
                    <w:widowControl/>
                    <w:adjustRightInd w:val="0"/>
                    <w:snapToGrid w:val="0"/>
                    <w:jc w:val="center"/>
                    <w:textAlignment w:val="center"/>
                    <w:rPr>
                      <w:rFonts w:ascii="Times New Roman" w:hAnsi="Times New Roman" w:eastAsia="等线"/>
                      <w:color w:val="auto"/>
                      <w:sz w:val="21"/>
                      <w:szCs w:val="21"/>
                    </w:rPr>
                  </w:pPr>
                  <w:r>
                    <w:rPr>
                      <w:rFonts w:ascii="Times New Roman" w:hAnsi="Times New Roman" w:eastAsia="等线"/>
                      <w:color w:val="auto"/>
                      <w:sz w:val="21"/>
                      <w:szCs w:val="21"/>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dxa"/>
                  <w:vMerge w:val="continue"/>
                  <w:tcMar>
                    <w:left w:w="57" w:type="dxa"/>
                    <w:right w:w="57" w:type="dxa"/>
                  </w:tcMar>
                  <w:vAlign w:val="center"/>
                </w:tcPr>
                <w:p>
                  <w:pPr>
                    <w:pStyle w:val="37"/>
                    <w:adjustRightInd w:val="0"/>
                    <w:snapToGrid w:val="0"/>
                    <w:spacing w:line="0" w:lineRule="atLeast"/>
                    <w:jc w:val="center"/>
                    <w:rPr>
                      <w:rFonts w:ascii="Times New Roman" w:hAnsi="Times New Roman"/>
                      <w:color w:val="auto"/>
                      <w:sz w:val="21"/>
                      <w:szCs w:val="21"/>
                    </w:rPr>
                  </w:pPr>
                </w:p>
              </w:tc>
              <w:tc>
                <w:tcPr>
                  <w:tcW w:w="752" w:type="dxa"/>
                  <w:vMerge w:val="continue"/>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p>
              </w:tc>
              <w:tc>
                <w:tcPr>
                  <w:tcW w:w="660"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ascii="Times New Roman" w:hAnsi="Times New Roman"/>
                      <w:color w:val="auto"/>
                      <w:kern w:val="0"/>
                      <w:sz w:val="21"/>
                      <w:szCs w:val="21"/>
                    </w:rPr>
                    <w:t>NO</w:t>
                  </w:r>
                  <w:r>
                    <w:rPr>
                      <w:rFonts w:ascii="Times New Roman" w:hAnsi="Times New Roman"/>
                      <w:color w:val="auto"/>
                      <w:kern w:val="0"/>
                      <w:sz w:val="21"/>
                      <w:szCs w:val="21"/>
                      <w:vertAlign w:val="subscript"/>
                    </w:rPr>
                    <w:t>X</w:t>
                  </w:r>
                </w:p>
              </w:tc>
              <w:tc>
                <w:tcPr>
                  <w:tcW w:w="787" w:type="dxa"/>
                  <w:tcMar>
                    <w:left w:w="57" w:type="dxa"/>
                    <w:right w:w="57" w:type="dxa"/>
                  </w:tcMar>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eastAsia="等线" w:cs="Times New Roman"/>
                      <w:color w:val="auto"/>
                      <w:sz w:val="21"/>
                      <w:szCs w:val="21"/>
                    </w:rPr>
                    <w:t>18.8</w:t>
                  </w:r>
                </w:p>
              </w:tc>
              <w:tc>
                <w:tcPr>
                  <w:tcW w:w="878"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ascii="Times New Roman" w:hAnsi="Times New Roman"/>
                      <w:color w:val="auto"/>
                      <w:sz w:val="21"/>
                      <w:szCs w:val="21"/>
                    </w:rPr>
                    <w:t>18.8</w:t>
                  </w:r>
                </w:p>
              </w:tc>
              <w:tc>
                <w:tcPr>
                  <w:tcW w:w="898"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hint="eastAsia" w:ascii="Times New Roman" w:hAnsi="Times New Roman"/>
                      <w:color w:val="auto"/>
                      <w:sz w:val="21"/>
                      <w:szCs w:val="21"/>
                    </w:rPr>
                    <w:t>18.44</w:t>
                  </w:r>
                </w:p>
              </w:tc>
              <w:tc>
                <w:tcPr>
                  <w:tcW w:w="886"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hint="eastAsia" w:ascii="Times New Roman" w:hAnsi="Times New Roman"/>
                      <w:color w:val="auto"/>
                      <w:sz w:val="21"/>
                      <w:szCs w:val="21"/>
                    </w:rPr>
                    <w:t>18.44</w:t>
                  </w:r>
                </w:p>
              </w:tc>
              <w:tc>
                <w:tcPr>
                  <w:tcW w:w="898" w:type="dxa"/>
                  <w:tcMar>
                    <w:left w:w="57" w:type="dxa"/>
                    <w:right w:w="57" w:type="dxa"/>
                  </w:tcMar>
                  <w:vAlign w:val="center"/>
                </w:tcPr>
                <w:p>
                  <w:pPr>
                    <w:pStyle w:val="2"/>
                    <w:adjustRightInd w:val="0"/>
                    <w:snapToGrid w:val="0"/>
                    <w:jc w:val="center"/>
                    <w:rPr>
                      <w:rFonts w:ascii="Times New Roman" w:hAnsi="Times New Roman" w:cs="Times New Roman"/>
                      <w:color w:val="auto"/>
                      <w:kern w:val="0"/>
                      <w:sz w:val="21"/>
                      <w:szCs w:val="21"/>
                      <w:lang w:bidi="ar"/>
                    </w:rPr>
                  </w:pPr>
                  <w:r>
                    <w:rPr>
                      <w:rFonts w:hint="eastAsia" w:ascii="Times New Roman" w:hAnsi="Times New Roman"/>
                      <w:color w:val="auto"/>
                      <w:sz w:val="21"/>
                      <w:szCs w:val="21"/>
                    </w:rPr>
                    <w:t>18.44</w:t>
                  </w:r>
                </w:p>
              </w:tc>
              <w:tc>
                <w:tcPr>
                  <w:tcW w:w="885" w:type="dxa"/>
                  <w:tcMar>
                    <w:left w:w="57" w:type="dxa"/>
                    <w:right w:w="57" w:type="dxa"/>
                  </w:tcMar>
                  <w:vAlign w:val="center"/>
                </w:tcPr>
                <w:p>
                  <w:pPr>
                    <w:pStyle w:val="2"/>
                    <w:adjustRightInd w:val="0"/>
                    <w:snapToGrid w:val="0"/>
                    <w:jc w:val="center"/>
                    <w:rPr>
                      <w:rFonts w:ascii="Times New Roman" w:hAnsi="Times New Roman" w:cs="Times New Roman"/>
                      <w:color w:val="auto"/>
                      <w:kern w:val="0"/>
                      <w:sz w:val="21"/>
                      <w:szCs w:val="21"/>
                      <w:lang w:bidi="ar"/>
                    </w:rPr>
                  </w:pPr>
                  <w:r>
                    <w:rPr>
                      <w:rFonts w:hint="eastAsia" w:ascii="Times New Roman" w:hAnsi="Times New Roman"/>
                      <w:color w:val="auto"/>
                      <w:sz w:val="21"/>
                      <w:szCs w:val="21"/>
                    </w:rPr>
                    <w:t>18.44</w:t>
                  </w:r>
                </w:p>
              </w:tc>
              <w:tc>
                <w:tcPr>
                  <w:tcW w:w="878" w:type="dxa"/>
                  <w:tcMar>
                    <w:left w:w="57" w:type="dxa"/>
                    <w:right w:w="57" w:type="dxa"/>
                  </w:tcMar>
                  <w:vAlign w:val="center"/>
                </w:tcPr>
                <w:p>
                  <w:pPr>
                    <w:pStyle w:val="2"/>
                    <w:adjustRightInd w:val="0"/>
                    <w:snapToGrid w:val="0"/>
                    <w:jc w:val="center"/>
                    <w:rPr>
                      <w:rFonts w:ascii="Times New Roman" w:hAnsi="Times New Roman" w:cs="Times New Roman"/>
                      <w:color w:val="auto"/>
                      <w:kern w:val="0"/>
                      <w:sz w:val="21"/>
                      <w:szCs w:val="21"/>
                      <w:lang w:bidi="ar"/>
                    </w:rPr>
                  </w:pPr>
                  <w:r>
                    <w:rPr>
                      <w:rFonts w:ascii="Times New Roman" w:hAnsi="Times New Roman" w:cs="Times New Roman"/>
                      <w:color w:val="auto"/>
                      <w:sz w:val="21"/>
                      <w:szCs w:val="21"/>
                    </w:rPr>
                    <w:t>18.8</w:t>
                  </w:r>
                </w:p>
              </w:tc>
              <w:tc>
                <w:tcPr>
                  <w:tcW w:w="934" w:type="dxa"/>
                  <w:tcMar>
                    <w:left w:w="57" w:type="dxa"/>
                    <w:right w:w="57" w:type="dxa"/>
                  </w:tcMar>
                  <w:vAlign w:val="center"/>
                </w:tcPr>
                <w:p>
                  <w:pPr>
                    <w:widowControl/>
                    <w:adjustRightInd w:val="0"/>
                    <w:snapToGrid w:val="0"/>
                    <w:jc w:val="center"/>
                    <w:textAlignment w:val="center"/>
                    <w:rPr>
                      <w:rFonts w:ascii="Times New Roman" w:hAnsi="Times New Roman"/>
                      <w:color w:val="auto"/>
                      <w:sz w:val="21"/>
                      <w:szCs w:val="21"/>
                    </w:rPr>
                  </w:pPr>
                  <w:r>
                    <w:rPr>
                      <w:rFonts w:ascii="Times New Roman" w:hAnsi="Times New Roman" w:eastAsia="等线"/>
                      <w:color w:val="auto"/>
                      <w:sz w:val="21"/>
                      <w:szCs w:val="21"/>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dxa"/>
                  <w:vMerge w:val="continue"/>
                  <w:tcMar>
                    <w:left w:w="57" w:type="dxa"/>
                    <w:right w:w="57" w:type="dxa"/>
                  </w:tcMar>
                  <w:vAlign w:val="center"/>
                </w:tcPr>
                <w:p>
                  <w:pPr>
                    <w:pStyle w:val="37"/>
                    <w:adjustRightInd w:val="0"/>
                    <w:snapToGrid w:val="0"/>
                    <w:spacing w:line="0" w:lineRule="atLeast"/>
                    <w:jc w:val="center"/>
                    <w:rPr>
                      <w:rFonts w:ascii="Times New Roman" w:hAnsi="Times New Roman"/>
                      <w:color w:val="auto"/>
                      <w:sz w:val="21"/>
                      <w:szCs w:val="21"/>
                    </w:rPr>
                  </w:pPr>
                </w:p>
              </w:tc>
              <w:tc>
                <w:tcPr>
                  <w:tcW w:w="752" w:type="dxa"/>
                  <w:vMerge w:val="continue"/>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p>
              </w:tc>
              <w:tc>
                <w:tcPr>
                  <w:tcW w:w="660"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hint="eastAsia" w:ascii="Times New Roman" w:hAnsi="Times New Roman"/>
                      <w:color w:val="auto"/>
                      <w:sz w:val="21"/>
                      <w:szCs w:val="21"/>
                    </w:rPr>
                    <w:t>PM</w:t>
                  </w:r>
                  <w:r>
                    <w:rPr>
                      <w:rFonts w:ascii="Times New Roman" w:hAnsi="Times New Roman"/>
                      <w:color w:val="auto"/>
                      <w:sz w:val="21"/>
                      <w:szCs w:val="21"/>
                      <w:vertAlign w:val="subscript"/>
                    </w:rPr>
                    <w:t>10</w:t>
                  </w:r>
                </w:p>
              </w:tc>
              <w:tc>
                <w:tcPr>
                  <w:tcW w:w="787" w:type="dxa"/>
                  <w:tcMar>
                    <w:left w:w="57" w:type="dxa"/>
                    <w:right w:w="57" w:type="dxa"/>
                  </w:tcMar>
                  <w:vAlign w:val="center"/>
                </w:tcPr>
                <w:p>
                  <w:pPr>
                    <w:pStyle w:val="2"/>
                    <w:adjustRightInd w:val="0"/>
                    <w:snapToGrid w:val="0"/>
                    <w:jc w:val="center"/>
                    <w:rPr>
                      <w:rFonts w:ascii="Times New Roman" w:hAnsi="Times New Roman" w:cs="Times New Roman"/>
                      <w:color w:val="auto"/>
                      <w:sz w:val="21"/>
                      <w:szCs w:val="21"/>
                    </w:rPr>
                  </w:pPr>
                  <w:r>
                    <w:rPr>
                      <w:rFonts w:ascii="Times New Roman" w:hAnsi="Times New Roman" w:eastAsia="等线" w:cs="Times New Roman"/>
                      <w:color w:val="auto"/>
                      <w:sz w:val="21"/>
                      <w:szCs w:val="21"/>
                    </w:rPr>
                    <w:t>66</w:t>
                  </w:r>
                </w:p>
              </w:tc>
              <w:tc>
                <w:tcPr>
                  <w:tcW w:w="878"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ascii="Times New Roman" w:hAnsi="Times New Roman"/>
                      <w:color w:val="auto"/>
                      <w:sz w:val="21"/>
                      <w:szCs w:val="21"/>
                    </w:rPr>
                    <w:t>6.6</w:t>
                  </w:r>
                </w:p>
              </w:tc>
              <w:tc>
                <w:tcPr>
                  <w:tcW w:w="898"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hint="eastAsia" w:ascii="Times New Roman" w:hAnsi="Times New Roman"/>
                      <w:color w:val="auto"/>
                      <w:sz w:val="21"/>
                      <w:szCs w:val="21"/>
                    </w:rPr>
                    <w:t>147.68</w:t>
                  </w:r>
                </w:p>
              </w:tc>
              <w:tc>
                <w:tcPr>
                  <w:tcW w:w="886"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hint="eastAsia" w:ascii="Times New Roman" w:hAnsi="Times New Roman"/>
                      <w:color w:val="auto"/>
                      <w:sz w:val="21"/>
                      <w:szCs w:val="21"/>
                    </w:rPr>
                    <w:t>1.48</w:t>
                  </w:r>
                </w:p>
              </w:tc>
              <w:tc>
                <w:tcPr>
                  <w:tcW w:w="898" w:type="dxa"/>
                  <w:tcMar>
                    <w:left w:w="57" w:type="dxa"/>
                    <w:right w:w="57" w:type="dxa"/>
                  </w:tcMar>
                  <w:vAlign w:val="center"/>
                </w:tcPr>
                <w:p>
                  <w:pPr>
                    <w:pStyle w:val="2"/>
                    <w:adjustRightInd w:val="0"/>
                    <w:snapToGrid w:val="0"/>
                    <w:jc w:val="center"/>
                    <w:rPr>
                      <w:rFonts w:ascii="Times New Roman" w:hAnsi="Times New Roman" w:cs="Times New Roman"/>
                      <w:color w:val="auto"/>
                      <w:kern w:val="0"/>
                      <w:sz w:val="21"/>
                      <w:szCs w:val="21"/>
                      <w:lang w:bidi="ar"/>
                    </w:rPr>
                  </w:pPr>
                  <w:r>
                    <w:rPr>
                      <w:rFonts w:hint="eastAsia" w:ascii="Times New Roman" w:hAnsi="Times New Roman"/>
                      <w:color w:val="auto"/>
                      <w:sz w:val="21"/>
                      <w:szCs w:val="21"/>
                    </w:rPr>
                    <w:t>147.68</w:t>
                  </w:r>
                </w:p>
              </w:tc>
              <w:tc>
                <w:tcPr>
                  <w:tcW w:w="885" w:type="dxa"/>
                  <w:tcMar>
                    <w:left w:w="57" w:type="dxa"/>
                    <w:right w:w="57" w:type="dxa"/>
                  </w:tcMar>
                  <w:vAlign w:val="center"/>
                </w:tcPr>
                <w:p>
                  <w:pPr>
                    <w:pStyle w:val="2"/>
                    <w:adjustRightInd w:val="0"/>
                    <w:snapToGrid w:val="0"/>
                    <w:jc w:val="center"/>
                    <w:rPr>
                      <w:rFonts w:ascii="Times New Roman" w:hAnsi="Times New Roman" w:cs="Times New Roman"/>
                      <w:color w:val="auto"/>
                      <w:kern w:val="0"/>
                      <w:sz w:val="21"/>
                      <w:szCs w:val="21"/>
                      <w:lang w:bidi="ar"/>
                    </w:rPr>
                  </w:pPr>
                  <w:r>
                    <w:rPr>
                      <w:rFonts w:hint="eastAsia" w:ascii="Times New Roman" w:hAnsi="Times New Roman"/>
                      <w:color w:val="auto"/>
                      <w:sz w:val="21"/>
                      <w:szCs w:val="21"/>
                    </w:rPr>
                    <w:t>1.48</w:t>
                  </w:r>
                </w:p>
              </w:tc>
              <w:tc>
                <w:tcPr>
                  <w:tcW w:w="878" w:type="dxa"/>
                  <w:tcMar>
                    <w:left w:w="57" w:type="dxa"/>
                    <w:right w:w="57" w:type="dxa"/>
                  </w:tcMar>
                  <w:vAlign w:val="center"/>
                </w:tcPr>
                <w:p>
                  <w:pPr>
                    <w:pStyle w:val="2"/>
                    <w:adjustRightInd w:val="0"/>
                    <w:snapToGrid w:val="0"/>
                    <w:jc w:val="center"/>
                    <w:rPr>
                      <w:rFonts w:ascii="Times New Roman" w:hAnsi="Times New Roman" w:cs="Times New Roman"/>
                      <w:color w:val="auto"/>
                      <w:kern w:val="0"/>
                      <w:sz w:val="21"/>
                      <w:szCs w:val="21"/>
                      <w:lang w:bidi="ar"/>
                    </w:rPr>
                  </w:pPr>
                  <w:r>
                    <w:rPr>
                      <w:rFonts w:ascii="Times New Roman" w:hAnsi="Times New Roman" w:cs="Times New Roman"/>
                      <w:color w:val="auto"/>
                      <w:sz w:val="21"/>
                      <w:szCs w:val="21"/>
                    </w:rPr>
                    <w:t>6.6</w:t>
                  </w:r>
                </w:p>
              </w:tc>
              <w:tc>
                <w:tcPr>
                  <w:tcW w:w="934" w:type="dxa"/>
                  <w:tcMar>
                    <w:left w:w="57" w:type="dxa"/>
                    <w:right w:w="57" w:type="dxa"/>
                  </w:tcMar>
                  <w:vAlign w:val="center"/>
                </w:tcPr>
                <w:p>
                  <w:pPr>
                    <w:widowControl/>
                    <w:adjustRightInd w:val="0"/>
                    <w:snapToGrid w:val="0"/>
                    <w:jc w:val="center"/>
                    <w:textAlignment w:val="center"/>
                    <w:rPr>
                      <w:rFonts w:ascii="Times New Roman" w:hAnsi="Times New Roman"/>
                      <w:color w:val="auto"/>
                      <w:sz w:val="21"/>
                      <w:szCs w:val="21"/>
                    </w:rPr>
                  </w:pPr>
                  <w:r>
                    <w:rPr>
                      <w:rFonts w:ascii="Times New Roman" w:hAnsi="Times New Roman" w:eastAsia="等线"/>
                      <w:color w:val="auto"/>
                      <w:sz w:val="21"/>
                      <w:szCs w:val="21"/>
                    </w:rPr>
                    <w:t>-5.12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dxa"/>
                  <w:vMerge w:val="continue"/>
                  <w:tcMar>
                    <w:left w:w="57" w:type="dxa"/>
                    <w:right w:w="57" w:type="dxa"/>
                  </w:tcMar>
                  <w:vAlign w:val="center"/>
                </w:tcPr>
                <w:p>
                  <w:pPr>
                    <w:pStyle w:val="37"/>
                    <w:adjustRightInd w:val="0"/>
                    <w:snapToGrid w:val="0"/>
                    <w:spacing w:line="0" w:lineRule="atLeast"/>
                    <w:jc w:val="center"/>
                    <w:rPr>
                      <w:rFonts w:ascii="Times New Roman" w:hAnsi="Times New Roman"/>
                      <w:color w:val="auto"/>
                      <w:sz w:val="21"/>
                      <w:szCs w:val="21"/>
                    </w:rPr>
                  </w:pPr>
                </w:p>
              </w:tc>
              <w:tc>
                <w:tcPr>
                  <w:tcW w:w="752"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hint="eastAsia" w:ascii="Times New Roman" w:hAnsi="Times New Roman"/>
                      <w:color w:val="auto"/>
                      <w:sz w:val="21"/>
                      <w:szCs w:val="21"/>
                    </w:rPr>
                    <w:t>燃料棚</w:t>
                  </w:r>
                  <w:r>
                    <w:rPr>
                      <w:rFonts w:ascii="Times New Roman" w:hAnsi="Times New Roman"/>
                      <w:color w:val="auto"/>
                      <w:sz w:val="21"/>
                      <w:szCs w:val="21"/>
                    </w:rPr>
                    <w:t>粉尘</w:t>
                  </w:r>
                </w:p>
              </w:tc>
              <w:tc>
                <w:tcPr>
                  <w:tcW w:w="660"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hint="eastAsia" w:ascii="Times New Roman" w:hAnsi="Times New Roman"/>
                      <w:color w:val="auto"/>
                      <w:sz w:val="21"/>
                      <w:szCs w:val="21"/>
                    </w:rPr>
                    <w:t>TSP</w:t>
                  </w:r>
                </w:p>
              </w:tc>
              <w:tc>
                <w:tcPr>
                  <w:tcW w:w="787" w:type="dxa"/>
                  <w:tcMar>
                    <w:left w:w="57" w:type="dxa"/>
                    <w:right w:w="57"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0"/>
                      <w:sz w:val="21"/>
                      <w:szCs w:val="21"/>
                    </w:rPr>
                    <w:t>0.91</w:t>
                  </w:r>
                </w:p>
              </w:tc>
              <w:tc>
                <w:tcPr>
                  <w:tcW w:w="878" w:type="dxa"/>
                  <w:tcMar>
                    <w:left w:w="57" w:type="dxa"/>
                    <w:right w:w="57"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0"/>
                      <w:sz w:val="21"/>
                      <w:szCs w:val="21"/>
                    </w:rPr>
                    <w:t>0.37</w:t>
                  </w:r>
                </w:p>
              </w:tc>
              <w:tc>
                <w:tcPr>
                  <w:tcW w:w="898"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ascii="Times New Roman" w:hAnsi="Times New Roman"/>
                      <w:color w:val="auto"/>
                      <w:kern w:val="0"/>
                      <w:sz w:val="21"/>
                      <w:szCs w:val="21"/>
                    </w:rPr>
                    <w:t>6.80</w:t>
                  </w:r>
                </w:p>
              </w:tc>
              <w:tc>
                <w:tcPr>
                  <w:tcW w:w="886" w:type="dxa"/>
                  <w:tcMar>
                    <w:left w:w="57" w:type="dxa"/>
                    <w:right w:w="57" w:type="dxa"/>
                  </w:tcMar>
                  <w:vAlign w:val="center"/>
                </w:tcPr>
                <w:p>
                  <w:pPr>
                    <w:widowControl/>
                    <w:adjustRightInd w:val="0"/>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rPr>
                    <w:t>2.72</w:t>
                  </w:r>
                </w:p>
              </w:tc>
              <w:tc>
                <w:tcPr>
                  <w:tcW w:w="898"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rPr>
                    <w:t>6.80</w:t>
                  </w:r>
                </w:p>
              </w:tc>
              <w:tc>
                <w:tcPr>
                  <w:tcW w:w="885"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rPr>
                    <w:t>2.72</w:t>
                  </w:r>
                </w:p>
              </w:tc>
              <w:tc>
                <w:tcPr>
                  <w:tcW w:w="878"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rPr>
                    <w:t>0.37</w:t>
                  </w:r>
                </w:p>
              </w:tc>
              <w:tc>
                <w:tcPr>
                  <w:tcW w:w="934"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eastAsia="等线"/>
                      <w:color w:val="auto"/>
                      <w:sz w:val="21"/>
                      <w:szCs w:val="21"/>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dxa"/>
                  <w:vMerge w:val="restart"/>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ascii="Times New Roman" w:hAnsi="Times New Roman"/>
                      <w:color w:val="auto"/>
                      <w:sz w:val="21"/>
                      <w:szCs w:val="21"/>
                    </w:rPr>
                    <w:t>固废</w:t>
                  </w:r>
                </w:p>
              </w:tc>
              <w:tc>
                <w:tcPr>
                  <w:tcW w:w="1412" w:type="dxa"/>
                  <w:gridSpan w:val="2"/>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rPr>
                  </w:pPr>
                  <w:r>
                    <w:rPr>
                      <w:rFonts w:ascii="Times New Roman" w:hAnsi="Times New Roman"/>
                      <w:color w:val="auto"/>
                      <w:sz w:val="21"/>
                      <w:szCs w:val="21"/>
                    </w:rPr>
                    <w:t>锅炉</w:t>
                  </w:r>
                  <w:r>
                    <w:rPr>
                      <w:rFonts w:hint="eastAsia" w:ascii="Times New Roman" w:hAnsi="Times New Roman"/>
                      <w:color w:val="auto"/>
                      <w:sz w:val="21"/>
                      <w:szCs w:val="21"/>
                    </w:rPr>
                    <w:t>炉渣</w:t>
                  </w:r>
                </w:p>
              </w:tc>
              <w:tc>
                <w:tcPr>
                  <w:tcW w:w="787" w:type="dxa"/>
                  <w:tcMar>
                    <w:left w:w="57" w:type="dxa"/>
                    <w:right w:w="57"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130</w:t>
                  </w:r>
                </w:p>
              </w:tc>
              <w:tc>
                <w:tcPr>
                  <w:tcW w:w="878" w:type="dxa"/>
                  <w:tcMar>
                    <w:left w:w="57" w:type="dxa"/>
                    <w:right w:w="57"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0"/>
                      <w:sz w:val="21"/>
                      <w:szCs w:val="21"/>
                      <w:lang w:bidi="ar"/>
                    </w:rPr>
                    <w:t>0</w:t>
                  </w:r>
                </w:p>
              </w:tc>
              <w:tc>
                <w:tcPr>
                  <w:tcW w:w="898"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kern w:val="2"/>
                      <w:sz w:val="21"/>
                      <w:szCs w:val="21"/>
                    </w:rPr>
                  </w:pPr>
                  <w:r>
                    <w:rPr>
                      <w:rFonts w:ascii="Times New Roman" w:hAnsi="Times New Roman"/>
                      <w:color w:val="auto"/>
                      <w:kern w:val="2"/>
                      <w:sz w:val="21"/>
                      <w:szCs w:val="21"/>
                    </w:rPr>
                    <w:t>1197.58</w:t>
                  </w:r>
                </w:p>
              </w:tc>
              <w:tc>
                <w:tcPr>
                  <w:tcW w:w="886"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0</w:t>
                  </w:r>
                </w:p>
              </w:tc>
              <w:tc>
                <w:tcPr>
                  <w:tcW w:w="898"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2"/>
                      <w:sz w:val="21"/>
                      <w:szCs w:val="21"/>
                    </w:rPr>
                    <w:t>1197.58</w:t>
                  </w:r>
                </w:p>
              </w:tc>
              <w:tc>
                <w:tcPr>
                  <w:tcW w:w="885"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0</w:t>
                  </w:r>
                </w:p>
              </w:tc>
              <w:tc>
                <w:tcPr>
                  <w:tcW w:w="878"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0</w:t>
                  </w:r>
                </w:p>
              </w:tc>
              <w:tc>
                <w:tcPr>
                  <w:tcW w:w="934"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dxa"/>
                  <w:vMerge w:val="continue"/>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p>
              </w:tc>
              <w:tc>
                <w:tcPr>
                  <w:tcW w:w="1412" w:type="dxa"/>
                  <w:gridSpan w:val="2"/>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hint="eastAsia" w:ascii="Times New Roman" w:hAnsi="Times New Roman"/>
                      <w:color w:val="auto"/>
                      <w:sz w:val="21"/>
                      <w:szCs w:val="21"/>
                    </w:rPr>
                    <w:t>收尘灰</w:t>
                  </w:r>
                </w:p>
              </w:tc>
              <w:tc>
                <w:tcPr>
                  <w:tcW w:w="787" w:type="dxa"/>
                  <w:tcMar>
                    <w:left w:w="57" w:type="dxa"/>
                    <w:right w:w="57"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59.4</w:t>
                  </w:r>
                </w:p>
              </w:tc>
              <w:tc>
                <w:tcPr>
                  <w:tcW w:w="878" w:type="dxa"/>
                  <w:tcMar>
                    <w:left w:w="57" w:type="dxa"/>
                    <w:right w:w="57" w:type="dxa"/>
                  </w:tcMar>
                  <w:vAlign w:val="center"/>
                </w:tcPr>
                <w:p>
                  <w:pPr>
                    <w:adjustRightInd w:val="0"/>
                    <w:snapToGrid w:val="0"/>
                    <w:jc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0</w:t>
                  </w:r>
                </w:p>
              </w:tc>
              <w:tc>
                <w:tcPr>
                  <w:tcW w:w="898"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ascii="Times New Roman" w:hAnsi="Times New Roman"/>
                      <w:color w:val="auto"/>
                      <w:kern w:val="2"/>
                      <w:sz w:val="21"/>
                      <w:szCs w:val="21"/>
                    </w:rPr>
                    <w:t>146.20</w:t>
                  </w:r>
                </w:p>
              </w:tc>
              <w:tc>
                <w:tcPr>
                  <w:tcW w:w="886"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0</w:t>
                  </w:r>
                </w:p>
              </w:tc>
              <w:tc>
                <w:tcPr>
                  <w:tcW w:w="898"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2"/>
                      <w:sz w:val="21"/>
                      <w:szCs w:val="21"/>
                    </w:rPr>
                    <w:t>146.20</w:t>
                  </w:r>
                </w:p>
              </w:tc>
              <w:tc>
                <w:tcPr>
                  <w:tcW w:w="885"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0</w:t>
                  </w:r>
                </w:p>
              </w:tc>
              <w:tc>
                <w:tcPr>
                  <w:tcW w:w="878"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0</w:t>
                  </w:r>
                </w:p>
              </w:tc>
              <w:tc>
                <w:tcPr>
                  <w:tcW w:w="934"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dxa"/>
                  <w:vMerge w:val="continue"/>
                  <w:tcMar>
                    <w:left w:w="57" w:type="dxa"/>
                    <w:right w:w="57" w:type="dxa"/>
                  </w:tcMar>
                  <w:vAlign w:val="center"/>
                </w:tcPr>
                <w:p>
                  <w:pPr>
                    <w:pStyle w:val="37"/>
                    <w:adjustRightInd w:val="0"/>
                    <w:snapToGrid w:val="0"/>
                    <w:spacing w:line="0" w:lineRule="atLeast"/>
                    <w:jc w:val="center"/>
                    <w:rPr>
                      <w:rFonts w:ascii="Times New Roman" w:hAnsi="Times New Roman"/>
                      <w:color w:val="auto"/>
                      <w:sz w:val="21"/>
                      <w:szCs w:val="21"/>
                    </w:rPr>
                  </w:pPr>
                </w:p>
              </w:tc>
              <w:tc>
                <w:tcPr>
                  <w:tcW w:w="1412" w:type="dxa"/>
                  <w:gridSpan w:val="2"/>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ascii="Times New Roman" w:hAnsi="Times New Roman"/>
                      <w:color w:val="auto"/>
                      <w:sz w:val="21"/>
                      <w:szCs w:val="21"/>
                    </w:rPr>
                    <w:t>废离子交换树脂</w:t>
                  </w:r>
                </w:p>
              </w:tc>
              <w:tc>
                <w:tcPr>
                  <w:tcW w:w="787" w:type="dxa"/>
                  <w:tcMar>
                    <w:left w:w="57" w:type="dxa"/>
                    <w:right w:w="57"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0.01</w:t>
                  </w:r>
                </w:p>
              </w:tc>
              <w:tc>
                <w:tcPr>
                  <w:tcW w:w="878" w:type="dxa"/>
                  <w:tcMar>
                    <w:left w:w="57" w:type="dxa"/>
                    <w:right w:w="57" w:type="dxa"/>
                  </w:tcMar>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kern w:val="0"/>
                      <w:sz w:val="21"/>
                      <w:szCs w:val="21"/>
                      <w:lang w:bidi="ar"/>
                    </w:rPr>
                    <w:t>0</w:t>
                  </w:r>
                </w:p>
              </w:tc>
              <w:tc>
                <w:tcPr>
                  <w:tcW w:w="898" w:type="dxa"/>
                  <w:tcMar>
                    <w:left w:w="57" w:type="dxa"/>
                    <w:right w:w="57" w:type="dxa"/>
                  </w:tcMar>
                  <w:vAlign w:val="center"/>
                </w:tcPr>
                <w:p>
                  <w:pPr>
                    <w:pStyle w:val="37"/>
                    <w:adjustRightInd w:val="0"/>
                    <w:snapToGrid w:val="0"/>
                    <w:spacing w:line="0" w:lineRule="atLeast"/>
                    <w:ind w:firstLine="0" w:firstLineChars="0"/>
                    <w:jc w:val="center"/>
                    <w:rPr>
                      <w:rFonts w:ascii="Times New Roman" w:hAnsi="Times New Roman"/>
                      <w:color w:val="auto"/>
                      <w:sz w:val="21"/>
                      <w:szCs w:val="21"/>
                    </w:rPr>
                  </w:pPr>
                  <w:r>
                    <w:rPr>
                      <w:rFonts w:ascii="Times New Roman" w:hAnsi="Times New Roman"/>
                      <w:color w:val="auto"/>
                      <w:sz w:val="21"/>
                      <w:szCs w:val="21"/>
                    </w:rPr>
                    <w:t>0.01</w:t>
                  </w:r>
                </w:p>
              </w:tc>
              <w:tc>
                <w:tcPr>
                  <w:tcW w:w="886"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0</w:t>
                  </w:r>
                </w:p>
              </w:tc>
              <w:tc>
                <w:tcPr>
                  <w:tcW w:w="898"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sz w:val="21"/>
                      <w:szCs w:val="21"/>
                    </w:rPr>
                    <w:t>0.01</w:t>
                  </w:r>
                </w:p>
              </w:tc>
              <w:tc>
                <w:tcPr>
                  <w:tcW w:w="885"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0</w:t>
                  </w:r>
                </w:p>
              </w:tc>
              <w:tc>
                <w:tcPr>
                  <w:tcW w:w="878"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0</w:t>
                  </w:r>
                </w:p>
              </w:tc>
              <w:tc>
                <w:tcPr>
                  <w:tcW w:w="934" w:type="dxa"/>
                  <w:tcMar>
                    <w:left w:w="57" w:type="dxa"/>
                    <w:right w:w="57" w:type="dxa"/>
                  </w:tcMar>
                  <w:vAlign w:val="center"/>
                </w:tcPr>
                <w:p>
                  <w:pPr>
                    <w:widowControl/>
                    <w:adjustRightInd w:val="0"/>
                    <w:snapToGrid w:val="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0</w:t>
                  </w:r>
                </w:p>
              </w:tc>
            </w:tr>
          </w:tbl>
          <w:p>
            <w:pPr>
              <w:adjustRightInd w:val="0"/>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注：“+”为排放增加，“-”为排放减少</w:t>
            </w:r>
          </w:p>
          <w:p>
            <w:pPr>
              <w:adjustRightInd w:val="0"/>
              <w:snapToGrid w:val="0"/>
              <w:spacing w:line="360" w:lineRule="auto"/>
              <w:ind w:firstLine="480" w:firstLineChars="200"/>
              <w:rPr>
                <w:rFonts w:ascii="Times New Roman" w:hAnsi="Times New Roman"/>
                <w:color w:val="auto"/>
              </w:rPr>
            </w:pPr>
          </w:p>
        </w:tc>
      </w:tr>
    </w:tbl>
    <w:p>
      <w:pPr>
        <w:adjustRightInd w:val="0"/>
        <w:snapToGrid w:val="0"/>
        <w:spacing w:after="120" w:line="320" w:lineRule="atLeast"/>
        <w:outlineLvl w:val="0"/>
        <w:rPr>
          <w:rFonts w:ascii="Times New Roman" w:hAnsi="Times New Roman"/>
          <w:b/>
          <w:bCs/>
          <w:color w:val="auto"/>
          <w:sz w:val="30"/>
          <w:szCs w:val="30"/>
        </w:rPr>
      </w:pPr>
      <w:bookmarkStart w:id="43" w:name="_Toc9818"/>
      <w:r>
        <w:rPr>
          <w:rFonts w:ascii="Times New Roman" w:hAnsi="Times New Roman"/>
          <w:b/>
          <w:bCs/>
          <w:color w:val="auto"/>
          <w:sz w:val="30"/>
          <w:szCs w:val="30"/>
        </w:rPr>
        <w:br w:type="page"/>
      </w:r>
    </w:p>
    <w:p>
      <w:pPr>
        <w:adjustRightInd w:val="0"/>
        <w:snapToGrid w:val="0"/>
        <w:spacing w:after="120" w:line="320" w:lineRule="atLeast"/>
        <w:outlineLvl w:val="0"/>
        <w:rPr>
          <w:rFonts w:ascii="Times New Roman" w:hAnsi="Times New Roman"/>
          <w:b/>
          <w:bCs/>
          <w:color w:val="auto"/>
          <w:sz w:val="30"/>
          <w:szCs w:val="30"/>
        </w:rPr>
      </w:pPr>
      <w:r>
        <w:rPr>
          <w:rFonts w:ascii="Times New Roman" w:hAnsi="Times New Roman"/>
          <w:b/>
          <w:bCs/>
          <w:color w:val="auto"/>
          <w:sz w:val="30"/>
          <w:szCs w:val="30"/>
        </w:rPr>
        <w:t>表六、项目主要污染物产生及预计排放情况</w:t>
      </w:r>
      <w:bookmarkEnd w:id="43"/>
    </w:p>
    <w:tbl>
      <w:tblPr>
        <w:tblStyle w:val="3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470"/>
        <w:gridCol w:w="1074"/>
        <w:gridCol w:w="992"/>
        <w:gridCol w:w="1559"/>
        <w:gridCol w:w="1296"/>
        <w:gridCol w:w="1416"/>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dxa"/>
            <w:gridSpan w:val="2"/>
            <w:vMerge w:val="restart"/>
            <w:tcBorders>
              <w:top w:val="single" w:color="auto" w:sz="4" w:space="0"/>
              <w:left w:val="single" w:color="auto" w:sz="4" w:space="0"/>
              <w:right w:val="single" w:color="auto" w:sz="4" w:space="0"/>
              <w:tl2br w:val="single" w:color="auto" w:sz="4" w:space="0"/>
            </w:tcBorders>
            <w:vAlign w:val="center"/>
          </w:tcPr>
          <w:p>
            <w:pPr>
              <w:adjustRightInd w:val="0"/>
              <w:snapToGrid w:val="0"/>
              <w:spacing w:line="440" w:lineRule="atLeast"/>
              <w:ind w:right="-108"/>
              <w:jc w:val="right"/>
              <w:rPr>
                <w:rFonts w:ascii="Times New Roman" w:hAnsi="Times New Roman"/>
                <w:b/>
                <w:bCs/>
                <w:color w:val="auto"/>
                <w:sz w:val="21"/>
                <w:szCs w:val="21"/>
              </w:rPr>
            </w:pPr>
            <w:bookmarkStart w:id="44" w:name="_Toc20442"/>
            <w:r>
              <w:rPr>
                <w:rFonts w:ascii="Times New Roman" w:hAnsi="Times New Roman"/>
                <w:b/>
                <w:bCs/>
                <w:color w:val="auto"/>
                <w:sz w:val="21"/>
                <w:szCs w:val="21"/>
              </w:rPr>
              <w:t xml:space="preserve">  内容</w:t>
            </w:r>
          </w:p>
          <w:p>
            <w:pPr>
              <w:adjustRightInd w:val="0"/>
              <w:snapToGrid w:val="0"/>
              <w:spacing w:line="440" w:lineRule="atLeast"/>
              <w:rPr>
                <w:rFonts w:ascii="Times New Roman" w:hAnsi="Times New Roman"/>
                <w:b/>
                <w:bCs/>
                <w:color w:val="auto"/>
                <w:sz w:val="21"/>
                <w:szCs w:val="21"/>
              </w:rPr>
            </w:pPr>
            <w:r>
              <w:rPr>
                <w:rFonts w:ascii="Times New Roman" w:hAnsi="Times New Roman"/>
                <w:b/>
                <w:bCs/>
                <w:color w:val="auto"/>
                <w:sz w:val="21"/>
                <w:szCs w:val="21"/>
              </w:rPr>
              <w:t>类型</w:t>
            </w:r>
          </w:p>
        </w:tc>
        <w:tc>
          <w:tcPr>
            <w:tcW w:w="1074" w:type="dxa"/>
            <w:vMerge w:val="restart"/>
            <w:tcBorders>
              <w:top w:val="single" w:color="auto" w:sz="4" w:space="0"/>
              <w:left w:val="single" w:color="auto" w:sz="4" w:space="0"/>
              <w:right w:val="single" w:color="auto" w:sz="4" w:space="0"/>
            </w:tcBorders>
            <w:vAlign w:val="center"/>
          </w:tcPr>
          <w:p>
            <w:pPr>
              <w:pStyle w:val="8"/>
              <w:adjustRightInd w:val="0"/>
              <w:snapToGrid w:val="0"/>
              <w:spacing w:line="440" w:lineRule="atLeast"/>
              <w:rPr>
                <w:rFonts w:ascii="Times New Roman" w:hAnsi="Times New Roman"/>
                <w:b/>
                <w:bCs/>
                <w:color w:val="auto"/>
                <w:sz w:val="21"/>
                <w:szCs w:val="21"/>
              </w:rPr>
            </w:pPr>
            <w:r>
              <w:rPr>
                <w:rFonts w:ascii="Times New Roman" w:hAnsi="Times New Roman"/>
                <w:b/>
                <w:bCs/>
                <w:color w:val="auto"/>
                <w:sz w:val="21"/>
                <w:szCs w:val="21"/>
              </w:rPr>
              <w:t>排放源</w:t>
            </w:r>
          </w:p>
          <w:p>
            <w:pPr>
              <w:adjustRightInd w:val="0"/>
              <w:snapToGrid w:val="0"/>
              <w:spacing w:line="440" w:lineRule="atLeast"/>
              <w:jc w:val="center"/>
              <w:rPr>
                <w:rFonts w:ascii="Times New Roman" w:hAnsi="Times New Roman"/>
                <w:b/>
                <w:bCs/>
                <w:color w:val="auto"/>
                <w:sz w:val="21"/>
                <w:szCs w:val="21"/>
              </w:rPr>
            </w:pPr>
            <w:r>
              <w:rPr>
                <w:rFonts w:ascii="Times New Roman" w:hAnsi="Times New Roman"/>
                <w:b/>
                <w:bCs/>
                <w:color w:val="auto"/>
                <w:sz w:val="21"/>
                <w:szCs w:val="21"/>
              </w:rPr>
              <w:t>（编号）</w:t>
            </w:r>
          </w:p>
        </w:tc>
        <w:tc>
          <w:tcPr>
            <w:tcW w:w="992" w:type="dxa"/>
            <w:vMerge w:val="restart"/>
            <w:tcBorders>
              <w:top w:val="single" w:color="auto" w:sz="4" w:space="0"/>
              <w:left w:val="single" w:color="auto" w:sz="4" w:space="0"/>
              <w:right w:val="single" w:color="auto" w:sz="4" w:space="0"/>
            </w:tcBorders>
            <w:vAlign w:val="center"/>
          </w:tcPr>
          <w:p>
            <w:pPr>
              <w:adjustRightInd w:val="0"/>
              <w:snapToGrid w:val="0"/>
              <w:spacing w:line="440" w:lineRule="atLeast"/>
              <w:ind w:left="113" w:right="113"/>
              <w:jc w:val="center"/>
              <w:rPr>
                <w:rFonts w:ascii="Times New Roman" w:hAnsi="Times New Roman"/>
                <w:b/>
                <w:bCs/>
                <w:color w:val="auto"/>
                <w:sz w:val="21"/>
                <w:szCs w:val="21"/>
              </w:rPr>
            </w:pPr>
            <w:r>
              <w:rPr>
                <w:rFonts w:ascii="Times New Roman" w:hAnsi="Times New Roman"/>
                <w:b/>
                <w:bCs/>
                <w:color w:val="auto"/>
                <w:sz w:val="21"/>
                <w:szCs w:val="21"/>
              </w:rPr>
              <w:t>污染物</w:t>
            </w:r>
          </w:p>
          <w:p>
            <w:pPr>
              <w:adjustRightInd w:val="0"/>
              <w:snapToGrid w:val="0"/>
              <w:spacing w:line="440" w:lineRule="atLeast"/>
              <w:ind w:left="113" w:right="113"/>
              <w:jc w:val="center"/>
              <w:rPr>
                <w:rFonts w:ascii="Times New Roman" w:hAnsi="Times New Roman"/>
                <w:b/>
                <w:bCs/>
                <w:color w:val="auto"/>
                <w:sz w:val="21"/>
                <w:szCs w:val="21"/>
              </w:rPr>
            </w:pPr>
            <w:r>
              <w:rPr>
                <w:rFonts w:ascii="Times New Roman" w:hAnsi="Times New Roman"/>
                <w:b/>
                <w:bCs/>
                <w:color w:val="auto"/>
                <w:sz w:val="21"/>
                <w:szCs w:val="21"/>
              </w:rPr>
              <w:t>名称</w:t>
            </w:r>
          </w:p>
        </w:tc>
        <w:tc>
          <w:tcPr>
            <w:tcW w:w="2855" w:type="dxa"/>
            <w:gridSpan w:val="2"/>
            <w:tcBorders>
              <w:top w:val="single" w:color="auto" w:sz="4" w:space="0"/>
              <w:left w:val="single" w:color="auto" w:sz="4" w:space="0"/>
              <w:bottom w:val="single" w:color="000000" w:sz="2" w:space="0"/>
              <w:right w:val="single" w:color="auto" w:sz="4" w:space="0"/>
            </w:tcBorders>
            <w:vAlign w:val="center"/>
          </w:tcPr>
          <w:p>
            <w:pPr>
              <w:adjustRightInd w:val="0"/>
              <w:snapToGrid w:val="0"/>
              <w:spacing w:line="440" w:lineRule="atLeast"/>
              <w:jc w:val="center"/>
              <w:rPr>
                <w:rFonts w:ascii="Times New Roman" w:hAnsi="Times New Roman"/>
                <w:b/>
                <w:bCs/>
                <w:color w:val="auto"/>
                <w:sz w:val="21"/>
                <w:szCs w:val="21"/>
              </w:rPr>
            </w:pPr>
            <w:r>
              <w:rPr>
                <w:rFonts w:ascii="Times New Roman" w:hAnsi="Times New Roman"/>
                <w:b/>
                <w:bCs/>
                <w:color w:val="auto"/>
                <w:sz w:val="21"/>
                <w:szCs w:val="21"/>
              </w:rPr>
              <w:t>产生</w:t>
            </w:r>
          </w:p>
        </w:tc>
        <w:tc>
          <w:tcPr>
            <w:tcW w:w="2662" w:type="dxa"/>
            <w:gridSpan w:val="2"/>
            <w:tcBorders>
              <w:top w:val="single" w:color="auto" w:sz="4" w:space="0"/>
              <w:left w:val="single" w:color="auto" w:sz="4" w:space="0"/>
              <w:bottom w:val="single" w:color="000000" w:sz="2" w:space="0"/>
              <w:right w:val="single" w:color="auto" w:sz="4" w:space="0"/>
            </w:tcBorders>
            <w:vAlign w:val="center"/>
          </w:tcPr>
          <w:p>
            <w:pPr>
              <w:adjustRightInd w:val="0"/>
              <w:snapToGrid w:val="0"/>
              <w:spacing w:line="440" w:lineRule="atLeast"/>
              <w:jc w:val="center"/>
              <w:rPr>
                <w:rFonts w:ascii="Times New Roman" w:hAnsi="Times New Roman"/>
                <w:b/>
                <w:bCs/>
                <w:color w:val="auto"/>
                <w:sz w:val="21"/>
                <w:szCs w:val="21"/>
              </w:rPr>
            </w:pPr>
            <w:r>
              <w:rPr>
                <w:rFonts w:ascii="Times New Roman" w:hAnsi="Times New Roman"/>
                <w:b/>
                <w:bCs/>
                <w:color w:val="auto"/>
                <w:sz w:val="21"/>
                <w:szCs w:val="21"/>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dxa"/>
            <w:gridSpan w:val="2"/>
            <w:vMerge w:val="continue"/>
            <w:tcBorders>
              <w:left w:val="single" w:color="auto" w:sz="4" w:space="0"/>
              <w:right w:val="single" w:color="auto" w:sz="4" w:space="0"/>
              <w:tl2br w:val="single" w:color="auto" w:sz="4" w:space="0"/>
            </w:tcBorders>
            <w:vAlign w:val="center"/>
          </w:tcPr>
          <w:p>
            <w:pPr>
              <w:adjustRightInd w:val="0"/>
              <w:snapToGrid w:val="0"/>
              <w:spacing w:line="440" w:lineRule="atLeast"/>
              <w:rPr>
                <w:rFonts w:ascii="Times New Roman" w:hAnsi="Times New Roman"/>
                <w:b/>
                <w:bCs/>
                <w:color w:val="auto"/>
                <w:sz w:val="21"/>
                <w:szCs w:val="21"/>
              </w:rPr>
            </w:pPr>
          </w:p>
        </w:tc>
        <w:tc>
          <w:tcPr>
            <w:tcW w:w="1074" w:type="dxa"/>
            <w:vMerge w:val="continue"/>
            <w:tcBorders>
              <w:left w:val="single" w:color="auto" w:sz="4" w:space="0"/>
              <w:right w:val="single" w:color="auto" w:sz="4" w:space="0"/>
            </w:tcBorders>
            <w:vAlign w:val="center"/>
          </w:tcPr>
          <w:p>
            <w:pPr>
              <w:adjustRightInd w:val="0"/>
              <w:snapToGrid w:val="0"/>
              <w:spacing w:line="440" w:lineRule="atLeast"/>
              <w:jc w:val="center"/>
              <w:rPr>
                <w:rFonts w:ascii="Times New Roman" w:hAnsi="Times New Roman"/>
                <w:b/>
                <w:bCs/>
                <w:color w:val="auto"/>
                <w:sz w:val="21"/>
                <w:szCs w:val="21"/>
              </w:rPr>
            </w:pPr>
          </w:p>
        </w:tc>
        <w:tc>
          <w:tcPr>
            <w:tcW w:w="992" w:type="dxa"/>
            <w:vMerge w:val="continue"/>
            <w:tcBorders>
              <w:left w:val="single" w:color="auto" w:sz="4" w:space="0"/>
              <w:right w:val="single" w:color="auto" w:sz="4" w:space="0"/>
            </w:tcBorders>
            <w:vAlign w:val="center"/>
          </w:tcPr>
          <w:p>
            <w:pPr>
              <w:adjustRightInd w:val="0"/>
              <w:snapToGrid w:val="0"/>
              <w:spacing w:line="440" w:lineRule="atLeast"/>
              <w:ind w:left="113" w:right="113"/>
              <w:jc w:val="center"/>
              <w:rPr>
                <w:rFonts w:ascii="Times New Roman" w:hAnsi="Times New Roman"/>
                <w:b/>
                <w:bCs/>
                <w:color w:val="auto"/>
                <w:sz w:val="21"/>
                <w:szCs w:val="21"/>
              </w:rPr>
            </w:pPr>
          </w:p>
        </w:tc>
        <w:tc>
          <w:tcPr>
            <w:tcW w:w="1559" w:type="dxa"/>
            <w:tcBorders>
              <w:top w:val="single" w:color="000000" w:sz="2" w:space="0"/>
              <w:left w:val="single" w:color="auto" w:sz="4" w:space="0"/>
              <w:right w:val="single" w:color="auto" w:sz="4" w:space="0"/>
            </w:tcBorders>
            <w:vAlign w:val="center"/>
          </w:tcPr>
          <w:p>
            <w:pPr>
              <w:adjustRightInd w:val="0"/>
              <w:snapToGrid w:val="0"/>
              <w:spacing w:line="440" w:lineRule="atLeast"/>
              <w:jc w:val="center"/>
              <w:rPr>
                <w:rFonts w:ascii="Times New Roman" w:hAnsi="Times New Roman"/>
                <w:b/>
                <w:bCs/>
                <w:color w:val="auto"/>
                <w:sz w:val="21"/>
                <w:szCs w:val="21"/>
              </w:rPr>
            </w:pPr>
            <w:r>
              <w:rPr>
                <w:rFonts w:ascii="Times New Roman" w:hAnsi="Times New Roman"/>
                <w:b/>
                <w:bCs/>
                <w:color w:val="auto"/>
                <w:sz w:val="21"/>
                <w:szCs w:val="21"/>
              </w:rPr>
              <w:t>产生浓度</w:t>
            </w:r>
          </w:p>
        </w:tc>
        <w:tc>
          <w:tcPr>
            <w:tcW w:w="1296" w:type="dxa"/>
            <w:tcBorders>
              <w:top w:val="single" w:color="000000" w:sz="2" w:space="0"/>
              <w:left w:val="single" w:color="auto" w:sz="4" w:space="0"/>
              <w:right w:val="single" w:color="auto" w:sz="4" w:space="0"/>
            </w:tcBorders>
            <w:vAlign w:val="center"/>
          </w:tcPr>
          <w:p>
            <w:pPr>
              <w:adjustRightInd w:val="0"/>
              <w:snapToGrid w:val="0"/>
              <w:spacing w:line="440" w:lineRule="atLeast"/>
              <w:jc w:val="center"/>
              <w:rPr>
                <w:rFonts w:ascii="Times New Roman" w:hAnsi="Times New Roman"/>
                <w:b/>
                <w:bCs/>
                <w:color w:val="auto"/>
                <w:sz w:val="21"/>
                <w:szCs w:val="21"/>
              </w:rPr>
            </w:pPr>
            <w:r>
              <w:rPr>
                <w:rFonts w:ascii="Times New Roman" w:hAnsi="Times New Roman"/>
                <w:b/>
                <w:bCs/>
                <w:color w:val="auto"/>
                <w:sz w:val="21"/>
                <w:szCs w:val="21"/>
              </w:rPr>
              <w:t>产生量</w:t>
            </w:r>
          </w:p>
        </w:tc>
        <w:tc>
          <w:tcPr>
            <w:tcW w:w="1416" w:type="dxa"/>
            <w:tcBorders>
              <w:top w:val="single" w:color="000000" w:sz="2" w:space="0"/>
              <w:left w:val="single" w:color="auto" w:sz="4" w:space="0"/>
              <w:bottom w:val="nil"/>
              <w:right w:val="single" w:color="auto" w:sz="4" w:space="0"/>
            </w:tcBorders>
            <w:vAlign w:val="center"/>
          </w:tcPr>
          <w:p>
            <w:pPr>
              <w:adjustRightInd w:val="0"/>
              <w:snapToGrid w:val="0"/>
              <w:spacing w:line="440" w:lineRule="atLeast"/>
              <w:jc w:val="center"/>
              <w:rPr>
                <w:rFonts w:ascii="Times New Roman" w:hAnsi="Times New Roman"/>
                <w:b/>
                <w:bCs/>
                <w:color w:val="auto"/>
                <w:sz w:val="21"/>
                <w:szCs w:val="21"/>
              </w:rPr>
            </w:pPr>
            <w:r>
              <w:rPr>
                <w:rFonts w:ascii="Times New Roman" w:hAnsi="Times New Roman"/>
                <w:b/>
                <w:bCs/>
                <w:color w:val="auto"/>
                <w:sz w:val="21"/>
                <w:szCs w:val="21"/>
              </w:rPr>
              <w:t>排放浓度</w:t>
            </w:r>
          </w:p>
        </w:tc>
        <w:tc>
          <w:tcPr>
            <w:tcW w:w="1246" w:type="dxa"/>
            <w:tcBorders>
              <w:top w:val="single" w:color="000000" w:sz="2" w:space="0"/>
              <w:left w:val="single" w:color="auto" w:sz="4" w:space="0"/>
              <w:bottom w:val="nil"/>
              <w:right w:val="single" w:color="auto" w:sz="4" w:space="0"/>
            </w:tcBorders>
            <w:vAlign w:val="center"/>
          </w:tcPr>
          <w:p>
            <w:pPr>
              <w:adjustRightInd w:val="0"/>
              <w:snapToGrid w:val="0"/>
              <w:spacing w:line="440" w:lineRule="atLeast"/>
              <w:jc w:val="center"/>
              <w:rPr>
                <w:rFonts w:ascii="Times New Roman" w:hAnsi="Times New Roman"/>
                <w:b/>
                <w:bCs/>
                <w:color w:val="auto"/>
                <w:sz w:val="21"/>
                <w:szCs w:val="21"/>
              </w:rPr>
            </w:pPr>
            <w:r>
              <w:rPr>
                <w:rFonts w:ascii="Times New Roman" w:hAnsi="Times New Roman"/>
                <w:b/>
                <w:bCs/>
                <w:color w:val="auto"/>
                <w:sz w:val="21"/>
                <w:szCs w:val="2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70" w:type="dxa"/>
            <w:vMerge w:val="restart"/>
            <w:tcBorders>
              <w:top w:val="single" w:color="auto" w:sz="4" w:space="0"/>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ascii="Times New Roman" w:hAnsi="Times New Roman"/>
                <w:color w:val="auto"/>
                <w:sz w:val="21"/>
                <w:szCs w:val="21"/>
              </w:rPr>
              <w:t>大气污染物</w:t>
            </w:r>
          </w:p>
        </w:tc>
        <w:tc>
          <w:tcPr>
            <w:tcW w:w="470" w:type="dxa"/>
            <w:vMerge w:val="restart"/>
            <w:tcBorders>
              <w:top w:val="single" w:color="auto" w:sz="4" w:space="0"/>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ascii="Times New Roman" w:hAnsi="Times New Roman"/>
                <w:color w:val="auto"/>
                <w:sz w:val="21"/>
                <w:szCs w:val="21"/>
              </w:rPr>
              <w:t>施工期</w:t>
            </w:r>
          </w:p>
        </w:tc>
        <w:tc>
          <w:tcPr>
            <w:tcW w:w="1074" w:type="dxa"/>
            <w:tcBorders>
              <w:top w:val="single" w:color="auto" w:sz="4" w:space="0"/>
              <w:left w:val="single" w:color="auto" w:sz="4" w:space="0"/>
              <w:right w:val="single" w:color="auto" w:sz="4" w:space="0"/>
            </w:tcBorders>
            <w:vAlign w:val="center"/>
          </w:tcPr>
          <w:p>
            <w:pPr>
              <w:adjustRightInd w:val="0"/>
              <w:snapToGrid w:val="0"/>
              <w:spacing w:line="360" w:lineRule="exact"/>
              <w:ind w:left="-108" w:firstLine="94" w:firstLineChars="45"/>
              <w:jc w:val="center"/>
              <w:rPr>
                <w:rFonts w:ascii="Times New Roman" w:hAnsi="Times New Roman"/>
                <w:color w:val="auto"/>
                <w:sz w:val="21"/>
                <w:szCs w:val="21"/>
              </w:rPr>
            </w:pPr>
            <w:r>
              <w:rPr>
                <w:rFonts w:ascii="Times New Roman" w:hAnsi="Times New Roman"/>
                <w:color w:val="auto"/>
                <w:sz w:val="21"/>
                <w:szCs w:val="21"/>
              </w:rPr>
              <w:t>打孔等工艺</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粉尘</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rPr>
              <w:t>/</w:t>
            </w:r>
          </w:p>
        </w:tc>
        <w:tc>
          <w:tcPr>
            <w:tcW w:w="1296" w:type="dxa"/>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kern w:val="0"/>
                <w:sz w:val="21"/>
                <w:szCs w:val="21"/>
                <w:lang w:bidi="ar"/>
              </w:rPr>
              <w:t>少量</w:t>
            </w:r>
          </w:p>
        </w:tc>
        <w:tc>
          <w:tcPr>
            <w:tcW w:w="141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rPr>
              <w:t>/</w:t>
            </w:r>
          </w:p>
        </w:tc>
        <w:tc>
          <w:tcPr>
            <w:tcW w:w="124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kern w:val="0"/>
                <w:sz w:val="21"/>
                <w:szCs w:val="21"/>
                <w:lang w:bidi="ar"/>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70" w:type="dxa"/>
            <w:vMerge w:val="continue"/>
            <w:tcBorders>
              <w:top w:val="single" w:color="auto" w:sz="4" w:space="0"/>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1074" w:type="dxa"/>
            <w:tcBorders>
              <w:top w:val="single" w:color="auto" w:sz="4" w:space="0"/>
              <w:left w:val="single" w:color="auto" w:sz="4" w:space="0"/>
              <w:right w:val="single" w:color="auto" w:sz="4" w:space="0"/>
            </w:tcBorders>
            <w:vAlign w:val="center"/>
          </w:tcPr>
          <w:p>
            <w:pPr>
              <w:adjustRightInd w:val="0"/>
              <w:snapToGrid w:val="0"/>
              <w:spacing w:line="360" w:lineRule="exact"/>
              <w:ind w:left="-108" w:firstLine="94" w:firstLineChars="45"/>
              <w:jc w:val="center"/>
              <w:rPr>
                <w:rFonts w:ascii="Times New Roman" w:hAnsi="Times New Roman"/>
                <w:color w:val="auto"/>
                <w:sz w:val="21"/>
                <w:szCs w:val="21"/>
              </w:rPr>
            </w:pPr>
            <w:r>
              <w:rPr>
                <w:rFonts w:hint="eastAsia" w:ascii="Times New Roman" w:hAnsi="Times New Roman"/>
                <w:color w:val="auto"/>
                <w:sz w:val="21"/>
                <w:szCs w:val="21"/>
              </w:rPr>
              <w:t>施工机械，运输车辆</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机械尾气</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w:t>
            </w:r>
          </w:p>
        </w:tc>
        <w:tc>
          <w:tcPr>
            <w:tcW w:w="1296" w:type="dxa"/>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kern w:val="0"/>
                <w:sz w:val="21"/>
                <w:szCs w:val="21"/>
                <w:lang w:bidi="ar"/>
              </w:rPr>
              <w:t>少量</w:t>
            </w:r>
          </w:p>
        </w:tc>
        <w:tc>
          <w:tcPr>
            <w:tcW w:w="141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w:t>
            </w:r>
          </w:p>
        </w:tc>
        <w:tc>
          <w:tcPr>
            <w:tcW w:w="124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kern w:val="0"/>
                <w:sz w:val="21"/>
                <w:szCs w:val="21"/>
                <w:lang w:bidi="ar"/>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470" w:type="dxa"/>
            <w:vMerge w:val="restart"/>
            <w:tcBorders>
              <w:top w:val="single" w:color="auto" w:sz="4" w:space="0"/>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ascii="Times New Roman" w:hAnsi="Times New Roman"/>
                <w:color w:val="auto"/>
                <w:sz w:val="21"/>
                <w:szCs w:val="21"/>
              </w:rPr>
              <w:t>运营期</w:t>
            </w:r>
          </w:p>
        </w:tc>
        <w:tc>
          <w:tcPr>
            <w:tcW w:w="1074" w:type="dxa"/>
            <w:vMerge w:val="restart"/>
            <w:tcBorders>
              <w:top w:val="single" w:color="auto" w:sz="4" w:space="0"/>
              <w:left w:val="single" w:color="auto" w:sz="4" w:space="0"/>
              <w:right w:val="single" w:color="auto" w:sz="4" w:space="0"/>
            </w:tcBorders>
            <w:vAlign w:val="center"/>
          </w:tcPr>
          <w:p>
            <w:pPr>
              <w:adjustRightInd w:val="0"/>
              <w:snapToGrid w:val="0"/>
              <w:spacing w:line="360" w:lineRule="exact"/>
              <w:ind w:left="-108" w:firstLine="94" w:firstLineChars="45"/>
              <w:jc w:val="center"/>
              <w:rPr>
                <w:rFonts w:ascii="Times New Roman" w:hAnsi="Times New Roman"/>
                <w:color w:val="auto"/>
                <w:spacing w:val="-10"/>
                <w:sz w:val="21"/>
                <w:szCs w:val="21"/>
              </w:rPr>
            </w:pPr>
            <w:r>
              <w:rPr>
                <w:rFonts w:ascii="Times New Roman" w:hAnsi="Times New Roman"/>
                <w:color w:val="auto"/>
                <w:sz w:val="21"/>
                <w:szCs w:val="21"/>
              </w:rPr>
              <w:t>锅炉</w:t>
            </w:r>
            <w:r>
              <w:rPr>
                <w:rFonts w:hint="eastAsia" w:ascii="Times New Roman" w:hAnsi="Times New Roman"/>
                <w:color w:val="auto"/>
                <w:sz w:val="21"/>
                <w:szCs w:val="21"/>
              </w:rPr>
              <w:t>烟气</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2"/>
                <w:sz w:val="21"/>
                <w:szCs w:val="21"/>
              </w:rPr>
              <w:t>SO</w:t>
            </w:r>
            <w:r>
              <w:rPr>
                <w:rFonts w:ascii="Times New Roman" w:hAnsi="Times New Roman"/>
                <w:color w:val="auto"/>
                <w:kern w:val="2"/>
                <w:sz w:val="21"/>
                <w:szCs w:val="21"/>
                <w:vertAlign w:val="subscript"/>
              </w:rPr>
              <w:t>2</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2"/>
                <w:sz w:val="21"/>
                <w:szCs w:val="21"/>
              </w:rPr>
              <w:t>77.94</w:t>
            </w:r>
            <w:r>
              <w:rPr>
                <w:rFonts w:ascii="Times New Roman" w:hAnsi="Times New Roman"/>
                <w:color w:val="auto"/>
                <w:sz w:val="21"/>
                <w:szCs w:val="21"/>
              </w:rPr>
              <w:t>mg/m³</w:t>
            </w:r>
          </w:p>
        </w:tc>
        <w:tc>
          <w:tcPr>
            <w:tcW w:w="1296" w:type="dxa"/>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kern w:val="2"/>
                <w:sz w:val="21"/>
                <w:szCs w:val="21"/>
              </w:rPr>
              <w:t>11.05t</w:t>
            </w:r>
            <w:r>
              <w:rPr>
                <w:rFonts w:ascii="Times New Roman" w:hAnsi="Times New Roman"/>
                <w:color w:val="auto"/>
                <w:sz w:val="21"/>
                <w:szCs w:val="21"/>
              </w:rPr>
              <w:t>/a</w:t>
            </w:r>
          </w:p>
        </w:tc>
        <w:tc>
          <w:tcPr>
            <w:tcW w:w="141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2"/>
                <w:sz w:val="21"/>
                <w:szCs w:val="21"/>
              </w:rPr>
              <w:t>77.94</w:t>
            </w:r>
            <w:r>
              <w:rPr>
                <w:rFonts w:ascii="Times New Roman" w:hAnsi="Times New Roman"/>
                <w:color w:val="auto"/>
                <w:sz w:val="21"/>
                <w:szCs w:val="21"/>
              </w:rPr>
              <w:t>mg/m³</w:t>
            </w:r>
          </w:p>
        </w:tc>
        <w:tc>
          <w:tcPr>
            <w:tcW w:w="124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kern w:val="2"/>
                <w:sz w:val="21"/>
                <w:szCs w:val="21"/>
              </w:rPr>
              <w:t>11.05t</w:t>
            </w:r>
            <w:r>
              <w:rPr>
                <w:rFonts w:ascii="Times New Roman" w:hAnsi="Times New Roman"/>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1074" w:type="dxa"/>
            <w:vMerge w:val="continue"/>
            <w:tcBorders>
              <w:left w:val="single" w:color="auto" w:sz="4" w:space="0"/>
              <w:right w:val="single" w:color="auto" w:sz="4" w:space="0"/>
            </w:tcBorders>
            <w:vAlign w:val="center"/>
          </w:tcPr>
          <w:p>
            <w:pPr>
              <w:adjustRightInd w:val="0"/>
              <w:snapToGrid w:val="0"/>
              <w:spacing w:line="360" w:lineRule="exact"/>
              <w:ind w:left="-108" w:firstLine="94" w:firstLineChars="45"/>
              <w:jc w:val="center"/>
              <w:rPr>
                <w:rFonts w:ascii="Times New Roman" w:hAnsi="Times New Roman"/>
                <w:color w:val="auto"/>
                <w:sz w:val="21"/>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2"/>
                <w:sz w:val="21"/>
                <w:szCs w:val="21"/>
              </w:rPr>
              <w:t>NO</w:t>
            </w:r>
            <w:r>
              <w:rPr>
                <w:rFonts w:ascii="Times New Roman" w:hAnsi="Times New Roman"/>
                <w:color w:val="auto"/>
                <w:kern w:val="2"/>
                <w:sz w:val="21"/>
                <w:szCs w:val="21"/>
                <w:vertAlign w:val="subscript"/>
              </w:rPr>
              <w:t>X</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0"/>
                <w:sz w:val="21"/>
                <w:szCs w:val="21"/>
                <w:lang w:bidi="ar"/>
              </w:rPr>
              <w:t>130</w:t>
            </w:r>
            <w:r>
              <w:rPr>
                <w:rFonts w:ascii="Times New Roman" w:hAnsi="Times New Roman"/>
                <w:color w:val="auto"/>
                <w:sz w:val="21"/>
                <w:szCs w:val="21"/>
              </w:rPr>
              <w:t>mg/m³</w:t>
            </w:r>
          </w:p>
        </w:tc>
        <w:tc>
          <w:tcPr>
            <w:tcW w:w="1296" w:type="dxa"/>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2"/>
                <w:sz w:val="21"/>
                <w:szCs w:val="21"/>
              </w:rPr>
              <w:t>18.44t</w:t>
            </w:r>
            <w:r>
              <w:rPr>
                <w:rFonts w:ascii="Times New Roman" w:hAnsi="Times New Roman"/>
                <w:color w:val="auto"/>
                <w:sz w:val="21"/>
                <w:szCs w:val="21"/>
              </w:rPr>
              <w:t>/a</w:t>
            </w:r>
          </w:p>
        </w:tc>
        <w:tc>
          <w:tcPr>
            <w:tcW w:w="1416" w:type="dxa"/>
            <w:tcBorders>
              <w:left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0"/>
                <w:sz w:val="21"/>
                <w:szCs w:val="21"/>
                <w:lang w:bidi="ar"/>
              </w:rPr>
              <w:t>130</w:t>
            </w:r>
            <w:r>
              <w:rPr>
                <w:rFonts w:ascii="Times New Roman" w:hAnsi="Times New Roman"/>
                <w:color w:val="auto"/>
                <w:sz w:val="21"/>
                <w:szCs w:val="21"/>
              </w:rPr>
              <w:t>mg/m³</w:t>
            </w:r>
          </w:p>
        </w:tc>
        <w:tc>
          <w:tcPr>
            <w:tcW w:w="1246" w:type="dxa"/>
            <w:tcBorders>
              <w:left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2"/>
                <w:sz w:val="21"/>
                <w:szCs w:val="21"/>
              </w:rPr>
              <w:t>18.44t</w:t>
            </w:r>
            <w:r>
              <w:rPr>
                <w:rFonts w:ascii="Times New Roman" w:hAnsi="Times New Roman"/>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1074" w:type="dxa"/>
            <w:vMerge w:val="continue"/>
            <w:tcBorders>
              <w:left w:val="single" w:color="auto" w:sz="4" w:space="0"/>
              <w:right w:val="single" w:color="auto" w:sz="4" w:space="0"/>
            </w:tcBorders>
            <w:vAlign w:val="center"/>
          </w:tcPr>
          <w:p>
            <w:pPr>
              <w:adjustRightInd w:val="0"/>
              <w:snapToGrid w:val="0"/>
              <w:spacing w:line="360" w:lineRule="exact"/>
              <w:ind w:left="-108" w:firstLine="94" w:firstLineChars="45"/>
              <w:jc w:val="center"/>
              <w:rPr>
                <w:rFonts w:ascii="Times New Roman" w:hAnsi="Times New Roman"/>
                <w:color w:val="auto"/>
                <w:sz w:val="21"/>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颗粒物</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2"/>
                <w:sz w:val="21"/>
                <w:szCs w:val="21"/>
              </w:rPr>
              <w:t>1041.36</w:t>
            </w:r>
            <w:r>
              <w:rPr>
                <w:rFonts w:ascii="Times New Roman" w:hAnsi="Times New Roman"/>
                <w:color w:val="auto"/>
                <w:sz w:val="21"/>
                <w:szCs w:val="21"/>
              </w:rPr>
              <w:t>mg/m³</w:t>
            </w:r>
          </w:p>
        </w:tc>
        <w:tc>
          <w:tcPr>
            <w:tcW w:w="1296" w:type="dxa"/>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2"/>
                <w:sz w:val="21"/>
                <w:szCs w:val="21"/>
              </w:rPr>
              <w:t>147.68t</w:t>
            </w:r>
            <w:r>
              <w:rPr>
                <w:rFonts w:ascii="Times New Roman" w:hAnsi="Times New Roman"/>
                <w:color w:val="auto"/>
                <w:sz w:val="21"/>
                <w:szCs w:val="21"/>
              </w:rPr>
              <w:t>/a</w:t>
            </w:r>
          </w:p>
        </w:tc>
        <w:tc>
          <w:tcPr>
            <w:tcW w:w="1416" w:type="dxa"/>
            <w:tcBorders>
              <w:left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2"/>
                <w:sz w:val="21"/>
                <w:szCs w:val="21"/>
              </w:rPr>
              <w:t>10.41</w:t>
            </w:r>
            <w:r>
              <w:rPr>
                <w:rFonts w:ascii="Times New Roman" w:hAnsi="Times New Roman"/>
                <w:color w:val="auto"/>
                <w:sz w:val="21"/>
                <w:szCs w:val="21"/>
              </w:rPr>
              <w:t>mg/m³</w:t>
            </w:r>
          </w:p>
        </w:tc>
        <w:tc>
          <w:tcPr>
            <w:tcW w:w="1246" w:type="dxa"/>
            <w:tcBorders>
              <w:left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2"/>
                <w:sz w:val="21"/>
                <w:szCs w:val="21"/>
              </w:rPr>
              <w:t>1.48t</w:t>
            </w:r>
            <w:r>
              <w:rPr>
                <w:rFonts w:ascii="Times New Roman" w:hAnsi="Times New Roman"/>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1074" w:type="dxa"/>
            <w:tcBorders>
              <w:left w:val="single" w:color="auto" w:sz="4" w:space="0"/>
              <w:right w:val="single" w:color="auto" w:sz="4" w:space="0"/>
            </w:tcBorders>
            <w:vAlign w:val="center"/>
          </w:tcPr>
          <w:p>
            <w:pPr>
              <w:adjustRightInd w:val="0"/>
              <w:snapToGrid w:val="0"/>
              <w:spacing w:line="360" w:lineRule="exact"/>
              <w:ind w:left="-108" w:firstLine="94" w:firstLineChars="45"/>
              <w:jc w:val="center"/>
              <w:rPr>
                <w:rFonts w:ascii="Times New Roman" w:hAnsi="Times New Roman"/>
                <w:color w:val="auto"/>
                <w:sz w:val="21"/>
                <w:szCs w:val="21"/>
              </w:rPr>
            </w:pPr>
            <w:r>
              <w:rPr>
                <w:rFonts w:ascii="Times New Roman" w:hAnsi="Times New Roman"/>
                <w:color w:val="auto"/>
                <w:kern w:val="0"/>
                <w:sz w:val="21"/>
                <w:szCs w:val="21"/>
              </w:rPr>
              <w:t>生物质燃料棚</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kern w:val="0"/>
                <w:sz w:val="21"/>
                <w:szCs w:val="21"/>
              </w:rPr>
              <w:t>无组织粉尘</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rPr>
              <w:t>/</w:t>
            </w:r>
          </w:p>
        </w:tc>
        <w:tc>
          <w:tcPr>
            <w:tcW w:w="1296" w:type="dxa"/>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kern w:val="0"/>
                <w:sz w:val="21"/>
                <w:szCs w:val="21"/>
              </w:rPr>
              <w:t>6.80</w:t>
            </w:r>
            <w:r>
              <w:rPr>
                <w:rFonts w:ascii="Times New Roman" w:hAnsi="Times New Roman"/>
                <w:color w:val="auto"/>
                <w:kern w:val="0"/>
                <w:sz w:val="21"/>
                <w:szCs w:val="21"/>
                <w:lang w:bidi="ar"/>
              </w:rPr>
              <w:t>t/a</w:t>
            </w:r>
          </w:p>
        </w:tc>
        <w:tc>
          <w:tcPr>
            <w:tcW w:w="1416" w:type="dxa"/>
            <w:tcBorders>
              <w:left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rPr>
              <w:t>/</w:t>
            </w:r>
          </w:p>
        </w:tc>
        <w:tc>
          <w:tcPr>
            <w:tcW w:w="1246" w:type="dxa"/>
            <w:tcBorders>
              <w:left w:val="single" w:color="auto" w:sz="4" w:space="0"/>
              <w:right w:val="single" w:color="auto" w:sz="4" w:space="0"/>
            </w:tcBorders>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kern w:val="0"/>
                <w:sz w:val="21"/>
                <w:szCs w:val="21"/>
              </w:rPr>
              <w:t>2.72</w:t>
            </w:r>
            <w:r>
              <w:rPr>
                <w:rFonts w:ascii="Times New Roman" w:hAnsi="Times New Roman"/>
                <w:color w:val="auto"/>
                <w:kern w:val="0"/>
                <w:sz w:val="21"/>
                <w:szCs w:val="21"/>
                <w:lang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70" w:type="dxa"/>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ascii="Times New Roman" w:hAnsi="Times New Roman"/>
                <w:color w:val="auto"/>
                <w:sz w:val="21"/>
                <w:szCs w:val="21"/>
              </w:rPr>
              <w:t>水污染物</w:t>
            </w:r>
          </w:p>
        </w:tc>
        <w:tc>
          <w:tcPr>
            <w:tcW w:w="470" w:type="dxa"/>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ascii="Times New Roman" w:hAnsi="Times New Roman"/>
                <w:color w:val="auto"/>
                <w:sz w:val="21"/>
                <w:szCs w:val="21"/>
              </w:rPr>
              <w:t>运营期</w:t>
            </w:r>
          </w:p>
        </w:tc>
        <w:tc>
          <w:tcPr>
            <w:tcW w:w="1074" w:type="dxa"/>
            <w:tcBorders>
              <w:left w:val="single" w:color="auto" w:sz="4" w:space="0"/>
              <w:right w:val="single" w:color="auto" w:sz="4" w:space="0"/>
            </w:tcBorders>
            <w:vAlign w:val="center"/>
          </w:tcPr>
          <w:p>
            <w:pPr>
              <w:adjustRightInd w:val="0"/>
              <w:snapToGrid w:val="0"/>
              <w:spacing w:line="360" w:lineRule="exact"/>
              <w:ind w:left="-108" w:firstLine="94" w:firstLineChars="45"/>
              <w:jc w:val="center"/>
              <w:rPr>
                <w:rFonts w:ascii="Times New Roman" w:hAnsi="Times New Roman"/>
                <w:color w:val="auto"/>
                <w:sz w:val="21"/>
                <w:szCs w:val="21"/>
              </w:rPr>
            </w:pPr>
            <w:r>
              <w:rPr>
                <w:rFonts w:ascii="Times New Roman" w:hAnsi="Times New Roman"/>
                <w:color w:val="auto"/>
                <w:sz w:val="21"/>
                <w:szCs w:val="21"/>
              </w:rPr>
              <w:t>软水处理</w:t>
            </w:r>
            <w:r>
              <w:rPr>
                <w:rFonts w:hint="eastAsia" w:ascii="Times New Roman" w:hAnsi="Times New Roman"/>
                <w:color w:val="auto"/>
                <w:sz w:val="21"/>
                <w:szCs w:val="21"/>
              </w:rPr>
              <w:t>装置、锅炉</w:t>
            </w:r>
            <w:r>
              <w:rPr>
                <w:rFonts w:hint="eastAsia" w:ascii="Times New Roman" w:hAnsi="Times New Roman"/>
                <w:color w:val="auto"/>
                <w:sz w:val="21"/>
                <w:szCs w:val="21"/>
              </w:rPr>
              <w:t>废水</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COD</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84.3mg/L</w:t>
            </w:r>
          </w:p>
        </w:tc>
        <w:tc>
          <w:tcPr>
            <w:tcW w:w="1296" w:type="dxa"/>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6429.84m</w:t>
            </w:r>
            <w:r>
              <w:rPr>
                <w:rFonts w:ascii="Times New Roman" w:hAnsi="Times New Roman"/>
                <w:color w:val="auto"/>
                <w:sz w:val="21"/>
                <w:szCs w:val="21"/>
                <w:vertAlign w:val="superscript"/>
              </w:rPr>
              <w:t>3</w:t>
            </w:r>
            <w:r>
              <w:rPr>
                <w:rFonts w:hint="eastAsia" w:ascii="Times New Roman" w:hAnsi="Times New Roman"/>
                <w:color w:val="auto"/>
                <w:sz w:val="21"/>
                <w:szCs w:val="21"/>
              </w:rPr>
              <w:t>/a</w:t>
            </w:r>
          </w:p>
        </w:tc>
        <w:tc>
          <w:tcPr>
            <w:tcW w:w="2662" w:type="dxa"/>
            <w:gridSpan w:val="2"/>
            <w:tcBorders>
              <w:left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回用于</w:t>
            </w:r>
            <w:r>
              <w:rPr>
                <w:rFonts w:hint="eastAsia" w:ascii="Times New Roman" w:hAnsi="Times New Roman"/>
                <w:color w:val="auto"/>
                <w:sz w:val="21"/>
                <w:szCs w:val="21"/>
              </w:rPr>
              <w:t>现有项目造纸工段，</w:t>
            </w:r>
            <w:r>
              <w:rPr>
                <w:rFonts w:ascii="Times New Roman" w:hAnsi="Times New Roman"/>
                <w:color w:val="auto"/>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70" w:type="dxa"/>
            <w:vMerge w:val="restart"/>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ascii="Times New Roman" w:hAnsi="Times New Roman"/>
                <w:color w:val="auto"/>
                <w:sz w:val="21"/>
                <w:szCs w:val="21"/>
              </w:rPr>
              <w:t>固废</w:t>
            </w:r>
          </w:p>
        </w:tc>
        <w:tc>
          <w:tcPr>
            <w:tcW w:w="470" w:type="dxa"/>
            <w:vMerge w:val="restart"/>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ascii="Times New Roman" w:hAnsi="Times New Roman"/>
                <w:color w:val="auto"/>
                <w:sz w:val="21"/>
                <w:szCs w:val="21"/>
              </w:rPr>
              <w:t>施工期</w:t>
            </w:r>
          </w:p>
        </w:tc>
        <w:tc>
          <w:tcPr>
            <w:tcW w:w="2066" w:type="dxa"/>
            <w:gridSpan w:val="2"/>
            <w:tcBorders>
              <w:left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pacing w:val="-10"/>
                <w:sz w:val="21"/>
                <w:szCs w:val="21"/>
              </w:rPr>
              <w:t>旧设备、</w:t>
            </w:r>
            <w:r>
              <w:rPr>
                <w:rFonts w:ascii="Times New Roman" w:hAnsi="Times New Roman"/>
                <w:color w:val="auto"/>
                <w:spacing w:val="-10"/>
                <w:sz w:val="21"/>
                <w:szCs w:val="21"/>
              </w:rPr>
              <w:t>可回收垃圾</w:t>
            </w:r>
          </w:p>
        </w:tc>
        <w:tc>
          <w:tcPr>
            <w:tcW w:w="285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spacing w:val="-10"/>
                <w:sz w:val="21"/>
                <w:szCs w:val="21"/>
              </w:rPr>
              <w:t>少量</w:t>
            </w:r>
          </w:p>
        </w:tc>
        <w:tc>
          <w:tcPr>
            <w:tcW w:w="2662" w:type="dxa"/>
            <w:gridSpan w:val="2"/>
            <w:tcBorders>
              <w:left w:val="single" w:color="auto" w:sz="4" w:space="0"/>
              <w:right w:val="single" w:color="auto" w:sz="4" w:space="0"/>
            </w:tcBorders>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作为废品</w:t>
            </w:r>
            <w:r>
              <w:rPr>
                <w:rFonts w:ascii="Times New Roman" w:hAnsi="Times New Roman"/>
                <w:color w:val="auto"/>
                <w:sz w:val="21"/>
                <w:szCs w:val="21"/>
              </w:rPr>
              <w:t>外</w:t>
            </w:r>
            <w:r>
              <w:rPr>
                <w:rFonts w:hint="eastAsia" w:ascii="Times New Roman" w:hAnsi="Times New Roman"/>
                <w:color w:val="auto"/>
                <w:sz w:val="21"/>
                <w:szCs w:val="21"/>
              </w:rPr>
              <w:t>售处置，不外排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2066" w:type="dxa"/>
            <w:gridSpan w:val="2"/>
            <w:tcBorders>
              <w:left w:val="single" w:color="auto" w:sz="4" w:space="0"/>
              <w:right w:val="single" w:color="auto" w:sz="4" w:space="0"/>
            </w:tcBorders>
            <w:vAlign w:val="center"/>
          </w:tcPr>
          <w:p>
            <w:pPr>
              <w:adjustRightInd w:val="0"/>
              <w:snapToGrid w:val="0"/>
              <w:jc w:val="center"/>
              <w:rPr>
                <w:rFonts w:ascii="Times New Roman" w:hAnsi="Times New Roman"/>
                <w:color w:val="auto"/>
                <w:spacing w:val="-10"/>
                <w:sz w:val="21"/>
                <w:szCs w:val="21"/>
              </w:rPr>
            </w:pPr>
            <w:r>
              <w:rPr>
                <w:rFonts w:hint="eastAsia" w:ascii="Times New Roman" w:hAnsi="Times New Roman"/>
                <w:color w:val="auto"/>
                <w:spacing w:val="-10"/>
                <w:sz w:val="21"/>
                <w:szCs w:val="21"/>
              </w:rPr>
              <w:t>其他</w:t>
            </w:r>
            <w:r>
              <w:rPr>
                <w:rFonts w:ascii="Times New Roman" w:hAnsi="Times New Roman"/>
                <w:color w:val="auto"/>
                <w:spacing w:val="-10"/>
                <w:sz w:val="21"/>
                <w:szCs w:val="21"/>
              </w:rPr>
              <w:t>建筑垃圾</w:t>
            </w:r>
          </w:p>
        </w:tc>
        <w:tc>
          <w:tcPr>
            <w:tcW w:w="285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pacing w:val="-10"/>
                <w:sz w:val="21"/>
                <w:szCs w:val="21"/>
              </w:rPr>
            </w:pPr>
            <w:r>
              <w:rPr>
                <w:rFonts w:ascii="Times New Roman" w:hAnsi="Times New Roman"/>
                <w:color w:val="auto"/>
                <w:spacing w:val="-10"/>
                <w:sz w:val="21"/>
                <w:szCs w:val="21"/>
              </w:rPr>
              <w:t>少量</w:t>
            </w:r>
          </w:p>
        </w:tc>
        <w:tc>
          <w:tcPr>
            <w:tcW w:w="2662" w:type="dxa"/>
            <w:gridSpan w:val="2"/>
            <w:tcBorders>
              <w:left w:val="single" w:color="auto" w:sz="4" w:space="0"/>
              <w:right w:val="single" w:color="auto" w:sz="4" w:space="0"/>
            </w:tcBorders>
            <w:vAlign w:val="center"/>
          </w:tcPr>
          <w:p>
            <w:pPr>
              <w:adjustRightInd w:val="0"/>
              <w:snapToGrid w:val="0"/>
              <w:jc w:val="center"/>
              <w:rPr>
                <w:rFonts w:ascii="Times New Roman" w:hAnsi="Times New Roman"/>
                <w:color w:val="auto"/>
                <w:kern w:val="2"/>
                <w:sz w:val="21"/>
                <w:szCs w:val="21"/>
              </w:rPr>
            </w:pPr>
            <w:r>
              <w:rPr>
                <w:rFonts w:hint="eastAsia" w:ascii="Times New Roman" w:hAnsi="Times New Roman"/>
                <w:color w:val="auto"/>
                <w:kern w:val="2"/>
                <w:sz w:val="21"/>
                <w:szCs w:val="21"/>
              </w:rPr>
              <w:t>委托</w:t>
            </w:r>
            <w:r>
              <w:rPr>
                <w:rFonts w:ascii="Times New Roman" w:hAnsi="Times New Roman"/>
                <w:color w:val="auto"/>
                <w:kern w:val="2"/>
                <w:sz w:val="21"/>
                <w:szCs w:val="21"/>
              </w:rPr>
              <w:t>具备资质的建筑垃圾承运企业运输至</w:t>
            </w:r>
            <w:r>
              <w:rPr>
                <w:rFonts w:hint="eastAsia" w:ascii="Times New Roman" w:hAnsi="Times New Roman"/>
                <w:color w:val="auto"/>
                <w:kern w:val="2"/>
                <w:sz w:val="21"/>
                <w:szCs w:val="21"/>
              </w:rPr>
              <w:t>合法</w:t>
            </w:r>
            <w:r>
              <w:rPr>
                <w:rFonts w:ascii="Times New Roman" w:hAnsi="Times New Roman"/>
                <w:color w:val="auto"/>
                <w:kern w:val="2"/>
                <w:sz w:val="21"/>
                <w:szCs w:val="21"/>
              </w:rPr>
              <w:t>建筑垃圾消纳处置场处置</w:t>
            </w:r>
            <w:r>
              <w:rPr>
                <w:rFonts w:hint="eastAsia" w:ascii="Times New Roman" w:hAnsi="Times New Roman"/>
                <w:color w:val="auto"/>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470" w:type="dxa"/>
            <w:vMerge w:val="restart"/>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ascii="Times New Roman" w:hAnsi="Times New Roman"/>
                <w:color w:val="auto"/>
                <w:sz w:val="21"/>
                <w:szCs w:val="21"/>
              </w:rPr>
              <w:t>运营期</w:t>
            </w:r>
          </w:p>
        </w:tc>
        <w:tc>
          <w:tcPr>
            <w:tcW w:w="1074" w:type="dxa"/>
            <w:tcBorders>
              <w:left w:val="single" w:color="auto" w:sz="4" w:space="0"/>
              <w:right w:val="single" w:color="auto" w:sz="4" w:space="0"/>
            </w:tcBorders>
            <w:vAlign w:val="center"/>
          </w:tcPr>
          <w:p>
            <w:pPr>
              <w:adjustRightInd w:val="0"/>
              <w:snapToGrid w:val="0"/>
              <w:spacing w:line="360" w:lineRule="exact"/>
              <w:ind w:left="-108" w:firstLine="85" w:firstLineChars="45"/>
              <w:jc w:val="center"/>
              <w:rPr>
                <w:rFonts w:ascii="Times New Roman" w:hAnsi="Times New Roman"/>
                <w:color w:val="auto"/>
                <w:spacing w:val="-10"/>
                <w:sz w:val="21"/>
                <w:szCs w:val="21"/>
              </w:rPr>
            </w:pPr>
            <w:r>
              <w:rPr>
                <w:rFonts w:ascii="Times New Roman" w:hAnsi="Times New Roman"/>
                <w:color w:val="auto"/>
                <w:spacing w:val="-10"/>
                <w:sz w:val="21"/>
                <w:szCs w:val="21"/>
              </w:rPr>
              <w:t>生物质锅炉</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pacing w:val="-10"/>
                <w:sz w:val="21"/>
                <w:szCs w:val="21"/>
              </w:rPr>
            </w:pPr>
            <w:r>
              <w:rPr>
                <w:rFonts w:hint="eastAsia" w:ascii="Times New Roman" w:hAnsi="Times New Roman"/>
                <w:color w:val="auto"/>
                <w:spacing w:val="-10"/>
                <w:sz w:val="21"/>
                <w:szCs w:val="21"/>
              </w:rPr>
              <w:t>炉渣</w:t>
            </w:r>
          </w:p>
        </w:tc>
        <w:tc>
          <w:tcPr>
            <w:tcW w:w="285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kern w:val="2"/>
                <w:sz w:val="21"/>
                <w:szCs w:val="21"/>
              </w:rPr>
              <w:t>1197.58t/a</w:t>
            </w:r>
          </w:p>
        </w:tc>
        <w:tc>
          <w:tcPr>
            <w:tcW w:w="2662" w:type="dxa"/>
            <w:gridSpan w:val="2"/>
            <w:tcBorders>
              <w:left w:val="single" w:color="auto" w:sz="4" w:space="0"/>
              <w:right w:val="single" w:color="auto" w:sz="4" w:space="0"/>
            </w:tcBorders>
            <w:vAlign w:val="center"/>
          </w:tcPr>
          <w:p>
            <w:pPr>
              <w:adjustRightInd w:val="0"/>
              <w:snapToGrid w:val="0"/>
              <w:jc w:val="center"/>
              <w:rPr>
                <w:rFonts w:ascii="Times New Roman" w:hAnsi="Times New Roman"/>
                <w:color w:val="auto"/>
                <w:spacing w:val="-10"/>
                <w:sz w:val="21"/>
                <w:szCs w:val="21"/>
              </w:rPr>
            </w:pPr>
            <w:r>
              <w:rPr>
                <w:rFonts w:ascii="Times New Roman" w:hAnsi="Times New Roman"/>
                <w:color w:val="auto"/>
                <w:kern w:val="2"/>
                <w:sz w:val="21"/>
                <w:szCs w:val="21"/>
              </w:rPr>
              <w:t>部分作为肥料回用于周边农田，部分</w:t>
            </w:r>
            <w:r>
              <w:rPr>
                <w:rFonts w:hint="eastAsia" w:ascii="Times New Roman" w:hAnsi="Times New Roman"/>
                <w:color w:val="auto"/>
                <w:kern w:val="2"/>
                <w:sz w:val="21"/>
                <w:szCs w:val="21"/>
              </w:rPr>
              <w:t>委托环卫部门清运处置，不外排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1074" w:type="dxa"/>
            <w:tcBorders>
              <w:left w:val="single" w:color="auto" w:sz="4" w:space="0"/>
              <w:right w:val="single" w:color="auto" w:sz="4" w:space="0"/>
            </w:tcBorders>
            <w:vAlign w:val="center"/>
          </w:tcPr>
          <w:p>
            <w:pPr>
              <w:adjustRightInd w:val="0"/>
              <w:snapToGrid w:val="0"/>
              <w:spacing w:line="360" w:lineRule="exact"/>
              <w:ind w:left="-108" w:firstLine="94" w:firstLineChars="45"/>
              <w:jc w:val="center"/>
              <w:rPr>
                <w:rFonts w:ascii="Times New Roman" w:hAnsi="Times New Roman"/>
                <w:color w:val="auto"/>
                <w:spacing w:val="-10"/>
                <w:sz w:val="21"/>
                <w:szCs w:val="21"/>
              </w:rPr>
            </w:pPr>
            <w:r>
              <w:rPr>
                <w:rFonts w:hint="eastAsia" w:ascii="Times New Roman" w:hAnsi="Times New Roman"/>
                <w:color w:val="auto"/>
                <w:kern w:val="2"/>
                <w:sz w:val="21"/>
                <w:szCs w:val="21"/>
              </w:rPr>
              <w:t>布袋除尘器</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pacing w:val="-10"/>
                <w:sz w:val="21"/>
                <w:szCs w:val="21"/>
              </w:rPr>
            </w:pPr>
            <w:r>
              <w:rPr>
                <w:rFonts w:hint="eastAsia" w:ascii="Times New Roman" w:hAnsi="Times New Roman"/>
                <w:color w:val="auto"/>
                <w:spacing w:val="-10"/>
                <w:sz w:val="21"/>
                <w:szCs w:val="21"/>
              </w:rPr>
              <w:t>收尘灰</w:t>
            </w:r>
          </w:p>
        </w:tc>
        <w:tc>
          <w:tcPr>
            <w:tcW w:w="285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kern w:val="2"/>
                <w:sz w:val="21"/>
                <w:szCs w:val="21"/>
              </w:rPr>
              <w:t>146.20t/a</w:t>
            </w:r>
          </w:p>
        </w:tc>
        <w:tc>
          <w:tcPr>
            <w:tcW w:w="2662" w:type="dxa"/>
            <w:gridSpan w:val="2"/>
            <w:tcBorders>
              <w:left w:val="single" w:color="auto" w:sz="4" w:space="0"/>
              <w:right w:val="single" w:color="auto" w:sz="4" w:space="0"/>
            </w:tcBorders>
            <w:vAlign w:val="center"/>
          </w:tcPr>
          <w:p>
            <w:pPr>
              <w:adjustRightInd w:val="0"/>
              <w:snapToGrid w:val="0"/>
              <w:jc w:val="center"/>
              <w:rPr>
                <w:rFonts w:ascii="Times New Roman" w:hAnsi="Times New Roman"/>
                <w:color w:val="auto"/>
                <w:spacing w:val="-10"/>
                <w:sz w:val="21"/>
                <w:szCs w:val="21"/>
              </w:rPr>
            </w:pPr>
            <w:r>
              <w:rPr>
                <w:rFonts w:hint="eastAsia" w:ascii="Times New Roman" w:hAnsi="Times New Roman"/>
                <w:color w:val="auto"/>
                <w:kern w:val="2"/>
                <w:sz w:val="21"/>
                <w:szCs w:val="21"/>
              </w:rPr>
              <w:t>委托环卫部门清运处置，不外排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1074" w:type="dxa"/>
            <w:tcBorders>
              <w:left w:val="single" w:color="auto" w:sz="4" w:space="0"/>
              <w:right w:val="single" w:color="auto" w:sz="4" w:space="0"/>
            </w:tcBorders>
            <w:vAlign w:val="center"/>
          </w:tcPr>
          <w:p>
            <w:pPr>
              <w:adjustRightInd w:val="0"/>
              <w:snapToGrid w:val="0"/>
              <w:spacing w:line="360" w:lineRule="exact"/>
              <w:ind w:left="-108" w:firstLine="85" w:firstLineChars="45"/>
              <w:jc w:val="center"/>
              <w:rPr>
                <w:rFonts w:ascii="Times New Roman" w:hAnsi="Times New Roman"/>
                <w:color w:val="auto"/>
                <w:spacing w:val="-10"/>
                <w:sz w:val="21"/>
                <w:szCs w:val="21"/>
              </w:rPr>
            </w:pPr>
            <w:r>
              <w:rPr>
                <w:rFonts w:ascii="Times New Roman" w:hAnsi="Times New Roman"/>
                <w:color w:val="auto"/>
                <w:spacing w:val="-10"/>
                <w:sz w:val="21"/>
                <w:szCs w:val="21"/>
              </w:rPr>
              <w:t>软水</w:t>
            </w:r>
            <w:r>
              <w:rPr>
                <w:rFonts w:hint="eastAsia" w:ascii="Times New Roman" w:hAnsi="Times New Roman"/>
                <w:color w:val="auto"/>
                <w:spacing w:val="-10"/>
                <w:sz w:val="21"/>
                <w:szCs w:val="21"/>
              </w:rPr>
              <w:t>处理</w:t>
            </w:r>
            <w:r>
              <w:rPr>
                <w:rFonts w:ascii="Times New Roman" w:hAnsi="Times New Roman"/>
                <w:color w:val="auto"/>
                <w:spacing w:val="-10"/>
                <w:sz w:val="21"/>
                <w:szCs w:val="21"/>
              </w:rPr>
              <w:t>装置</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pacing w:val="-10"/>
                <w:sz w:val="21"/>
                <w:szCs w:val="21"/>
              </w:rPr>
            </w:pPr>
            <w:r>
              <w:rPr>
                <w:rFonts w:ascii="Times New Roman" w:hAnsi="Times New Roman"/>
                <w:color w:val="auto"/>
                <w:spacing w:val="-10"/>
                <w:sz w:val="21"/>
                <w:szCs w:val="21"/>
              </w:rPr>
              <w:t>废离子交换树脂</w:t>
            </w:r>
          </w:p>
        </w:tc>
        <w:tc>
          <w:tcPr>
            <w:tcW w:w="285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kern w:val="0"/>
                <w:sz w:val="21"/>
                <w:szCs w:val="21"/>
                <w:lang w:bidi="ar"/>
              </w:rPr>
              <w:t>0.01t/a</w:t>
            </w:r>
          </w:p>
        </w:tc>
        <w:tc>
          <w:tcPr>
            <w:tcW w:w="2662" w:type="dxa"/>
            <w:gridSpan w:val="2"/>
            <w:tcBorders>
              <w:left w:val="single" w:color="auto" w:sz="4" w:space="0"/>
              <w:right w:val="single" w:color="auto" w:sz="4" w:space="0"/>
            </w:tcBorders>
            <w:vAlign w:val="center"/>
          </w:tcPr>
          <w:p>
            <w:pPr>
              <w:adjustRightInd w:val="0"/>
              <w:snapToGrid w:val="0"/>
              <w:jc w:val="center"/>
              <w:rPr>
                <w:rFonts w:ascii="Times New Roman" w:hAnsi="Times New Roman"/>
                <w:color w:val="auto"/>
                <w:spacing w:val="-10"/>
                <w:sz w:val="21"/>
                <w:szCs w:val="21"/>
              </w:rPr>
            </w:pPr>
            <w:r>
              <w:rPr>
                <w:rFonts w:ascii="Times New Roman" w:hAnsi="Times New Roman"/>
                <w:color w:val="auto"/>
                <w:kern w:val="2"/>
                <w:sz w:val="21"/>
                <w:szCs w:val="21"/>
              </w:rPr>
              <w:t>厂家回收处置</w:t>
            </w:r>
            <w:r>
              <w:rPr>
                <w:rFonts w:hint="eastAsia" w:ascii="Times New Roman" w:hAnsi="Times New Roman"/>
                <w:color w:val="auto"/>
                <w:kern w:val="2"/>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70" w:type="dxa"/>
            <w:vMerge w:val="restart"/>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hint="eastAsia" w:ascii="Times New Roman" w:hAnsi="Times New Roman"/>
                <w:color w:val="auto"/>
                <w:sz w:val="21"/>
                <w:szCs w:val="21"/>
              </w:rPr>
              <w:t>噪声</w:t>
            </w:r>
          </w:p>
        </w:tc>
        <w:tc>
          <w:tcPr>
            <w:tcW w:w="470" w:type="dxa"/>
            <w:vMerge w:val="restart"/>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ascii="Times New Roman" w:hAnsi="Times New Roman"/>
                <w:color w:val="auto"/>
                <w:sz w:val="21"/>
                <w:szCs w:val="21"/>
              </w:rPr>
              <w:t>施工期</w:t>
            </w:r>
          </w:p>
        </w:tc>
        <w:tc>
          <w:tcPr>
            <w:tcW w:w="1074" w:type="dxa"/>
            <w:tcBorders>
              <w:left w:val="single" w:color="auto" w:sz="4" w:space="0"/>
              <w:right w:val="single" w:color="auto" w:sz="4" w:space="0"/>
            </w:tcBorders>
            <w:vAlign w:val="center"/>
          </w:tcPr>
          <w:p>
            <w:pPr>
              <w:adjustRightInd w:val="0"/>
              <w:snapToGrid w:val="0"/>
              <w:spacing w:line="360" w:lineRule="exact"/>
              <w:ind w:left="-108" w:firstLine="85" w:firstLineChars="45"/>
              <w:jc w:val="center"/>
              <w:rPr>
                <w:rFonts w:ascii="Times New Roman" w:hAnsi="Times New Roman"/>
                <w:color w:val="auto"/>
                <w:spacing w:val="-10"/>
                <w:sz w:val="21"/>
                <w:szCs w:val="21"/>
              </w:rPr>
            </w:pPr>
            <w:r>
              <w:rPr>
                <w:rFonts w:hint="eastAsia" w:ascii="Times New Roman" w:hAnsi="Times New Roman"/>
                <w:color w:val="auto"/>
                <w:spacing w:val="-10"/>
                <w:sz w:val="21"/>
                <w:szCs w:val="21"/>
              </w:rPr>
              <w:t>施工设备</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pacing w:val="-10"/>
                <w:sz w:val="21"/>
                <w:szCs w:val="21"/>
              </w:rPr>
            </w:pPr>
            <w:r>
              <w:rPr>
                <w:rFonts w:hint="eastAsia" w:ascii="Times New Roman" w:hAnsi="Times New Roman"/>
                <w:color w:val="auto"/>
                <w:spacing w:val="-10"/>
                <w:sz w:val="21"/>
                <w:szCs w:val="21"/>
              </w:rPr>
              <w:t>设备噪声</w:t>
            </w:r>
          </w:p>
        </w:tc>
        <w:tc>
          <w:tcPr>
            <w:tcW w:w="2855" w:type="dxa"/>
            <w:gridSpan w:val="2"/>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olor w:val="auto"/>
                <w:kern w:val="0"/>
                <w:sz w:val="21"/>
                <w:szCs w:val="21"/>
                <w:lang w:bidi="ar"/>
              </w:rPr>
            </w:pPr>
            <w:r>
              <w:rPr>
                <w:rFonts w:ascii="Times New Roman" w:hAnsi="Times New Roman"/>
                <w:color w:val="auto"/>
                <w:kern w:val="0"/>
                <w:sz w:val="21"/>
                <w:szCs w:val="21"/>
                <w:lang w:bidi="ar"/>
              </w:rPr>
              <w:t>85~95dB(A)</w:t>
            </w:r>
          </w:p>
        </w:tc>
        <w:tc>
          <w:tcPr>
            <w:tcW w:w="2662" w:type="dxa"/>
            <w:gridSpan w:val="2"/>
            <w:vMerge w:val="restart"/>
            <w:tcBorders>
              <w:left w:val="single" w:color="auto" w:sz="4" w:space="0"/>
              <w:right w:val="single" w:color="auto" w:sz="4" w:space="0"/>
            </w:tcBorders>
            <w:vAlign w:val="center"/>
          </w:tcPr>
          <w:p>
            <w:pPr>
              <w:adjustRightInd w:val="0"/>
              <w:snapToGrid w:val="0"/>
              <w:jc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昼间：7</w:t>
            </w:r>
            <w:r>
              <w:rPr>
                <w:rFonts w:ascii="Times New Roman" w:hAnsi="Times New Roman"/>
                <w:color w:val="auto"/>
                <w:kern w:val="0"/>
                <w:sz w:val="21"/>
                <w:szCs w:val="21"/>
                <w:lang w:bidi="ar"/>
              </w:rPr>
              <w:t>0dB(A)</w:t>
            </w:r>
          </w:p>
          <w:p>
            <w:pPr>
              <w:pStyle w:val="37"/>
              <w:adjustRightInd w:val="0"/>
              <w:snapToGrid w:val="0"/>
              <w:ind w:firstLine="0" w:firstLineChars="0"/>
              <w:jc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夜间：不排放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1074" w:type="dxa"/>
            <w:tcBorders>
              <w:left w:val="single" w:color="auto" w:sz="4" w:space="0"/>
              <w:right w:val="single" w:color="auto" w:sz="4" w:space="0"/>
            </w:tcBorders>
            <w:vAlign w:val="center"/>
          </w:tcPr>
          <w:p>
            <w:pPr>
              <w:adjustRightInd w:val="0"/>
              <w:snapToGrid w:val="0"/>
              <w:spacing w:line="360" w:lineRule="exact"/>
              <w:ind w:left="-108" w:firstLine="85" w:firstLineChars="45"/>
              <w:jc w:val="center"/>
              <w:rPr>
                <w:rFonts w:ascii="Times New Roman" w:hAnsi="Times New Roman"/>
                <w:color w:val="auto"/>
                <w:spacing w:val="-10"/>
                <w:sz w:val="21"/>
                <w:szCs w:val="21"/>
              </w:rPr>
            </w:pPr>
            <w:r>
              <w:rPr>
                <w:rFonts w:hint="eastAsia" w:ascii="Times New Roman" w:hAnsi="Times New Roman"/>
                <w:color w:val="auto"/>
                <w:spacing w:val="-10"/>
                <w:sz w:val="21"/>
                <w:szCs w:val="21"/>
              </w:rPr>
              <w:t>运输车辆</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pacing w:val="-10"/>
                <w:sz w:val="21"/>
                <w:szCs w:val="21"/>
              </w:rPr>
            </w:pPr>
            <w:r>
              <w:rPr>
                <w:rFonts w:hint="eastAsia" w:ascii="Times New Roman" w:hAnsi="Times New Roman"/>
                <w:color w:val="auto"/>
                <w:spacing w:val="-10"/>
                <w:sz w:val="21"/>
                <w:szCs w:val="21"/>
              </w:rPr>
              <w:t>交通噪声</w:t>
            </w:r>
          </w:p>
        </w:tc>
        <w:tc>
          <w:tcPr>
            <w:tcW w:w="2855" w:type="dxa"/>
            <w:gridSpan w:val="2"/>
            <w:vMerge w:val="continue"/>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kern w:val="0"/>
                <w:sz w:val="21"/>
                <w:szCs w:val="21"/>
                <w:lang w:bidi="ar"/>
              </w:rPr>
            </w:pPr>
          </w:p>
        </w:tc>
        <w:tc>
          <w:tcPr>
            <w:tcW w:w="2662" w:type="dxa"/>
            <w:gridSpan w:val="2"/>
            <w:vMerge w:val="continue"/>
            <w:tcBorders>
              <w:left w:val="single" w:color="auto" w:sz="4" w:space="0"/>
              <w:right w:val="single" w:color="auto" w:sz="4" w:space="0"/>
            </w:tcBorders>
            <w:vAlign w:val="center"/>
          </w:tcPr>
          <w:p>
            <w:pPr>
              <w:adjustRightInd w:val="0"/>
              <w:snapToGrid w:val="0"/>
              <w:jc w:val="center"/>
              <w:rPr>
                <w:rFonts w:ascii="Times New Roman" w:hAnsi="Times New Roman"/>
                <w:color w:val="auto"/>
                <w:spacing w:val="-1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70" w:type="dxa"/>
            <w:vMerge w:val="continue"/>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470" w:type="dxa"/>
            <w:tcBorders>
              <w:left w:val="single" w:color="auto" w:sz="4" w:space="0"/>
              <w:right w:val="single" w:color="auto" w:sz="4" w:space="0"/>
            </w:tcBorders>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ascii="Times New Roman" w:hAnsi="Times New Roman"/>
                <w:color w:val="auto"/>
                <w:sz w:val="21"/>
                <w:szCs w:val="21"/>
              </w:rPr>
              <w:t>运营期</w:t>
            </w:r>
          </w:p>
        </w:tc>
        <w:tc>
          <w:tcPr>
            <w:tcW w:w="1074" w:type="dxa"/>
            <w:tcBorders>
              <w:left w:val="single" w:color="auto" w:sz="4" w:space="0"/>
              <w:right w:val="single" w:color="auto" w:sz="4" w:space="0"/>
            </w:tcBorders>
            <w:vAlign w:val="center"/>
          </w:tcPr>
          <w:p>
            <w:pPr>
              <w:adjustRightInd w:val="0"/>
              <w:snapToGrid w:val="0"/>
              <w:spacing w:line="360" w:lineRule="exact"/>
              <w:ind w:left="-108" w:firstLine="85" w:firstLineChars="45"/>
              <w:jc w:val="center"/>
              <w:rPr>
                <w:rFonts w:ascii="Times New Roman" w:hAnsi="Times New Roman"/>
                <w:color w:val="auto"/>
                <w:spacing w:val="-10"/>
                <w:sz w:val="21"/>
                <w:szCs w:val="21"/>
              </w:rPr>
            </w:pPr>
            <w:r>
              <w:rPr>
                <w:rFonts w:hint="eastAsia" w:ascii="Times New Roman" w:hAnsi="Times New Roman"/>
                <w:color w:val="auto"/>
                <w:spacing w:val="-10"/>
                <w:sz w:val="21"/>
                <w:szCs w:val="21"/>
              </w:rPr>
              <w:t>鼓风机</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pacing w:val="-10"/>
                <w:sz w:val="21"/>
                <w:szCs w:val="21"/>
              </w:rPr>
            </w:pPr>
            <w:r>
              <w:rPr>
                <w:rFonts w:hint="eastAsia" w:ascii="Times New Roman" w:hAnsi="Times New Roman"/>
                <w:color w:val="auto"/>
                <w:spacing w:val="-10"/>
                <w:sz w:val="21"/>
                <w:szCs w:val="21"/>
              </w:rPr>
              <w:t>设备噪声</w:t>
            </w:r>
          </w:p>
        </w:tc>
        <w:tc>
          <w:tcPr>
            <w:tcW w:w="285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8</w:t>
            </w:r>
            <w:r>
              <w:rPr>
                <w:rFonts w:ascii="Times New Roman" w:hAnsi="Times New Roman"/>
                <w:color w:val="auto"/>
                <w:kern w:val="0"/>
                <w:sz w:val="21"/>
                <w:szCs w:val="21"/>
                <w:lang w:bidi="ar"/>
              </w:rPr>
              <w:t>5dB(A)</w:t>
            </w:r>
          </w:p>
        </w:tc>
        <w:tc>
          <w:tcPr>
            <w:tcW w:w="2662" w:type="dxa"/>
            <w:gridSpan w:val="2"/>
            <w:tcBorders>
              <w:left w:val="single" w:color="auto" w:sz="4" w:space="0"/>
              <w:right w:val="single" w:color="auto" w:sz="4" w:space="0"/>
            </w:tcBorders>
            <w:vAlign w:val="center"/>
          </w:tcPr>
          <w:p>
            <w:pPr>
              <w:adjustRightInd w:val="0"/>
              <w:snapToGrid w:val="0"/>
              <w:jc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东、南厂界：</w:t>
            </w:r>
          </w:p>
          <w:p>
            <w:pPr>
              <w:adjustRightInd w:val="0"/>
              <w:snapToGrid w:val="0"/>
              <w:jc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昼间：</w:t>
            </w:r>
            <w:r>
              <w:rPr>
                <w:rFonts w:ascii="Times New Roman" w:hAnsi="Times New Roman"/>
                <w:color w:val="auto"/>
                <w:kern w:val="0"/>
                <w:sz w:val="21"/>
                <w:szCs w:val="21"/>
                <w:lang w:bidi="ar"/>
              </w:rPr>
              <w:t>57.75~58.27dB(A)</w:t>
            </w:r>
          </w:p>
          <w:p>
            <w:pPr>
              <w:adjustRightInd w:val="0"/>
              <w:snapToGrid w:val="0"/>
              <w:jc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夜间：4</w:t>
            </w:r>
            <w:r>
              <w:rPr>
                <w:rFonts w:ascii="Times New Roman" w:hAnsi="Times New Roman"/>
                <w:color w:val="auto"/>
                <w:kern w:val="0"/>
                <w:sz w:val="21"/>
                <w:szCs w:val="21"/>
                <w:lang w:bidi="ar"/>
              </w:rPr>
              <w:t>9.55~49.90dB(A)</w:t>
            </w:r>
          </w:p>
          <w:p>
            <w:pPr>
              <w:pStyle w:val="37"/>
              <w:adjustRightInd w:val="0"/>
              <w:snapToGrid w:val="0"/>
              <w:ind w:firstLine="0" w:firstLineChars="0"/>
              <w:jc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北、西厂界：</w:t>
            </w:r>
          </w:p>
          <w:p>
            <w:pPr>
              <w:adjustRightInd w:val="0"/>
              <w:snapToGrid w:val="0"/>
              <w:jc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昼间：5</w:t>
            </w:r>
            <w:r>
              <w:rPr>
                <w:rFonts w:ascii="Times New Roman" w:hAnsi="Times New Roman"/>
                <w:color w:val="auto"/>
                <w:kern w:val="0"/>
                <w:sz w:val="21"/>
                <w:szCs w:val="21"/>
                <w:lang w:bidi="ar"/>
              </w:rPr>
              <w:t>8.33~58.49dB(A)</w:t>
            </w:r>
          </w:p>
          <w:p>
            <w:pPr>
              <w:adjustRightInd w:val="0"/>
              <w:snapToGrid w:val="0"/>
              <w:jc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夜间：4</w:t>
            </w:r>
            <w:r>
              <w:rPr>
                <w:rFonts w:ascii="Times New Roman" w:hAnsi="Times New Roman"/>
                <w:color w:val="auto"/>
                <w:kern w:val="0"/>
                <w:sz w:val="21"/>
                <w:szCs w:val="21"/>
                <w:lang w:bidi="ar"/>
              </w:rPr>
              <w:t>9.67~54.81dB(A)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23" w:type="dxa"/>
            <w:gridSpan w:val="8"/>
            <w:tcBorders>
              <w:top w:val="single" w:color="auto" w:sz="4" w:space="0"/>
              <w:left w:val="single" w:color="auto" w:sz="4" w:space="0"/>
              <w:bottom w:val="nil"/>
              <w:right w:val="single" w:color="auto" w:sz="4" w:space="0"/>
            </w:tcBorders>
            <w:vAlign w:val="center"/>
          </w:tcPr>
          <w:p>
            <w:pPr>
              <w:adjustRightInd w:val="0"/>
              <w:snapToGrid w:val="0"/>
              <w:spacing w:line="400" w:lineRule="exact"/>
              <w:rPr>
                <w:rFonts w:ascii="Times New Roman" w:hAnsi="Times New Roman"/>
                <w:color w:val="auto"/>
                <w:sz w:val="21"/>
                <w:szCs w:val="21"/>
              </w:rPr>
            </w:pPr>
            <w:r>
              <w:rPr>
                <w:rFonts w:ascii="Times New Roman" w:hAnsi="Times New Roman"/>
                <w:b/>
                <w:bCs/>
                <w:color w:val="auto"/>
                <w:sz w:val="21"/>
                <w:szCs w:val="21"/>
              </w:rPr>
              <w:t>主要生态影响（不够时可附另页）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23" w:type="dxa"/>
            <w:gridSpan w:val="8"/>
            <w:tcBorders>
              <w:top w:val="nil"/>
              <w:left w:val="single" w:color="auto" w:sz="4" w:space="0"/>
              <w:bottom w:val="single" w:color="auto" w:sz="4" w:space="0"/>
              <w:right w:val="single" w:color="auto" w:sz="4" w:space="0"/>
            </w:tcBorders>
          </w:tcPr>
          <w:p>
            <w:pPr>
              <w:pStyle w:val="2"/>
              <w:adjustRightInd w:val="0"/>
              <w:snapToGrid w:val="0"/>
              <w:spacing w:line="240" w:lineRule="auto"/>
              <w:ind w:firstLine="420" w:firstLineChars="200"/>
              <w:rPr>
                <w:rFonts w:ascii="Times New Roman" w:hAnsi="Times New Roman"/>
                <w:color w:val="auto"/>
              </w:rPr>
            </w:pPr>
            <w:r>
              <w:rPr>
                <w:rFonts w:ascii="Times New Roman" w:hAnsi="Times New Roman"/>
                <w:color w:val="auto"/>
                <w:sz w:val="21"/>
                <w:szCs w:val="21"/>
              </w:rPr>
              <w:t>本项目</w:t>
            </w:r>
            <w:r>
              <w:rPr>
                <w:rFonts w:hint="eastAsia" w:ascii="Times New Roman" w:hAnsi="Times New Roman"/>
                <w:color w:val="auto"/>
                <w:sz w:val="21"/>
                <w:szCs w:val="21"/>
              </w:rPr>
              <w:t>在</w:t>
            </w:r>
            <w:r>
              <w:rPr>
                <w:rFonts w:ascii="Times New Roman" w:hAnsi="Times New Roman"/>
                <w:color w:val="auto"/>
                <w:sz w:val="21"/>
                <w:szCs w:val="21"/>
              </w:rPr>
              <w:t>现有厂房</w:t>
            </w:r>
            <w:r>
              <w:rPr>
                <w:rFonts w:hint="eastAsia" w:ascii="Times New Roman" w:hAnsi="Times New Roman"/>
                <w:color w:val="auto"/>
                <w:sz w:val="21"/>
                <w:szCs w:val="21"/>
              </w:rPr>
              <w:t>内进行技术改造</w:t>
            </w:r>
            <w:r>
              <w:rPr>
                <w:rFonts w:ascii="Times New Roman" w:hAnsi="Times New Roman"/>
                <w:color w:val="auto"/>
                <w:sz w:val="21"/>
                <w:szCs w:val="21"/>
              </w:rPr>
              <w:t>，不</w:t>
            </w:r>
            <w:r>
              <w:rPr>
                <w:rFonts w:hint="eastAsia" w:ascii="Times New Roman" w:hAnsi="Times New Roman"/>
                <w:color w:val="auto"/>
                <w:sz w:val="21"/>
                <w:szCs w:val="21"/>
              </w:rPr>
              <w:t>新增</w:t>
            </w:r>
            <w:r>
              <w:rPr>
                <w:rFonts w:ascii="Times New Roman" w:hAnsi="Times New Roman"/>
                <w:color w:val="auto"/>
                <w:sz w:val="21"/>
                <w:szCs w:val="21"/>
              </w:rPr>
              <w:t>占地，</w:t>
            </w:r>
            <w:r>
              <w:rPr>
                <w:rFonts w:hint="eastAsia" w:ascii="Times New Roman" w:hAnsi="Times New Roman"/>
                <w:color w:val="auto"/>
                <w:kern w:val="2"/>
                <w:sz w:val="21"/>
                <w:szCs w:val="21"/>
              </w:rPr>
              <w:t>基本不涉及土建</w:t>
            </w:r>
            <w:r>
              <w:rPr>
                <w:rFonts w:ascii="Times New Roman" w:hAnsi="Times New Roman"/>
                <w:color w:val="auto"/>
                <w:kern w:val="2"/>
                <w:sz w:val="21"/>
                <w:szCs w:val="21"/>
              </w:rPr>
              <w:t>，项目所在区域范围内地面</w:t>
            </w:r>
            <w:r>
              <w:rPr>
                <w:rFonts w:hint="eastAsia" w:ascii="Times New Roman" w:hAnsi="Times New Roman"/>
                <w:color w:val="auto"/>
                <w:kern w:val="2"/>
                <w:sz w:val="21"/>
                <w:szCs w:val="21"/>
              </w:rPr>
              <w:t>已</w:t>
            </w:r>
            <w:r>
              <w:rPr>
                <w:rFonts w:ascii="Times New Roman" w:hAnsi="Times New Roman"/>
                <w:color w:val="auto"/>
                <w:kern w:val="2"/>
                <w:sz w:val="21"/>
                <w:szCs w:val="21"/>
              </w:rPr>
              <w:t>全部硬化，项目</w:t>
            </w:r>
            <w:r>
              <w:rPr>
                <w:rFonts w:hint="eastAsia" w:ascii="Times New Roman" w:hAnsi="Times New Roman"/>
                <w:color w:val="auto"/>
                <w:kern w:val="2"/>
                <w:sz w:val="21"/>
                <w:szCs w:val="21"/>
              </w:rPr>
              <w:t>施工及</w:t>
            </w:r>
            <w:r>
              <w:rPr>
                <w:rFonts w:ascii="Times New Roman" w:hAnsi="Times New Roman"/>
                <w:color w:val="auto"/>
                <w:kern w:val="2"/>
                <w:sz w:val="21"/>
                <w:szCs w:val="21"/>
              </w:rPr>
              <w:t>生产均在厂房内进行。评价范围内不涉及特殊或重要生态敏感区，不涉及珍惜濒危野生动植物或地方特有种，不涉及野生动植物破坏，故项目生产对周边生态环境</w:t>
            </w:r>
            <w:r>
              <w:rPr>
                <w:rFonts w:hint="eastAsia" w:ascii="Times New Roman" w:hAnsi="Times New Roman"/>
                <w:color w:val="auto"/>
                <w:kern w:val="2"/>
                <w:sz w:val="21"/>
                <w:szCs w:val="21"/>
              </w:rPr>
              <w:t>的</w:t>
            </w:r>
            <w:r>
              <w:rPr>
                <w:rFonts w:ascii="Times New Roman" w:hAnsi="Times New Roman"/>
                <w:color w:val="auto"/>
                <w:kern w:val="2"/>
                <w:sz w:val="21"/>
                <w:szCs w:val="21"/>
              </w:rPr>
              <w:t>影响</w:t>
            </w:r>
            <w:r>
              <w:rPr>
                <w:rFonts w:hint="eastAsia" w:ascii="Times New Roman" w:hAnsi="Times New Roman"/>
                <w:color w:val="auto"/>
                <w:kern w:val="2"/>
                <w:sz w:val="21"/>
                <w:szCs w:val="21"/>
              </w:rPr>
              <w:t>是可接受的</w:t>
            </w:r>
            <w:r>
              <w:rPr>
                <w:rFonts w:ascii="Times New Roman" w:hAnsi="Times New Roman"/>
                <w:color w:val="auto"/>
                <w:kern w:val="2"/>
                <w:sz w:val="21"/>
                <w:szCs w:val="21"/>
              </w:rPr>
              <w:t>。</w:t>
            </w:r>
          </w:p>
        </w:tc>
      </w:tr>
    </w:tbl>
    <w:p>
      <w:pPr>
        <w:adjustRightInd w:val="0"/>
        <w:snapToGrid w:val="0"/>
        <w:spacing w:after="120" w:line="320" w:lineRule="atLeast"/>
        <w:outlineLvl w:val="0"/>
        <w:rPr>
          <w:rFonts w:ascii="Times New Roman" w:hAnsi="Times New Roman"/>
          <w:b/>
          <w:bCs/>
          <w:color w:val="auto"/>
          <w:sz w:val="30"/>
          <w:szCs w:val="30"/>
        </w:rPr>
      </w:pPr>
      <w:r>
        <w:rPr>
          <w:rFonts w:ascii="Times New Roman" w:hAnsi="Times New Roman"/>
          <w:b/>
          <w:bCs/>
          <w:color w:val="auto"/>
          <w:sz w:val="30"/>
          <w:szCs w:val="30"/>
        </w:rPr>
        <w:br w:type="page"/>
      </w:r>
    </w:p>
    <w:p>
      <w:pPr>
        <w:adjustRightInd w:val="0"/>
        <w:snapToGrid w:val="0"/>
        <w:spacing w:after="120" w:line="320" w:lineRule="atLeast"/>
        <w:outlineLvl w:val="0"/>
        <w:rPr>
          <w:rFonts w:ascii="Times New Roman" w:hAnsi="Times New Roman"/>
          <w:b/>
          <w:bCs/>
          <w:color w:val="auto"/>
          <w:sz w:val="30"/>
          <w:szCs w:val="30"/>
        </w:rPr>
      </w:pPr>
      <w:r>
        <w:rPr>
          <w:rFonts w:ascii="Times New Roman" w:hAnsi="Times New Roman"/>
          <w:b/>
          <w:bCs/>
          <w:color w:val="auto"/>
          <w:sz w:val="30"/>
          <w:szCs w:val="30"/>
        </w:rPr>
        <w:t>表七、环境影响分析</w:t>
      </w:r>
      <w:bookmarkEnd w:id="44"/>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2" w:hRule="atLeast"/>
        </w:trPr>
        <w:tc>
          <w:tcPr>
            <w:tcW w:w="5000" w:type="pct"/>
            <w:tcBorders>
              <w:top w:val="single" w:color="auto" w:sz="4" w:space="0"/>
              <w:left w:val="single" w:color="auto" w:sz="4" w:space="0"/>
              <w:bottom w:val="single" w:color="auto" w:sz="4" w:space="0"/>
              <w:right w:val="single" w:color="auto" w:sz="4" w:space="0"/>
            </w:tcBorders>
          </w:tcPr>
          <w:p>
            <w:pPr>
              <w:numPr>
                <w:ilvl w:val="0"/>
                <w:numId w:val="6"/>
              </w:numPr>
              <w:adjustRightInd w:val="0"/>
              <w:snapToGrid w:val="0"/>
              <w:spacing w:line="440" w:lineRule="exact"/>
              <w:rPr>
                <w:rFonts w:ascii="Times New Roman" w:hAnsi="Times New Roman"/>
                <w:b/>
                <w:bCs/>
                <w:color w:val="auto"/>
              </w:rPr>
            </w:pPr>
            <w:r>
              <w:rPr>
                <w:rFonts w:ascii="Times New Roman" w:hAnsi="Times New Roman"/>
                <w:b/>
                <w:bCs/>
                <w:color w:val="auto"/>
              </w:rPr>
              <w:t>施工期环境影响简要分析：</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技改</w:t>
            </w:r>
            <w:r>
              <w:rPr>
                <w:rFonts w:ascii="Times New Roman" w:hAnsi="Times New Roman"/>
                <w:color w:val="auto"/>
              </w:rPr>
              <w:t>项目施工</w:t>
            </w:r>
            <w:r>
              <w:rPr>
                <w:rFonts w:ascii="Times New Roman" w:hAnsi="Times New Roman"/>
                <w:color w:val="auto"/>
                <w:kern w:val="0"/>
                <w:szCs w:val="22"/>
                <w:lang w:val="zh-CN"/>
              </w:rPr>
              <w:t>总工期</w:t>
            </w:r>
            <w:r>
              <w:rPr>
                <w:rFonts w:ascii="Times New Roman" w:hAnsi="Times New Roman"/>
                <w:color w:val="auto"/>
                <w:kern w:val="0"/>
                <w:szCs w:val="22"/>
              </w:rPr>
              <w:t>3</w:t>
            </w:r>
            <w:r>
              <w:rPr>
                <w:rFonts w:ascii="Times New Roman" w:hAnsi="Times New Roman"/>
                <w:color w:val="auto"/>
                <w:kern w:val="0"/>
                <w:szCs w:val="22"/>
                <w:lang w:val="zh-CN"/>
              </w:rPr>
              <w:t>个月</w:t>
            </w:r>
            <w:r>
              <w:rPr>
                <w:rFonts w:ascii="Times New Roman" w:hAnsi="Times New Roman"/>
                <w:color w:val="auto"/>
              </w:rPr>
              <w:t>。</w:t>
            </w:r>
            <w:r>
              <w:rPr>
                <w:rFonts w:hint="eastAsia" w:ascii="Times New Roman" w:hAnsi="Times New Roman"/>
                <w:color w:val="auto"/>
              </w:rPr>
              <w:t>全部在现有</w:t>
            </w:r>
            <w:r>
              <w:rPr>
                <w:rFonts w:ascii="Times New Roman" w:hAnsi="Times New Roman"/>
                <w:color w:val="auto"/>
              </w:rPr>
              <w:t>车间</w:t>
            </w:r>
            <w:r>
              <w:rPr>
                <w:rFonts w:hint="eastAsia" w:ascii="Times New Roman" w:hAnsi="Times New Roman"/>
                <w:color w:val="auto"/>
              </w:rPr>
              <w:t>内进行，基本不涉及土建</w:t>
            </w:r>
            <w:r>
              <w:rPr>
                <w:rFonts w:ascii="Times New Roman" w:hAnsi="Times New Roman"/>
                <w:color w:val="auto"/>
              </w:rPr>
              <w:t>，施工</w:t>
            </w:r>
            <w:r>
              <w:rPr>
                <w:rFonts w:hint="eastAsia" w:ascii="Times New Roman" w:hAnsi="Times New Roman"/>
                <w:color w:val="auto"/>
              </w:rPr>
              <w:t>主要内容</w:t>
            </w:r>
            <w:r>
              <w:rPr>
                <w:rFonts w:ascii="Times New Roman" w:hAnsi="Times New Roman"/>
                <w:color w:val="auto"/>
              </w:rPr>
              <w:t>为设备</w:t>
            </w:r>
            <w:r>
              <w:rPr>
                <w:rFonts w:hint="eastAsia" w:ascii="Times New Roman" w:hAnsi="Times New Roman"/>
                <w:color w:val="auto"/>
              </w:rPr>
              <w:t>拆除和</w:t>
            </w:r>
            <w:r>
              <w:rPr>
                <w:rFonts w:ascii="Times New Roman" w:hAnsi="Times New Roman"/>
                <w:color w:val="auto"/>
              </w:rPr>
              <w:t>安装。</w:t>
            </w:r>
          </w:p>
          <w:p>
            <w:pPr>
              <w:pStyle w:val="96"/>
              <w:adjustRightInd w:val="0"/>
              <w:snapToGrid w:val="0"/>
              <w:spacing w:line="360" w:lineRule="auto"/>
              <w:ind w:firstLine="482" w:firstLineChars="200"/>
              <w:rPr>
                <w:rFonts w:ascii="Times New Roman" w:hAnsi="Times New Roman"/>
                <w:b/>
                <w:color w:val="auto"/>
              </w:rPr>
            </w:pPr>
            <w:r>
              <w:rPr>
                <w:rFonts w:ascii="Times New Roman" w:hAnsi="Times New Roman"/>
                <w:b/>
                <w:color w:val="auto"/>
              </w:rPr>
              <w:t>1、大气环境影响分析</w:t>
            </w:r>
          </w:p>
          <w:p>
            <w:pPr>
              <w:autoSpaceDE w:val="0"/>
              <w:autoSpaceDN w:val="0"/>
              <w:adjustRightInd w:val="0"/>
              <w:snapToGrid w:val="0"/>
              <w:spacing w:line="360" w:lineRule="auto"/>
              <w:ind w:firstLine="480" w:firstLineChars="200"/>
              <w:rPr>
                <w:rFonts w:ascii="Times New Roman" w:hAnsi="Times New Roman"/>
                <w:bCs/>
                <w:color w:val="auto"/>
              </w:rPr>
            </w:pPr>
            <w:r>
              <w:rPr>
                <w:rFonts w:hint="eastAsia" w:ascii="Times New Roman" w:hAnsi="Times New Roman"/>
                <w:bCs/>
                <w:color w:val="auto"/>
              </w:rPr>
              <w:t>技改项目施工期产生的废气主要来自于</w:t>
            </w:r>
            <w:r>
              <w:rPr>
                <w:rFonts w:ascii="Times New Roman" w:hAnsi="Times New Roman"/>
                <w:bCs/>
                <w:color w:val="auto"/>
              </w:rPr>
              <w:t>运输车辆、施工机械产生的尾气及</w:t>
            </w:r>
            <w:r>
              <w:rPr>
                <w:rFonts w:hint="eastAsia" w:ascii="Times New Roman" w:hAnsi="Times New Roman"/>
                <w:bCs/>
                <w:color w:val="auto"/>
              </w:rPr>
              <w:t>设备拆除、安装过程中产生的施工粉尘</w:t>
            </w:r>
            <w:r>
              <w:rPr>
                <w:rFonts w:ascii="Times New Roman" w:hAnsi="Times New Roman"/>
                <w:bCs/>
                <w:color w:val="auto"/>
              </w:rPr>
              <w:t>。</w:t>
            </w:r>
          </w:p>
          <w:p>
            <w:pPr>
              <w:autoSpaceDE w:val="0"/>
              <w:autoSpaceDN w:val="0"/>
              <w:adjustRightInd w:val="0"/>
              <w:snapToGrid w:val="0"/>
              <w:spacing w:line="360" w:lineRule="auto"/>
              <w:ind w:firstLine="480" w:firstLineChars="200"/>
              <w:rPr>
                <w:rFonts w:ascii="Times New Roman" w:hAnsi="Times New Roman"/>
                <w:bCs/>
                <w:color w:val="auto"/>
              </w:rPr>
            </w:pPr>
            <w:r>
              <w:rPr>
                <w:rFonts w:hint="eastAsia" w:ascii="Times New Roman" w:hAnsi="Times New Roman"/>
                <w:bCs/>
                <w:color w:val="auto"/>
              </w:rPr>
              <w:t>技改项目</w:t>
            </w:r>
            <w:r>
              <w:rPr>
                <w:rFonts w:hint="eastAsia" w:ascii="Times New Roman" w:hAnsi="Times New Roman"/>
                <w:color w:val="auto"/>
                <w:kern w:val="0"/>
              </w:rPr>
              <w:t>基本不涉及土建，主要进行设备拆除和安装，无裸露的施工场地，也不涉及粉状材料堆放，施工粉尘主要产生于打孔预制工序，完全在车间内操作，产生量少，通过车间阻隔、洒水降尘后进入外环境的粉尘量很少，对周围环境空气的影响是可接受的。</w:t>
            </w:r>
          </w:p>
          <w:p>
            <w:pPr>
              <w:autoSpaceDE w:val="0"/>
              <w:autoSpaceDN w:val="0"/>
              <w:adjustRightInd w:val="0"/>
              <w:snapToGrid w:val="0"/>
              <w:spacing w:line="360" w:lineRule="auto"/>
              <w:ind w:firstLine="480" w:firstLineChars="200"/>
              <w:rPr>
                <w:rFonts w:ascii="Times New Roman" w:hAnsi="Times New Roman"/>
                <w:color w:val="auto"/>
                <w:kern w:val="0"/>
              </w:rPr>
            </w:pPr>
            <w:r>
              <w:rPr>
                <w:rFonts w:ascii="Times New Roman" w:hAnsi="Times New Roman"/>
                <w:color w:val="auto"/>
                <w:kern w:val="0"/>
              </w:rPr>
              <w:t>施工中运输车辆及施工机械运行产生的废气均是动力燃料柴油和汽油燃烧后所产生，主要成份是HC、CO、NO</w:t>
            </w:r>
            <w:r>
              <w:rPr>
                <w:rFonts w:hint="eastAsia" w:ascii="Times New Roman" w:hAnsi="Times New Roman"/>
                <w:color w:val="auto"/>
                <w:kern w:val="0"/>
                <w:vertAlign w:val="subscript"/>
              </w:rPr>
              <w:t>X</w:t>
            </w:r>
            <w:r>
              <w:rPr>
                <w:rFonts w:ascii="Times New Roman" w:hAnsi="Times New Roman"/>
                <w:color w:val="auto"/>
                <w:kern w:val="0"/>
              </w:rPr>
              <w:t>，属间歇性无组织排放，各类污染物产生量</w:t>
            </w:r>
            <w:r>
              <w:rPr>
                <w:rFonts w:hint="eastAsia" w:ascii="Times New Roman" w:hAnsi="Times New Roman"/>
                <w:color w:val="auto"/>
                <w:kern w:val="0"/>
              </w:rPr>
              <w:t>较小</w:t>
            </w:r>
            <w:r>
              <w:rPr>
                <w:rFonts w:ascii="Times New Roman" w:hAnsi="Times New Roman"/>
                <w:color w:val="auto"/>
                <w:kern w:val="0"/>
              </w:rPr>
              <w:t>，项目施工场地扩散条件较好，</w:t>
            </w:r>
            <w:r>
              <w:rPr>
                <w:rFonts w:hint="eastAsia" w:ascii="Times New Roman" w:hAnsi="Times New Roman"/>
                <w:color w:val="auto"/>
                <w:kern w:val="0"/>
              </w:rPr>
              <w:t>只要做好施工机械设备和运输车辆的保养工作，保证其正常运行，则施工机械尾气对周围环境空气的影响是可接受的。</w:t>
            </w:r>
          </w:p>
          <w:p>
            <w:pPr>
              <w:autoSpaceDE w:val="0"/>
              <w:autoSpaceDN w:val="0"/>
              <w:adjustRightInd w:val="0"/>
              <w:snapToGrid w:val="0"/>
              <w:spacing w:line="360" w:lineRule="auto"/>
              <w:ind w:firstLine="480" w:firstLineChars="200"/>
              <w:rPr>
                <w:rFonts w:ascii="Times New Roman" w:hAnsi="Times New Roman"/>
                <w:color w:val="auto"/>
                <w:kern w:val="0"/>
              </w:rPr>
            </w:pPr>
            <w:r>
              <w:rPr>
                <w:rFonts w:hint="eastAsia" w:ascii="Times New Roman" w:hAnsi="Times New Roman"/>
                <w:color w:val="auto"/>
                <w:kern w:val="0"/>
              </w:rPr>
              <w:t>技改项目下风向距离最近的环境空气保护目标为</w:t>
            </w:r>
            <w:r>
              <w:rPr>
                <w:rFonts w:hint="eastAsia" w:ascii="Times New Roman" w:hAnsi="Times New Roman"/>
                <w:color w:val="auto"/>
                <w:kern w:val="0"/>
                <w:highlight w:val="none"/>
                <w:lang w:eastAsia="zh-CN"/>
              </w:rPr>
              <w:t>西南侧</w:t>
            </w:r>
            <w:r>
              <w:rPr>
                <w:rFonts w:hint="eastAsia" w:ascii="Times New Roman" w:hAnsi="Times New Roman"/>
                <w:color w:val="auto"/>
                <w:kern w:val="0"/>
                <w:highlight w:val="none"/>
                <w:lang w:val="en-US" w:eastAsia="zh-CN"/>
              </w:rPr>
              <w:t>90</w:t>
            </w:r>
            <w:r>
              <w:rPr>
                <w:rFonts w:ascii="Times New Roman" w:hAnsi="Times New Roman"/>
                <w:color w:val="auto"/>
                <w:kern w:val="0"/>
                <w:highlight w:val="none"/>
              </w:rPr>
              <w:t>m</w:t>
            </w:r>
            <w:r>
              <w:rPr>
                <w:rFonts w:hint="eastAsia" w:ascii="Times New Roman" w:hAnsi="Times New Roman"/>
                <w:color w:val="auto"/>
                <w:kern w:val="0"/>
                <w:highlight w:val="none"/>
              </w:rPr>
              <w:t>处的</w:t>
            </w:r>
            <w:r>
              <w:rPr>
                <w:rFonts w:hint="eastAsia" w:ascii="Times New Roman" w:hAnsi="Times New Roman"/>
                <w:color w:val="auto"/>
                <w:kern w:val="0"/>
                <w:highlight w:val="none"/>
                <w:lang w:eastAsia="zh-CN"/>
              </w:rPr>
              <w:t>小</w:t>
            </w:r>
            <w:r>
              <w:rPr>
                <w:rFonts w:hint="eastAsia" w:ascii="Times New Roman" w:hAnsi="Times New Roman"/>
                <w:color w:val="auto"/>
                <w:kern w:val="0"/>
                <w:highlight w:val="none"/>
              </w:rPr>
              <w:t>唐营散户</w:t>
            </w:r>
            <w:r>
              <w:rPr>
                <w:rFonts w:hint="eastAsia" w:ascii="Times New Roman" w:hAnsi="Times New Roman"/>
                <w:color w:val="auto"/>
                <w:kern w:val="0"/>
              </w:rPr>
              <w:t>，技改项目产生的粉尘基本集中于车间内，施工机械废气在施工场地附近也可以得到良好地扩散和稀释，则施工废气对大唐营散户的影响很小，在可接受范围内，并</w:t>
            </w:r>
            <w:r>
              <w:rPr>
                <w:rFonts w:ascii="Times New Roman" w:hAnsi="Times New Roman"/>
                <w:color w:val="auto"/>
                <w:kern w:val="0"/>
              </w:rPr>
              <w:t>且</w:t>
            </w:r>
            <w:r>
              <w:rPr>
                <w:rFonts w:hint="eastAsia" w:ascii="Times New Roman" w:hAnsi="Times New Roman"/>
                <w:color w:val="auto"/>
                <w:kern w:val="0"/>
              </w:rPr>
              <w:t>施工期较短，废气的影响是暂时的，将</w:t>
            </w:r>
            <w:r>
              <w:rPr>
                <w:rFonts w:ascii="Times New Roman" w:hAnsi="Times New Roman"/>
                <w:color w:val="auto"/>
                <w:kern w:val="0"/>
              </w:rPr>
              <w:t>随着施工期的结束而结束</w:t>
            </w:r>
            <w:r>
              <w:rPr>
                <w:rFonts w:hint="eastAsia" w:ascii="Times New Roman" w:hAnsi="Times New Roman"/>
                <w:color w:val="auto"/>
                <w:kern w:val="0"/>
              </w:rPr>
              <w:t>。</w:t>
            </w:r>
          </w:p>
          <w:p>
            <w:pPr>
              <w:pStyle w:val="96"/>
              <w:adjustRightInd w:val="0"/>
              <w:snapToGrid w:val="0"/>
              <w:spacing w:line="360" w:lineRule="auto"/>
              <w:ind w:firstLine="482" w:firstLineChars="200"/>
              <w:rPr>
                <w:rFonts w:ascii="Times New Roman" w:hAnsi="Times New Roman"/>
                <w:b/>
                <w:color w:val="auto"/>
              </w:rPr>
            </w:pPr>
            <w:r>
              <w:rPr>
                <w:rFonts w:ascii="Times New Roman" w:hAnsi="Times New Roman"/>
                <w:b/>
                <w:color w:val="auto"/>
              </w:rPr>
              <w:t>2、声环境影响分析</w:t>
            </w:r>
          </w:p>
          <w:p>
            <w:pPr>
              <w:overflowPunct w:val="0"/>
              <w:topLinePunct/>
              <w:adjustRightInd w:val="0"/>
              <w:snapToGrid w:val="0"/>
              <w:spacing w:line="360" w:lineRule="auto"/>
              <w:ind w:firstLine="480" w:firstLineChars="200"/>
              <w:rPr>
                <w:rFonts w:ascii="Times New Roman" w:hAnsi="Times New Roman"/>
                <w:color w:val="auto"/>
                <w:kern w:val="2"/>
              </w:rPr>
            </w:pPr>
            <w:r>
              <w:rPr>
                <w:rFonts w:ascii="Times New Roman" w:hAnsi="Times New Roman"/>
                <w:color w:val="auto"/>
                <w:kern w:val="0"/>
              </w:rPr>
              <w:t>本项目施工期仅白天进行，</w:t>
            </w:r>
            <w:r>
              <w:rPr>
                <w:rFonts w:hint="eastAsia" w:ascii="Times New Roman" w:hAnsi="Times New Roman"/>
                <w:color w:val="auto"/>
                <w:kern w:val="2"/>
              </w:rPr>
              <w:t>项目施工期噪声主要是使用切割机</w:t>
            </w:r>
            <w:r>
              <w:rPr>
                <w:rFonts w:ascii="Times New Roman" w:hAnsi="Times New Roman"/>
                <w:color w:val="auto"/>
                <w:kern w:val="2"/>
              </w:rPr>
              <w:t>、电钻、</w:t>
            </w:r>
            <w:r>
              <w:rPr>
                <w:rFonts w:hint="eastAsia" w:ascii="Times New Roman" w:hAnsi="Times New Roman"/>
                <w:color w:val="auto"/>
                <w:kern w:val="2"/>
              </w:rPr>
              <w:t>起重机</w:t>
            </w:r>
            <w:r>
              <w:rPr>
                <w:rFonts w:ascii="Times New Roman" w:hAnsi="Times New Roman"/>
                <w:color w:val="auto"/>
                <w:kern w:val="2"/>
              </w:rPr>
              <w:t>等施工机械</w:t>
            </w:r>
            <w:r>
              <w:rPr>
                <w:rFonts w:hint="eastAsia" w:ascii="Times New Roman" w:hAnsi="Times New Roman"/>
                <w:color w:val="auto"/>
                <w:kern w:val="2"/>
              </w:rPr>
              <w:t>产生的机械噪声和</w:t>
            </w:r>
            <w:r>
              <w:rPr>
                <w:rFonts w:ascii="Times New Roman" w:hAnsi="Times New Roman"/>
                <w:color w:val="auto"/>
                <w:kern w:val="2"/>
              </w:rPr>
              <w:t>运输车辆</w:t>
            </w:r>
            <w:r>
              <w:rPr>
                <w:rFonts w:hint="eastAsia" w:ascii="Times New Roman" w:hAnsi="Times New Roman"/>
                <w:color w:val="auto"/>
                <w:kern w:val="2"/>
              </w:rPr>
              <w:t>产生的交通噪声。</w:t>
            </w:r>
          </w:p>
          <w:p>
            <w:pPr>
              <w:overflowPunct w:val="0"/>
              <w:topLinePunct/>
              <w:adjustRightInd w:val="0"/>
              <w:snapToGrid w:val="0"/>
              <w:spacing w:line="360" w:lineRule="auto"/>
              <w:ind w:firstLine="480" w:firstLineChars="200"/>
              <w:rPr>
                <w:rFonts w:ascii="Times New Roman" w:hAnsi="Times New Roman"/>
                <w:color w:val="auto"/>
                <w:kern w:val="2"/>
              </w:rPr>
            </w:pPr>
            <w:r>
              <w:rPr>
                <w:rFonts w:ascii="Times New Roman" w:hAnsi="Times New Roman"/>
                <w:color w:val="auto"/>
                <w:kern w:val="2"/>
              </w:rPr>
              <w:t>在考虑技改项目噪声源对环境影响的同时，仅考虑点声源到不同距离处经距离衰减后的噪声，计算出声源对</w:t>
            </w:r>
            <w:r>
              <w:rPr>
                <w:rFonts w:hint="eastAsia" w:ascii="Times New Roman" w:hAnsi="Times New Roman"/>
                <w:color w:val="auto"/>
                <w:kern w:val="2"/>
              </w:rPr>
              <w:t>厂界的贡献值及</w:t>
            </w:r>
            <w:r>
              <w:rPr>
                <w:rFonts w:ascii="Times New Roman" w:hAnsi="Times New Roman"/>
                <w:color w:val="auto"/>
                <w:kern w:val="2"/>
              </w:rPr>
              <w:t>附近敏感点的</w:t>
            </w:r>
            <w:r>
              <w:rPr>
                <w:rFonts w:hint="eastAsia" w:ascii="Times New Roman" w:hAnsi="Times New Roman"/>
                <w:color w:val="auto"/>
                <w:kern w:val="2"/>
              </w:rPr>
              <w:t>处的预测</w:t>
            </w:r>
            <w:r>
              <w:rPr>
                <w:rFonts w:ascii="Times New Roman" w:hAnsi="Times New Roman"/>
                <w:color w:val="auto"/>
                <w:kern w:val="2"/>
              </w:rPr>
              <w:t>值，并进行</w:t>
            </w:r>
            <w:r>
              <w:rPr>
                <w:rFonts w:hint="eastAsia" w:ascii="Times New Roman" w:hAnsi="Times New Roman"/>
                <w:color w:val="auto"/>
                <w:kern w:val="2"/>
              </w:rPr>
              <w:t>达标</w:t>
            </w:r>
            <w:r>
              <w:rPr>
                <w:rFonts w:ascii="Times New Roman" w:hAnsi="Times New Roman"/>
                <w:color w:val="auto"/>
                <w:kern w:val="2"/>
              </w:rPr>
              <w:t>分析。噪声值计算模式为：</w:t>
            </w:r>
          </w:p>
          <w:p>
            <w:pPr>
              <w:overflowPunct w:val="0"/>
              <w:topLinePunct/>
              <w:adjustRightInd w:val="0"/>
              <w:snapToGrid w:val="0"/>
              <w:spacing w:line="360" w:lineRule="auto"/>
              <w:jc w:val="center"/>
              <w:rPr>
                <w:rFonts w:ascii="Times New Roman" w:hAnsi="Times New Roman"/>
                <w:color w:val="auto"/>
                <w:kern w:val="2"/>
              </w:rPr>
            </w:pPr>
            <w:r>
              <w:rPr>
                <w:rFonts w:ascii="Times New Roman" w:hAnsi="Times New Roman"/>
                <w:color w:val="auto"/>
                <w:kern w:val="2"/>
                <w:position w:val="-26"/>
              </w:rPr>
              <w:object>
                <v:shape id="_x0000_i1057" o:spt="75" type="#_x0000_t75" style="height:31.5pt;width:128.25pt;" o:ole="t" filled="f" o:preferrelative="t" stroked="f" coordsize="21600,21600">
                  <v:path/>
                  <v:fill on="f" focussize="0,0"/>
                  <v:stroke on="f" joinstyle="miter"/>
                  <v:imagedata r:id="rId78" o:title=""/>
                  <o:lock v:ext="edit" aspectratio="t"/>
                  <w10:wrap type="none"/>
                  <w10:anchorlock/>
                </v:shape>
                <o:OLEObject Type="Embed" ProgID="Equation.3" ShapeID="_x0000_i1057" DrawAspect="Content" ObjectID="_1468075757" r:id="rId77">
                  <o:LockedField>false</o:LockedField>
                </o:OLEObject>
              </w:object>
            </w:r>
          </w:p>
          <w:p>
            <w:pPr>
              <w:autoSpaceDE w:val="0"/>
              <w:autoSpaceDN w:val="0"/>
              <w:adjustRightInd w:val="0"/>
              <w:snapToGrid w:val="0"/>
              <w:spacing w:line="360" w:lineRule="auto"/>
              <w:ind w:firstLine="549"/>
              <w:jc w:val="left"/>
              <w:rPr>
                <w:rFonts w:ascii="Times New Roman" w:hAnsi="Times New Roman"/>
                <w:color w:val="auto"/>
                <w:kern w:val="2"/>
              </w:rPr>
            </w:pPr>
            <w:r>
              <w:rPr>
                <w:rFonts w:ascii="Times New Roman" w:hAnsi="Times New Roman"/>
                <w:bCs/>
                <w:snapToGrid w:val="0"/>
                <w:color w:val="auto"/>
                <w:spacing w:val="12"/>
                <w:kern w:val="2"/>
              </w:rPr>
              <w:t>式中：</w:t>
            </w:r>
            <w:r>
              <w:rPr>
                <w:rFonts w:ascii="Times New Roman" w:hAnsi="Times New Roman"/>
                <w:color w:val="auto"/>
                <w:kern w:val="2"/>
              </w:rPr>
              <w:t>L</w:t>
            </w:r>
            <w:r>
              <w:rPr>
                <w:rFonts w:ascii="Times New Roman" w:hAnsi="Times New Roman"/>
                <w:color w:val="auto"/>
                <w:kern w:val="2"/>
                <w:vertAlign w:val="subscript"/>
              </w:rPr>
              <w:t>p(r)</w:t>
            </w:r>
            <w:r>
              <w:rPr>
                <w:rFonts w:ascii="Times New Roman" w:hAnsi="Times New Roman"/>
                <w:color w:val="auto"/>
                <w:kern w:val="2"/>
              </w:rPr>
              <w:t>—</w:t>
            </w:r>
            <w:r>
              <w:rPr>
                <w:rFonts w:ascii="Times New Roman" w:hAnsi="宋体"/>
                <w:color w:val="auto"/>
                <w:kern w:val="2"/>
              </w:rPr>
              <w:t>在距离声源</w:t>
            </w:r>
            <w:r>
              <w:rPr>
                <w:rFonts w:ascii="Times New Roman" w:hAnsi="Times New Roman"/>
                <w:color w:val="auto"/>
                <w:kern w:val="2"/>
              </w:rPr>
              <w:t>r</w:t>
            </w:r>
            <w:r>
              <w:rPr>
                <w:rFonts w:ascii="Times New Roman" w:hAnsi="宋体"/>
                <w:color w:val="auto"/>
                <w:kern w:val="2"/>
              </w:rPr>
              <w:t>米处的声级，</w:t>
            </w:r>
            <w:r>
              <w:rPr>
                <w:rFonts w:ascii="Times New Roman" w:hAnsi="Times New Roman"/>
                <w:color w:val="auto"/>
                <w:kern w:val="2"/>
              </w:rPr>
              <w:t>dB(A)</w:t>
            </w:r>
            <w:r>
              <w:rPr>
                <w:rFonts w:ascii="Times New Roman" w:hAnsi="宋体"/>
                <w:color w:val="auto"/>
                <w:kern w:val="2"/>
              </w:rPr>
              <w:t>；</w:t>
            </w:r>
          </w:p>
          <w:p>
            <w:pPr>
              <w:overflowPunct w:val="0"/>
              <w:topLinePunct/>
              <w:adjustRightInd w:val="0"/>
              <w:snapToGrid w:val="0"/>
              <w:spacing w:line="360" w:lineRule="auto"/>
              <w:ind w:firstLine="720" w:firstLineChars="300"/>
              <w:rPr>
                <w:rFonts w:ascii="Times New Roman" w:hAnsi="Times New Roman"/>
                <w:bCs/>
                <w:snapToGrid w:val="0"/>
                <w:color w:val="auto"/>
                <w:spacing w:val="12"/>
                <w:kern w:val="2"/>
              </w:rPr>
            </w:pPr>
            <w:r>
              <w:rPr>
                <w:rFonts w:ascii="Times New Roman" w:hAnsi="Times New Roman"/>
                <w:color w:val="auto"/>
                <w:kern w:val="2"/>
              </w:rPr>
              <w:t xml:space="preserve">     L</w:t>
            </w:r>
            <w:r>
              <w:rPr>
                <w:rFonts w:ascii="Times New Roman" w:hAnsi="Times New Roman"/>
                <w:color w:val="auto"/>
                <w:kern w:val="2"/>
                <w:vertAlign w:val="subscript"/>
              </w:rPr>
              <w:t>p(r0)</w:t>
            </w:r>
            <w:r>
              <w:rPr>
                <w:rFonts w:ascii="Times New Roman" w:hAnsi="Times New Roman"/>
                <w:color w:val="auto"/>
                <w:kern w:val="2"/>
              </w:rPr>
              <w:t>—</w:t>
            </w:r>
            <w:r>
              <w:rPr>
                <w:rFonts w:ascii="Times New Roman" w:hAnsi="宋体"/>
                <w:color w:val="auto"/>
                <w:kern w:val="2"/>
              </w:rPr>
              <w:t>距离声源</w:t>
            </w:r>
            <w:r>
              <w:rPr>
                <w:rFonts w:ascii="Times New Roman" w:hAnsi="Times New Roman"/>
                <w:color w:val="auto"/>
                <w:kern w:val="2"/>
              </w:rPr>
              <w:t>r</w:t>
            </w:r>
            <w:r>
              <w:rPr>
                <w:rFonts w:ascii="Times New Roman" w:hAnsi="Times New Roman"/>
                <w:color w:val="auto"/>
                <w:kern w:val="2"/>
                <w:vertAlign w:val="subscript"/>
              </w:rPr>
              <w:t>0</w:t>
            </w:r>
            <w:r>
              <w:rPr>
                <w:rFonts w:ascii="Times New Roman" w:hAnsi="宋体"/>
                <w:color w:val="auto"/>
                <w:kern w:val="2"/>
              </w:rPr>
              <w:t>米处的声级，</w:t>
            </w:r>
            <w:r>
              <w:rPr>
                <w:rFonts w:ascii="Times New Roman" w:hAnsi="Times New Roman"/>
                <w:color w:val="auto"/>
                <w:kern w:val="2"/>
              </w:rPr>
              <w:t>dB(A)</w:t>
            </w:r>
            <w:r>
              <w:rPr>
                <w:rFonts w:ascii="Times New Roman" w:hAnsi="宋体"/>
                <w:color w:val="auto"/>
                <w:kern w:val="2"/>
              </w:rPr>
              <w:t>。</w:t>
            </w:r>
          </w:p>
          <w:p>
            <w:pPr>
              <w:overflowPunct w:val="0"/>
              <w:topLinePunct/>
              <w:adjustRightInd w:val="0"/>
              <w:snapToGrid w:val="0"/>
              <w:spacing w:line="360" w:lineRule="auto"/>
              <w:ind w:firstLine="480" w:firstLineChars="200"/>
              <w:rPr>
                <w:rFonts w:ascii="Times New Roman" w:hAnsi="Times New Roman"/>
                <w:color w:val="auto"/>
                <w:kern w:val="2"/>
              </w:rPr>
            </w:pPr>
            <w:r>
              <w:rPr>
                <w:rFonts w:ascii="Times New Roman" w:hAnsi="Times New Roman"/>
                <w:color w:val="auto"/>
                <w:kern w:val="2"/>
              </w:rPr>
              <w:t>由上公式计算出</w:t>
            </w:r>
            <w:r>
              <w:rPr>
                <w:rFonts w:hint="eastAsia" w:ascii="Times New Roman" w:hAnsi="Times New Roman"/>
                <w:color w:val="auto"/>
                <w:kern w:val="2"/>
              </w:rPr>
              <w:t>技改项目</w:t>
            </w:r>
            <w:r>
              <w:rPr>
                <w:rFonts w:ascii="Times New Roman" w:hAnsi="Times New Roman"/>
                <w:color w:val="auto"/>
                <w:kern w:val="2"/>
              </w:rPr>
              <w:t>评价区域施工场地噪声贡献值结果见表7-1</w:t>
            </w:r>
            <w:r>
              <w:rPr>
                <w:rFonts w:hint="eastAsia" w:ascii="Times New Roman" w:hAnsi="Times New Roman"/>
                <w:color w:val="auto"/>
                <w:kern w:val="2"/>
              </w:rPr>
              <w:t>，</w:t>
            </w:r>
            <w:r>
              <w:rPr>
                <w:rFonts w:ascii="Times New Roman" w:hAnsi="Times New Roman"/>
                <w:color w:val="auto"/>
                <w:kern w:val="2"/>
              </w:rPr>
              <w:t>其中多设备叠加考虑</w:t>
            </w:r>
            <w:r>
              <w:rPr>
                <w:rFonts w:hint="eastAsia" w:ascii="Times New Roman" w:hAnsi="Times New Roman"/>
                <w:color w:val="auto"/>
                <w:kern w:val="2"/>
              </w:rPr>
              <w:t>所有</w:t>
            </w:r>
            <w:r>
              <w:rPr>
                <w:rFonts w:ascii="Times New Roman" w:hAnsi="Times New Roman"/>
                <w:color w:val="auto"/>
                <w:kern w:val="2"/>
              </w:rPr>
              <w:t>设备的叠加。</w:t>
            </w:r>
          </w:p>
          <w:p>
            <w:pPr>
              <w:overflowPunct w:val="0"/>
              <w:topLinePunct/>
              <w:adjustRightInd w:val="0"/>
              <w:snapToGrid w:val="0"/>
              <w:jc w:val="center"/>
              <w:rPr>
                <w:rFonts w:ascii="Times New Roman" w:hAnsi="Times New Roman"/>
                <w:b/>
                <w:color w:val="auto"/>
                <w:kern w:val="2"/>
                <w:sz w:val="21"/>
                <w:szCs w:val="21"/>
              </w:rPr>
            </w:pPr>
            <w:r>
              <w:rPr>
                <w:rFonts w:ascii="Times New Roman" w:hAnsi="Times New Roman"/>
                <w:b/>
                <w:color w:val="auto"/>
                <w:kern w:val="2"/>
                <w:sz w:val="21"/>
                <w:szCs w:val="21"/>
              </w:rPr>
              <w:t>表7-1   距声源不同距离处的噪声</w:t>
            </w:r>
            <w:r>
              <w:rPr>
                <w:rFonts w:hint="eastAsia" w:ascii="Times New Roman" w:hAnsi="Times New Roman"/>
                <w:b/>
                <w:color w:val="auto"/>
                <w:kern w:val="2"/>
                <w:sz w:val="21"/>
                <w:szCs w:val="21"/>
              </w:rPr>
              <w:t>贡献</w:t>
            </w:r>
            <w:r>
              <w:rPr>
                <w:rFonts w:ascii="Times New Roman" w:hAnsi="Times New Roman"/>
                <w:b/>
                <w:color w:val="auto"/>
                <w:kern w:val="2"/>
                <w:sz w:val="21"/>
                <w:szCs w:val="21"/>
              </w:rPr>
              <w:t>值</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4"/>
              <w:gridCol w:w="1820"/>
              <w:gridCol w:w="714"/>
              <w:gridCol w:w="714"/>
              <w:gridCol w:w="714"/>
              <w:gridCol w:w="840"/>
              <w:gridCol w:w="840"/>
              <w:gridCol w:w="840"/>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9" w:type="pct"/>
                  <w:vMerge w:val="restart"/>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color w:val="auto"/>
                      <w:kern w:val="0"/>
                      <w:sz w:val="21"/>
                      <w:szCs w:val="21"/>
                    </w:rPr>
                    <w:t>设备名称</w:t>
                  </w:r>
                </w:p>
              </w:tc>
              <w:tc>
                <w:tcPr>
                  <w:tcW w:w="999" w:type="pct"/>
                  <w:vMerge w:val="restar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hint="eastAsia" w:ascii="Times New Roman" w:hAnsi="Times New Roman"/>
                      <w:color w:val="auto"/>
                      <w:kern w:val="2"/>
                      <w:sz w:val="21"/>
                      <w:szCs w:val="21"/>
                    </w:rPr>
                    <w:t>噪声</w:t>
                  </w:r>
                  <w:r>
                    <w:rPr>
                      <w:rFonts w:ascii="Times New Roman" w:hAnsi="Times New Roman"/>
                      <w:color w:val="auto"/>
                      <w:kern w:val="2"/>
                      <w:sz w:val="21"/>
                      <w:szCs w:val="21"/>
                    </w:rPr>
                    <w:t>源强</w:t>
                  </w:r>
                  <w:r>
                    <w:rPr>
                      <w:rFonts w:ascii="Times New Roman" w:hAnsi="Times New Roman"/>
                      <w:color w:val="auto"/>
                      <w:kern w:val="0"/>
                      <w:sz w:val="21"/>
                      <w:szCs w:val="21"/>
                    </w:rPr>
                    <w:t>[dB(A)]</w:t>
                  </w:r>
                </w:p>
              </w:tc>
              <w:tc>
                <w:tcPr>
                  <w:tcW w:w="3023" w:type="pct"/>
                  <w:gridSpan w:val="7"/>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color w:val="auto"/>
                      <w:kern w:val="0"/>
                      <w:sz w:val="21"/>
                      <w:szCs w:val="21"/>
                    </w:rPr>
                    <w:t>距离源强不同距离处</w:t>
                  </w:r>
                  <w:r>
                    <w:rPr>
                      <w:rFonts w:hint="eastAsia" w:ascii="Times New Roman" w:hAnsi="Times New Roman"/>
                      <w:color w:val="auto"/>
                      <w:kern w:val="0"/>
                      <w:sz w:val="21"/>
                      <w:szCs w:val="21"/>
                    </w:rPr>
                    <w:t>噪声贡献值</w:t>
                  </w:r>
                  <w:r>
                    <w:rPr>
                      <w:rFonts w:ascii="Times New Roman" w:hAnsi="Times New Roman"/>
                      <w:color w:val="auto"/>
                      <w:kern w:val="0"/>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9" w:type="pct"/>
                  <w:vMerge w:val="continue"/>
                  <w:vAlign w:val="center"/>
                </w:tcPr>
                <w:p>
                  <w:pPr>
                    <w:adjustRightInd w:val="0"/>
                    <w:snapToGrid w:val="0"/>
                    <w:spacing w:line="240" w:lineRule="atLeast"/>
                    <w:jc w:val="center"/>
                    <w:rPr>
                      <w:rFonts w:ascii="Times New Roman" w:hAnsi="Times New Roman"/>
                      <w:color w:val="auto"/>
                      <w:kern w:val="0"/>
                      <w:sz w:val="21"/>
                      <w:szCs w:val="21"/>
                    </w:rPr>
                  </w:pPr>
                </w:p>
              </w:tc>
              <w:tc>
                <w:tcPr>
                  <w:tcW w:w="999" w:type="pct"/>
                  <w:vMerge w:val="continue"/>
                  <w:shd w:val="clear" w:color="auto" w:fill="auto"/>
                  <w:vAlign w:val="center"/>
                </w:tcPr>
                <w:p>
                  <w:pPr>
                    <w:adjustRightInd w:val="0"/>
                    <w:snapToGrid w:val="0"/>
                    <w:spacing w:line="240" w:lineRule="atLeast"/>
                    <w:jc w:val="center"/>
                    <w:rPr>
                      <w:rFonts w:ascii="Times New Roman" w:hAnsi="Times New Roman"/>
                      <w:color w:val="auto"/>
                      <w:kern w:val="2"/>
                      <w:sz w:val="21"/>
                      <w:szCs w:val="21"/>
                    </w:rPr>
                  </w:pPr>
                </w:p>
              </w:tc>
              <w:tc>
                <w:tcPr>
                  <w:tcW w:w="392"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hint="eastAsia" w:ascii="Times New Roman" w:hAnsi="Times New Roman"/>
                      <w:color w:val="auto"/>
                      <w:kern w:val="0"/>
                      <w:sz w:val="21"/>
                      <w:szCs w:val="21"/>
                    </w:rPr>
                    <w:t>1</w:t>
                  </w:r>
                  <w:r>
                    <w:rPr>
                      <w:rFonts w:ascii="Times New Roman" w:hAnsi="Times New Roman"/>
                      <w:color w:val="auto"/>
                      <w:kern w:val="0"/>
                      <w:sz w:val="21"/>
                      <w:szCs w:val="21"/>
                    </w:rPr>
                    <w:t>0m</w:t>
                  </w:r>
                </w:p>
              </w:tc>
              <w:tc>
                <w:tcPr>
                  <w:tcW w:w="392" w:type="pct"/>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color w:val="auto"/>
                      <w:kern w:val="0"/>
                      <w:sz w:val="21"/>
                      <w:szCs w:val="21"/>
                    </w:rPr>
                    <w:t>20m</w:t>
                  </w:r>
                </w:p>
              </w:tc>
              <w:tc>
                <w:tcPr>
                  <w:tcW w:w="392"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color w:val="auto"/>
                      <w:kern w:val="0"/>
                      <w:sz w:val="21"/>
                      <w:szCs w:val="21"/>
                    </w:rPr>
                    <w:t>30m</w:t>
                  </w:r>
                </w:p>
              </w:tc>
              <w:tc>
                <w:tcPr>
                  <w:tcW w:w="461"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color w:val="auto"/>
                      <w:kern w:val="0"/>
                      <w:sz w:val="21"/>
                      <w:szCs w:val="21"/>
                    </w:rPr>
                    <w:t>60m</w:t>
                  </w:r>
                </w:p>
              </w:tc>
              <w:tc>
                <w:tcPr>
                  <w:tcW w:w="461"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color w:val="auto"/>
                      <w:kern w:val="0"/>
                      <w:sz w:val="21"/>
                      <w:szCs w:val="21"/>
                    </w:rPr>
                    <w:t>100m</w:t>
                  </w:r>
                </w:p>
              </w:tc>
              <w:tc>
                <w:tcPr>
                  <w:tcW w:w="461"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color w:val="auto"/>
                      <w:kern w:val="2"/>
                      <w:sz w:val="21"/>
                      <w:szCs w:val="21"/>
                    </w:rPr>
                    <w:t>120m</w:t>
                  </w:r>
                </w:p>
              </w:tc>
              <w:tc>
                <w:tcPr>
                  <w:tcW w:w="463" w:type="pct"/>
                  <w:shd w:val="clear" w:color="auto" w:fill="auto"/>
                  <w:vAlign w:val="center"/>
                </w:tcPr>
                <w:p>
                  <w:pPr>
                    <w:adjustRightInd w:val="0"/>
                    <w:snapToGrid w:val="0"/>
                    <w:spacing w:line="240" w:lineRule="atLeast"/>
                    <w:jc w:val="center"/>
                    <w:rPr>
                      <w:rFonts w:ascii="Times New Roman" w:hAnsi="Times New Roman"/>
                      <w:color w:val="auto"/>
                      <w:kern w:val="2"/>
                      <w:sz w:val="21"/>
                      <w:szCs w:val="21"/>
                    </w:rPr>
                  </w:pPr>
                  <w:r>
                    <w:rPr>
                      <w:rFonts w:ascii="Times New Roman" w:hAnsi="Times New Roman"/>
                      <w:color w:val="auto"/>
                      <w:kern w:val="2"/>
                      <w:sz w:val="21"/>
                      <w:szCs w:val="21"/>
                    </w:rPr>
                    <w:t>160m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9"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hint="eastAsia" w:ascii="Times New Roman" w:hAnsi="Times New Roman"/>
                      <w:color w:val="auto"/>
                      <w:kern w:val="0"/>
                      <w:sz w:val="21"/>
                      <w:szCs w:val="21"/>
                    </w:rPr>
                    <w:t>切割机</w:t>
                  </w:r>
                </w:p>
              </w:tc>
              <w:tc>
                <w:tcPr>
                  <w:tcW w:w="999"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color w:val="auto"/>
                      <w:kern w:val="0"/>
                      <w:sz w:val="21"/>
                      <w:szCs w:val="21"/>
                    </w:rPr>
                    <w:t>95</w:t>
                  </w:r>
                </w:p>
              </w:tc>
              <w:tc>
                <w:tcPr>
                  <w:tcW w:w="392"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75.0 </w:t>
                  </w:r>
                </w:p>
              </w:tc>
              <w:tc>
                <w:tcPr>
                  <w:tcW w:w="392" w:type="pct"/>
                  <w:vAlign w:val="center"/>
                </w:tcPr>
                <w:p>
                  <w:pPr>
                    <w:adjustRightInd w:val="0"/>
                    <w:snapToGrid w:val="0"/>
                    <w:spacing w:line="240" w:lineRule="atLeast"/>
                    <w:jc w:val="center"/>
                    <w:rPr>
                      <w:rFonts w:ascii="Times New Roman" w:hAnsi="Times New Roman" w:eastAsia="等线"/>
                      <w:color w:val="auto"/>
                      <w:sz w:val="21"/>
                      <w:szCs w:val="21"/>
                    </w:rPr>
                  </w:pPr>
                  <w:r>
                    <w:rPr>
                      <w:rFonts w:ascii="Times New Roman" w:hAnsi="Times New Roman" w:eastAsia="等线"/>
                      <w:color w:val="auto"/>
                      <w:sz w:val="21"/>
                      <w:szCs w:val="21"/>
                    </w:rPr>
                    <w:t xml:space="preserve">69.0 </w:t>
                  </w:r>
                </w:p>
              </w:tc>
              <w:tc>
                <w:tcPr>
                  <w:tcW w:w="392"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65.5 </w:t>
                  </w:r>
                </w:p>
              </w:tc>
              <w:tc>
                <w:tcPr>
                  <w:tcW w:w="461"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59.4 </w:t>
                  </w:r>
                </w:p>
              </w:tc>
              <w:tc>
                <w:tcPr>
                  <w:tcW w:w="461"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55.0 </w:t>
                  </w:r>
                </w:p>
              </w:tc>
              <w:tc>
                <w:tcPr>
                  <w:tcW w:w="461"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53.4 </w:t>
                  </w:r>
                </w:p>
              </w:tc>
              <w:tc>
                <w:tcPr>
                  <w:tcW w:w="463"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50.9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9" w:type="pct"/>
                  <w:shd w:val="clear" w:color="auto" w:fill="auto"/>
                  <w:vAlign w:val="center"/>
                </w:tcPr>
                <w:p>
                  <w:pPr>
                    <w:adjustRightInd w:val="0"/>
                    <w:snapToGrid w:val="0"/>
                    <w:spacing w:line="240" w:lineRule="atLeast"/>
                    <w:jc w:val="center"/>
                    <w:rPr>
                      <w:rFonts w:ascii="Times New Roman" w:hAnsi="Times New Roman"/>
                      <w:color w:val="auto"/>
                      <w:kern w:val="2"/>
                      <w:sz w:val="21"/>
                      <w:szCs w:val="21"/>
                    </w:rPr>
                  </w:pPr>
                  <w:r>
                    <w:rPr>
                      <w:rFonts w:ascii="Times New Roman" w:hAnsi="Times New Roman"/>
                      <w:color w:val="auto"/>
                      <w:kern w:val="2"/>
                      <w:sz w:val="21"/>
                    </w:rPr>
                    <w:t>电钻</w:t>
                  </w:r>
                </w:p>
              </w:tc>
              <w:tc>
                <w:tcPr>
                  <w:tcW w:w="999"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color w:val="auto"/>
                      <w:kern w:val="2"/>
                      <w:sz w:val="21"/>
                    </w:rPr>
                    <w:t>95</w:t>
                  </w:r>
                </w:p>
              </w:tc>
              <w:tc>
                <w:tcPr>
                  <w:tcW w:w="392"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75.0 </w:t>
                  </w:r>
                </w:p>
              </w:tc>
              <w:tc>
                <w:tcPr>
                  <w:tcW w:w="392" w:type="pct"/>
                  <w:vAlign w:val="center"/>
                </w:tcPr>
                <w:p>
                  <w:pPr>
                    <w:adjustRightInd w:val="0"/>
                    <w:snapToGrid w:val="0"/>
                    <w:spacing w:line="240" w:lineRule="atLeast"/>
                    <w:jc w:val="center"/>
                    <w:rPr>
                      <w:rFonts w:ascii="Times New Roman" w:hAnsi="Times New Roman" w:eastAsia="等线"/>
                      <w:color w:val="auto"/>
                      <w:sz w:val="21"/>
                      <w:szCs w:val="21"/>
                    </w:rPr>
                  </w:pPr>
                  <w:r>
                    <w:rPr>
                      <w:rFonts w:ascii="Times New Roman" w:hAnsi="Times New Roman" w:eastAsia="等线"/>
                      <w:color w:val="auto"/>
                      <w:sz w:val="21"/>
                      <w:szCs w:val="21"/>
                    </w:rPr>
                    <w:t xml:space="preserve">69.0 </w:t>
                  </w:r>
                </w:p>
              </w:tc>
              <w:tc>
                <w:tcPr>
                  <w:tcW w:w="392"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65.5 </w:t>
                  </w:r>
                </w:p>
              </w:tc>
              <w:tc>
                <w:tcPr>
                  <w:tcW w:w="461"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59.4 </w:t>
                  </w:r>
                </w:p>
              </w:tc>
              <w:tc>
                <w:tcPr>
                  <w:tcW w:w="461"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55.0 </w:t>
                  </w:r>
                </w:p>
              </w:tc>
              <w:tc>
                <w:tcPr>
                  <w:tcW w:w="461"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53.4 </w:t>
                  </w:r>
                </w:p>
              </w:tc>
              <w:tc>
                <w:tcPr>
                  <w:tcW w:w="463"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50.9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9" w:type="pct"/>
                  <w:shd w:val="clear" w:color="auto" w:fill="auto"/>
                  <w:vAlign w:val="center"/>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2"/>
                      <w:sz w:val="21"/>
                      <w:szCs w:val="21"/>
                    </w:rPr>
                    <w:t>起重机</w:t>
                  </w:r>
                </w:p>
              </w:tc>
              <w:tc>
                <w:tcPr>
                  <w:tcW w:w="999"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color w:val="auto"/>
                      <w:kern w:val="0"/>
                      <w:sz w:val="21"/>
                      <w:szCs w:val="21"/>
                    </w:rPr>
                    <w:t>90</w:t>
                  </w:r>
                </w:p>
              </w:tc>
              <w:tc>
                <w:tcPr>
                  <w:tcW w:w="392"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70.0 </w:t>
                  </w:r>
                </w:p>
              </w:tc>
              <w:tc>
                <w:tcPr>
                  <w:tcW w:w="392" w:type="pct"/>
                  <w:vAlign w:val="center"/>
                </w:tcPr>
                <w:p>
                  <w:pPr>
                    <w:adjustRightInd w:val="0"/>
                    <w:snapToGrid w:val="0"/>
                    <w:spacing w:line="240" w:lineRule="atLeast"/>
                    <w:jc w:val="center"/>
                    <w:rPr>
                      <w:rFonts w:ascii="Times New Roman" w:hAnsi="Times New Roman" w:eastAsia="等线"/>
                      <w:color w:val="auto"/>
                      <w:sz w:val="21"/>
                      <w:szCs w:val="21"/>
                    </w:rPr>
                  </w:pPr>
                  <w:r>
                    <w:rPr>
                      <w:rFonts w:ascii="Times New Roman" w:hAnsi="Times New Roman" w:eastAsia="等线"/>
                      <w:color w:val="auto"/>
                      <w:sz w:val="21"/>
                      <w:szCs w:val="21"/>
                    </w:rPr>
                    <w:t xml:space="preserve">64.0 </w:t>
                  </w:r>
                </w:p>
              </w:tc>
              <w:tc>
                <w:tcPr>
                  <w:tcW w:w="392"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60.5 </w:t>
                  </w:r>
                </w:p>
              </w:tc>
              <w:tc>
                <w:tcPr>
                  <w:tcW w:w="461"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54.4 </w:t>
                  </w:r>
                </w:p>
              </w:tc>
              <w:tc>
                <w:tcPr>
                  <w:tcW w:w="461"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50.0 </w:t>
                  </w:r>
                </w:p>
              </w:tc>
              <w:tc>
                <w:tcPr>
                  <w:tcW w:w="461"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48.4 </w:t>
                  </w:r>
                </w:p>
              </w:tc>
              <w:tc>
                <w:tcPr>
                  <w:tcW w:w="463"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45.9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9"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color w:val="auto"/>
                      <w:kern w:val="0"/>
                      <w:sz w:val="21"/>
                      <w:szCs w:val="21"/>
                    </w:rPr>
                    <w:t>多声源叠加值</w:t>
                  </w:r>
                </w:p>
              </w:tc>
              <w:tc>
                <w:tcPr>
                  <w:tcW w:w="999"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hint="eastAsia" w:ascii="Times New Roman" w:hAnsi="Times New Roman"/>
                      <w:color w:val="auto"/>
                      <w:kern w:val="0"/>
                      <w:sz w:val="21"/>
                      <w:szCs w:val="21"/>
                    </w:rPr>
                    <w:t>9</w:t>
                  </w:r>
                  <w:r>
                    <w:rPr>
                      <w:rFonts w:ascii="Times New Roman" w:hAnsi="Times New Roman"/>
                      <w:color w:val="auto"/>
                      <w:kern w:val="0"/>
                      <w:sz w:val="21"/>
                      <w:szCs w:val="21"/>
                    </w:rPr>
                    <w:t>8.6</w:t>
                  </w:r>
                </w:p>
              </w:tc>
              <w:tc>
                <w:tcPr>
                  <w:tcW w:w="392"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78.6 </w:t>
                  </w:r>
                </w:p>
              </w:tc>
              <w:tc>
                <w:tcPr>
                  <w:tcW w:w="392" w:type="pct"/>
                  <w:vAlign w:val="center"/>
                </w:tcPr>
                <w:p>
                  <w:pPr>
                    <w:adjustRightInd w:val="0"/>
                    <w:snapToGrid w:val="0"/>
                    <w:spacing w:line="240" w:lineRule="atLeast"/>
                    <w:jc w:val="center"/>
                    <w:rPr>
                      <w:rFonts w:ascii="Times New Roman" w:hAnsi="Times New Roman" w:eastAsia="等线"/>
                      <w:color w:val="auto"/>
                      <w:sz w:val="21"/>
                      <w:szCs w:val="21"/>
                    </w:rPr>
                  </w:pPr>
                  <w:r>
                    <w:rPr>
                      <w:rFonts w:ascii="Times New Roman" w:hAnsi="Times New Roman" w:eastAsia="等线"/>
                      <w:color w:val="auto"/>
                      <w:sz w:val="21"/>
                      <w:szCs w:val="21"/>
                    </w:rPr>
                    <w:t xml:space="preserve">72.6 </w:t>
                  </w:r>
                </w:p>
              </w:tc>
              <w:tc>
                <w:tcPr>
                  <w:tcW w:w="392"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69.1 </w:t>
                  </w:r>
                </w:p>
              </w:tc>
              <w:tc>
                <w:tcPr>
                  <w:tcW w:w="461"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63.1 </w:t>
                  </w:r>
                </w:p>
              </w:tc>
              <w:tc>
                <w:tcPr>
                  <w:tcW w:w="461"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58.6 </w:t>
                  </w:r>
                </w:p>
              </w:tc>
              <w:tc>
                <w:tcPr>
                  <w:tcW w:w="461"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57.1 </w:t>
                  </w:r>
                </w:p>
              </w:tc>
              <w:tc>
                <w:tcPr>
                  <w:tcW w:w="463" w:type="pct"/>
                  <w:shd w:val="clear" w:color="auto" w:fill="auto"/>
                  <w:vAlign w:val="center"/>
                </w:tcPr>
                <w:p>
                  <w:pPr>
                    <w:adjustRightInd w:val="0"/>
                    <w:snapToGrid w:val="0"/>
                    <w:spacing w:line="240" w:lineRule="atLeast"/>
                    <w:jc w:val="center"/>
                    <w:rPr>
                      <w:rFonts w:ascii="Times New Roman" w:hAnsi="Times New Roman"/>
                      <w:color w:val="auto"/>
                      <w:kern w:val="0"/>
                      <w:sz w:val="21"/>
                      <w:szCs w:val="21"/>
                    </w:rPr>
                  </w:pPr>
                  <w:r>
                    <w:rPr>
                      <w:rFonts w:ascii="Times New Roman" w:hAnsi="Times New Roman" w:eastAsia="等线"/>
                      <w:color w:val="auto"/>
                      <w:sz w:val="21"/>
                      <w:szCs w:val="21"/>
                    </w:rPr>
                    <w:t xml:space="preserve">54.6 </w:t>
                  </w:r>
                </w:p>
              </w:tc>
            </w:tr>
          </w:tbl>
          <w:p>
            <w:pPr>
              <w:overflowPunct w:val="0"/>
              <w:topLinePunct/>
              <w:adjustRightInd w:val="0"/>
              <w:snapToGrid w:val="0"/>
              <w:spacing w:before="163" w:beforeLines="50" w:line="360" w:lineRule="auto"/>
              <w:ind w:firstLine="480" w:firstLineChars="200"/>
              <w:rPr>
                <w:rFonts w:ascii="Times New Roman" w:hAnsi="Times New Roman"/>
                <w:color w:val="auto"/>
                <w:kern w:val="2"/>
              </w:rPr>
            </w:pPr>
            <w:r>
              <w:rPr>
                <w:rFonts w:hint="eastAsia" w:ascii="Times New Roman" w:hAnsi="Times New Roman"/>
                <w:color w:val="auto"/>
                <w:kern w:val="2"/>
              </w:rPr>
              <w:t>技改项目</w:t>
            </w:r>
            <w:r>
              <w:rPr>
                <w:rFonts w:ascii="Times New Roman" w:hAnsi="Times New Roman"/>
                <w:color w:val="auto"/>
                <w:kern w:val="2"/>
              </w:rPr>
              <w:t>夜间不施工，由表7-1可以看出，</w:t>
            </w:r>
            <w:r>
              <w:rPr>
                <w:rFonts w:hint="eastAsia" w:ascii="Times New Roman" w:hAnsi="Times New Roman"/>
                <w:color w:val="auto"/>
                <w:kern w:val="2"/>
              </w:rPr>
              <w:t>在</w:t>
            </w:r>
            <w:r>
              <w:rPr>
                <w:rFonts w:ascii="Times New Roman" w:hAnsi="Times New Roman"/>
                <w:color w:val="auto"/>
                <w:kern w:val="2"/>
              </w:rPr>
              <w:t>多声源叠加</w:t>
            </w:r>
            <w:r>
              <w:rPr>
                <w:rFonts w:hint="eastAsia" w:ascii="Times New Roman" w:hAnsi="Times New Roman"/>
                <w:color w:val="auto"/>
                <w:kern w:val="2"/>
              </w:rPr>
              <w:t>且仅考虑距离衰减的情况下，</w:t>
            </w:r>
            <w:r>
              <w:rPr>
                <w:rFonts w:ascii="Times New Roman" w:hAnsi="Times New Roman"/>
                <w:color w:val="auto"/>
                <w:kern w:val="2"/>
              </w:rPr>
              <w:t>施工噪声距施工区约30m处昼间可达GB12523-2011《建筑施工场界环境噪声排放标准》</w:t>
            </w:r>
            <w:r>
              <w:rPr>
                <w:rFonts w:hint="eastAsia" w:ascii="Times New Roman" w:hAnsi="Times New Roman"/>
                <w:color w:val="auto"/>
                <w:kern w:val="2"/>
              </w:rPr>
              <w:t>（</w:t>
            </w:r>
            <w:r>
              <w:rPr>
                <w:rFonts w:ascii="Times New Roman" w:hAnsi="Times New Roman"/>
                <w:color w:val="auto"/>
                <w:kern w:val="2"/>
              </w:rPr>
              <w:t>即</w:t>
            </w:r>
            <w:r>
              <w:rPr>
                <w:rFonts w:hint="eastAsia" w:ascii="Times New Roman" w:hAnsi="Times New Roman"/>
                <w:color w:val="auto"/>
                <w:kern w:val="2"/>
              </w:rPr>
              <w:t>70</w:t>
            </w:r>
            <w:r>
              <w:rPr>
                <w:rFonts w:ascii="Times New Roman" w:hAnsi="Times New Roman"/>
                <w:color w:val="auto"/>
                <w:kern w:val="0"/>
              </w:rPr>
              <w:t>dB(A)</w:t>
            </w:r>
            <w:r>
              <w:rPr>
                <w:rFonts w:hint="eastAsia" w:ascii="Times New Roman" w:hAnsi="Times New Roman"/>
                <w:color w:val="auto"/>
                <w:kern w:val="2"/>
              </w:rPr>
              <w:t>）</w:t>
            </w:r>
            <w:r>
              <w:rPr>
                <w:rFonts w:ascii="Times New Roman" w:hAnsi="Times New Roman"/>
                <w:color w:val="auto"/>
                <w:kern w:val="2"/>
              </w:rPr>
              <w:t>的要求。</w:t>
            </w:r>
            <w:r>
              <w:rPr>
                <w:rFonts w:hint="eastAsia" w:ascii="Times New Roman" w:hAnsi="Times New Roman"/>
                <w:color w:val="auto"/>
                <w:kern w:val="2"/>
              </w:rPr>
              <w:t>项目施工区域</w:t>
            </w:r>
            <w:r>
              <w:rPr>
                <w:rFonts w:ascii="Times New Roman" w:hAnsi="Times New Roman"/>
                <w:color w:val="auto"/>
                <w:kern w:val="2"/>
              </w:rPr>
              <w:t>距离</w:t>
            </w:r>
            <w:r>
              <w:rPr>
                <w:rFonts w:hint="eastAsia" w:ascii="Times New Roman" w:hAnsi="Times New Roman"/>
                <w:color w:val="auto"/>
                <w:kern w:val="2"/>
              </w:rPr>
              <w:t>各</w:t>
            </w:r>
            <w:r>
              <w:rPr>
                <w:rFonts w:ascii="Times New Roman" w:hAnsi="Times New Roman"/>
                <w:color w:val="auto"/>
                <w:kern w:val="2"/>
              </w:rPr>
              <w:t>厂界</w:t>
            </w:r>
            <w:r>
              <w:rPr>
                <w:rFonts w:hint="eastAsia" w:ascii="Times New Roman" w:hAnsi="Times New Roman"/>
                <w:color w:val="auto"/>
                <w:kern w:val="2"/>
              </w:rPr>
              <w:t>约</w:t>
            </w:r>
            <w:r>
              <w:rPr>
                <w:rFonts w:ascii="Times New Roman" w:hAnsi="Times New Roman"/>
                <w:color w:val="auto"/>
                <w:kern w:val="2"/>
              </w:rPr>
              <w:t>10~30m，</w:t>
            </w:r>
            <w:r>
              <w:rPr>
                <w:rFonts w:hint="eastAsia" w:ascii="Times New Roman" w:hAnsi="Times New Roman"/>
                <w:color w:val="auto"/>
                <w:kern w:val="2"/>
              </w:rPr>
              <w:t>若不采取相应噪声控制措施，</w:t>
            </w:r>
            <w:r>
              <w:rPr>
                <w:rFonts w:ascii="Times New Roman" w:hAnsi="Times New Roman"/>
                <w:color w:val="auto"/>
                <w:kern w:val="2"/>
              </w:rPr>
              <w:t>施工</w:t>
            </w:r>
            <w:r>
              <w:rPr>
                <w:rFonts w:hint="eastAsia" w:ascii="Times New Roman" w:hAnsi="Times New Roman"/>
                <w:color w:val="auto"/>
                <w:kern w:val="2"/>
              </w:rPr>
              <w:t>场</w:t>
            </w:r>
            <w:r>
              <w:rPr>
                <w:rFonts w:ascii="Times New Roman" w:hAnsi="Times New Roman"/>
                <w:color w:val="auto"/>
                <w:kern w:val="2"/>
              </w:rPr>
              <w:t>界噪声</w:t>
            </w:r>
            <w:r>
              <w:rPr>
                <w:rFonts w:hint="eastAsia" w:ascii="Times New Roman" w:hAnsi="Times New Roman"/>
                <w:color w:val="auto"/>
                <w:kern w:val="2"/>
              </w:rPr>
              <w:t>可能出现</w:t>
            </w:r>
            <w:r>
              <w:rPr>
                <w:rFonts w:ascii="Times New Roman" w:hAnsi="Times New Roman"/>
                <w:color w:val="auto"/>
                <w:kern w:val="2"/>
              </w:rPr>
              <w:t>不能满足GB12523-2011《建筑施工场界环境噪声排放标准》要求</w:t>
            </w:r>
            <w:r>
              <w:rPr>
                <w:rFonts w:hint="eastAsia" w:ascii="Times New Roman" w:hAnsi="Times New Roman"/>
                <w:color w:val="auto"/>
                <w:kern w:val="2"/>
              </w:rPr>
              <w:t>的情况</w:t>
            </w:r>
            <w:r>
              <w:rPr>
                <w:rFonts w:ascii="Times New Roman" w:hAnsi="Times New Roman"/>
                <w:color w:val="auto"/>
                <w:kern w:val="2"/>
              </w:rPr>
              <w:t>。</w:t>
            </w:r>
            <w:r>
              <w:rPr>
                <w:rFonts w:hint="eastAsia" w:ascii="Times New Roman" w:hAnsi="Times New Roman"/>
                <w:color w:val="auto"/>
                <w:kern w:val="2"/>
              </w:rPr>
              <w:t>因此，评价要求施工期采取如下措施：</w:t>
            </w:r>
          </w:p>
          <w:p>
            <w:pPr>
              <w:overflowPunct w:val="0"/>
              <w:topLinePunct/>
              <w:adjustRightInd w:val="0"/>
              <w:snapToGrid w:val="0"/>
              <w:spacing w:line="360" w:lineRule="auto"/>
              <w:ind w:firstLine="480" w:firstLineChars="200"/>
              <w:rPr>
                <w:rFonts w:ascii="Times New Roman" w:hAnsi="Times New Roman"/>
                <w:color w:val="auto"/>
                <w:kern w:val="2"/>
              </w:rPr>
            </w:pPr>
            <w:r>
              <w:rPr>
                <w:rFonts w:ascii="Times New Roman" w:hAnsi="Times New Roman"/>
                <w:color w:val="auto"/>
                <w:kern w:val="2"/>
              </w:rPr>
              <w:t>（</w:t>
            </w:r>
            <w:r>
              <w:rPr>
                <w:rFonts w:hint="eastAsia" w:ascii="Times New Roman" w:hAnsi="Times New Roman"/>
                <w:color w:val="auto"/>
                <w:kern w:val="2"/>
              </w:rPr>
              <w:t>1</w:t>
            </w:r>
            <w:r>
              <w:rPr>
                <w:rFonts w:ascii="Times New Roman" w:hAnsi="Times New Roman"/>
                <w:color w:val="auto"/>
                <w:kern w:val="2"/>
              </w:rPr>
              <w:t>）从声源上控制：</w:t>
            </w:r>
            <w:r>
              <w:rPr>
                <w:rFonts w:hint="eastAsia" w:ascii="Times New Roman" w:hAnsi="Times New Roman"/>
                <w:color w:val="auto"/>
                <w:kern w:val="2"/>
              </w:rPr>
              <w:t>选用低噪声设备，避免高噪声</w:t>
            </w:r>
            <w:r>
              <w:rPr>
                <w:rFonts w:ascii="Times New Roman" w:hAnsi="Times New Roman"/>
                <w:color w:val="auto"/>
                <w:kern w:val="2"/>
              </w:rPr>
              <w:t>机械设备</w:t>
            </w:r>
            <w:r>
              <w:rPr>
                <w:rFonts w:hint="eastAsia" w:ascii="Times New Roman" w:hAnsi="Times New Roman"/>
                <w:color w:val="auto"/>
                <w:kern w:val="2"/>
              </w:rPr>
              <w:t>同时使用</w:t>
            </w:r>
            <w:r>
              <w:rPr>
                <w:rFonts w:ascii="Times New Roman" w:hAnsi="Times New Roman"/>
                <w:color w:val="auto"/>
                <w:kern w:val="2"/>
              </w:rPr>
              <w:t>。对现场工作人员进行培训，严格按操作规范使用各类机械</w:t>
            </w:r>
            <w:r>
              <w:rPr>
                <w:rFonts w:hint="eastAsia" w:ascii="Times New Roman" w:hAnsi="Times New Roman"/>
                <w:color w:val="auto"/>
                <w:kern w:val="2"/>
              </w:rPr>
              <w:t>设备</w:t>
            </w:r>
            <w:r>
              <w:rPr>
                <w:rFonts w:ascii="Times New Roman" w:hAnsi="Times New Roman"/>
                <w:color w:val="auto"/>
                <w:kern w:val="2"/>
              </w:rPr>
              <w:t>。</w:t>
            </w:r>
          </w:p>
          <w:p>
            <w:pPr>
              <w:overflowPunct w:val="0"/>
              <w:topLinePunct/>
              <w:adjustRightInd w:val="0"/>
              <w:snapToGrid w:val="0"/>
              <w:spacing w:line="360" w:lineRule="auto"/>
              <w:ind w:firstLine="480" w:firstLineChars="200"/>
              <w:rPr>
                <w:rFonts w:ascii="Times New Roman" w:hAnsi="Times New Roman"/>
                <w:color w:val="auto"/>
                <w:kern w:val="2"/>
              </w:rPr>
            </w:pPr>
            <w:r>
              <w:rPr>
                <w:rFonts w:hint="eastAsia" w:ascii="Times New Roman" w:hAnsi="Times New Roman"/>
                <w:color w:val="auto"/>
                <w:kern w:val="2"/>
              </w:rPr>
              <w:t>（2）产噪施工设备尽量布置在远离厂界</w:t>
            </w:r>
            <w:r>
              <w:rPr>
                <w:rFonts w:ascii="Times New Roman" w:hAnsi="Times New Roman"/>
                <w:color w:val="auto"/>
                <w:kern w:val="2"/>
              </w:rPr>
              <w:t>的</w:t>
            </w:r>
            <w:r>
              <w:rPr>
                <w:rFonts w:hint="eastAsia" w:ascii="Times New Roman" w:hAnsi="Times New Roman"/>
                <w:color w:val="auto"/>
                <w:kern w:val="2"/>
              </w:rPr>
              <w:t>区域。</w:t>
            </w:r>
          </w:p>
          <w:p>
            <w:pPr>
              <w:overflowPunct w:val="0"/>
              <w:topLinePunct/>
              <w:adjustRightInd w:val="0"/>
              <w:snapToGrid w:val="0"/>
              <w:spacing w:line="360" w:lineRule="auto"/>
              <w:ind w:firstLine="480" w:firstLineChars="200"/>
              <w:rPr>
                <w:rFonts w:ascii="Times New Roman" w:hAnsi="Times New Roman"/>
                <w:color w:val="auto"/>
                <w:kern w:val="2"/>
              </w:rPr>
            </w:pPr>
            <w:r>
              <w:rPr>
                <w:rFonts w:hint="eastAsia" w:ascii="Times New Roman" w:hAnsi="Times New Roman"/>
                <w:color w:val="auto"/>
                <w:kern w:val="2"/>
              </w:rPr>
              <w:t>（3）施工运输车辆在经过</w:t>
            </w:r>
            <w:r>
              <w:rPr>
                <w:rFonts w:hint="eastAsia" w:ascii="Times New Roman" w:hAnsi="Times New Roman"/>
                <w:bCs/>
                <w:color w:val="auto"/>
                <w:kern w:val="2"/>
              </w:rPr>
              <w:t>居民点时减速慢行，禁止鸣笛。</w:t>
            </w:r>
          </w:p>
          <w:p>
            <w:pPr>
              <w:overflowPunct w:val="0"/>
              <w:topLinePunct/>
              <w:adjustRightInd w:val="0"/>
              <w:snapToGrid w:val="0"/>
              <w:spacing w:line="360" w:lineRule="auto"/>
              <w:ind w:firstLine="480" w:firstLineChars="200"/>
              <w:rPr>
                <w:rFonts w:ascii="Times New Roman" w:hAnsi="Times New Roman"/>
                <w:color w:val="auto"/>
                <w:kern w:val="2"/>
              </w:rPr>
            </w:pPr>
            <w:r>
              <w:rPr>
                <w:rFonts w:hint="eastAsia" w:ascii="Times New Roman" w:hAnsi="Times New Roman"/>
                <w:color w:val="auto"/>
                <w:kern w:val="2"/>
              </w:rPr>
              <w:t>（4）做好施工机械、车辆的日常维护保养工作。</w:t>
            </w:r>
          </w:p>
          <w:p>
            <w:pPr>
              <w:overflowPunct w:val="0"/>
              <w:topLinePunct/>
              <w:adjustRightInd w:val="0"/>
              <w:snapToGrid w:val="0"/>
              <w:spacing w:line="360" w:lineRule="auto"/>
              <w:ind w:firstLine="480" w:firstLineChars="200"/>
              <w:rPr>
                <w:rFonts w:ascii="Times New Roman" w:hAnsi="Times New Roman"/>
                <w:color w:val="auto"/>
                <w:kern w:val="2"/>
              </w:rPr>
            </w:pPr>
            <w:r>
              <w:rPr>
                <w:rFonts w:hint="eastAsia" w:ascii="Times New Roman" w:hAnsi="Times New Roman"/>
                <w:color w:val="auto"/>
                <w:kern w:val="2"/>
              </w:rPr>
              <w:t>（5）禁止夜间施工。</w:t>
            </w:r>
          </w:p>
          <w:p>
            <w:pPr>
              <w:overflowPunct w:val="0"/>
              <w:topLinePunct/>
              <w:adjustRightInd w:val="0"/>
              <w:snapToGrid w:val="0"/>
              <w:spacing w:line="360" w:lineRule="auto"/>
              <w:ind w:firstLine="480" w:firstLineChars="200"/>
              <w:rPr>
                <w:rFonts w:ascii="Times New Roman" w:hAnsi="Times New Roman"/>
                <w:color w:val="auto"/>
                <w:kern w:val="2"/>
              </w:rPr>
            </w:pPr>
            <w:r>
              <w:rPr>
                <w:rFonts w:hint="eastAsia" w:ascii="Times New Roman" w:hAnsi="Times New Roman"/>
                <w:color w:val="auto"/>
                <w:kern w:val="2"/>
              </w:rPr>
              <w:t>预计采取该措施后，</w:t>
            </w:r>
            <w:r>
              <w:rPr>
                <w:rFonts w:ascii="Times New Roman" w:hAnsi="Times New Roman"/>
                <w:color w:val="auto"/>
                <w:kern w:val="2"/>
              </w:rPr>
              <w:t>施工</w:t>
            </w:r>
            <w:r>
              <w:rPr>
                <w:rFonts w:hint="eastAsia" w:ascii="Times New Roman" w:hAnsi="Times New Roman"/>
                <w:color w:val="auto"/>
                <w:kern w:val="2"/>
              </w:rPr>
              <w:t>场</w:t>
            </w:r>
            <w:r>
              <w:rPr>
                <w:rFonts w:ascii="Times New Roman" w:hAnsi="Times New Roman"/>
                <w:color w:val="auto"/>
                <w:kern w:val="2"/>
              </w:rPr>
              <w:t>界噪声</w:t>
            </w:r>
            <w:r>
              <w:rPr>
                <w:rFonts w:hint="eastAsia" w:ascii="Times New Roman" w:hAnsi="Times New Roman"/>
                <w:color w:val="auto"/>
                <w:kern w:val="2"/>
              </w:rPr>
              <w:t>能够</w:t>
            </w:r>
            <w:r>
              <w:rPr>
                <w:rFonts w:ascii="Times New Roman" w:hAnsi="Times New Roman"/>
                <w:color w:val="auto"/>
                <w:kern w:val="2"/>
              </w:rPr>
              <w:t>满足GB12523-2011《建筑施工场界环境噪声排放标准》</w:t>
            </w:r>
            <w:r>
              <w:rPr>
                <w:rFonts w:hint="eastAsia" w:ascii="Times New Roman" w:hAnsi="Times New Roman"/>
                <w:color w:val="auto"/>
                <w:kern w:val="2"/>
              </w:rPr>
              <w:t>的</w:t>
            </w:r>
            <w:r>
              <w:rPr>
                <w:rFonts w:ascii="Times New Roman" w:hAnsi="Times New Roman"/>
                <w:color w:val="auto"/>
                <w:kern w:val="2"/>
              </w:rPr>
              <w:t>要求</w:t>
            </w:r>
            <w:r>
              <w:rPr>
                <w:rFonts w:hint="eastAsia" w:ascii="Times New Roman" w:hAnsi="Times New Roman"/>
                <w:color w:val="auto"/>
                <w:kern w:val="2"/>
              </w:rPr>
              <w:t>。</w:t>
            </w:r>
          </w:p>
          <w:p>
            <w:pPr>
              <w:overflowPunct w:val="0"/>
              <w:topLinePunct/>
              <w:adjustRightInd w:val="0"/>
              <w:snapToGrid w:val="0"/>
              <w:spacing w:line="360" w:lineRule="auto"/>
              <w:ind w:firstLine="480" w:firstLineChars="200"/>
              <w:rPr>
                <w:rFonts w:ascii="Times New Roman" w:hAnsi="Times New Roman"/>
                <w:color w:val="auto"/>
                <w:kern w:val="2"/>
              </w:rPr>
            </w:pPr>
            <w:r>
              <w:rPr>
                <w:rFonts w:hint="eastAsia" w:ascii="Times New Roman" w:hAnsi="Times New Roman"/>
                <w:color w:val="auto"/>
                <w:kern w:val="2"/>
              </w:rPr>
              <w:t>技改项目评价范围内的声环境保护目标仅有厂界西南侧9</w:t>
            </w:r>
            <w:r>
              <w:rPr>
                <w:rFonts w:ascii="Times New Roman" w:hAnsi="Times New Roman"/>
                <w:color w:val="auto"/>
                <w:kern w:val="2"/>
              </w:rPr>
              <w:t>0m</w:t>
            </w:r>
            <w:r>
              <w:rPr>
                <w:rFonts w:hint="eastAsia" w:ascii="Times New Roman" w:hAnsi="Times New Roman"/>
                <w:color w:val="auto"/>
                <w:kern w:val="2"/>
              </w:rPr>
              <w:t>处的小唐营散户，与声源最近距离为1</w:t>
            </w:r>
            <w:r>
              <w:rPr>
                <w:rFonts w:ascii="Times New Roman" w:hAnsi="Times New Roman"/>
                <w:color w:val="auto"/>
                <w:kern w:val="2"/>
              </w:rPr>
              <w:t>00m</w:t>
            </w:r>
            <w:r>
              <w:rPr>
                <w:rFonts w:hint="eastAsia" w:ascii="Times New Roman" w:hAnsi="Times New Roman"/>
                <w:color w:val="auto"/>
                <w:kern w:val="2"/>
              </w:rPr>
              <w:t>，位于</w:t>
            </w:r>
            <w:r>
              <w:rPr>
                <w:rFonts w:ascii="Times New Roman" w:hAnsi="Times New Roman"/>
                <w:color w:val="auto"/>
              </w:rPr>
              <w:t>省道207两侧35米范围内</w:t>
            </w:r>
            <w:r>
              <w:rPr>
                <w:rFonts w:hint="eastAsia" w:ascii="Times New Roman" w:hAnsi="Times New Roman"/>
                <w:color w:val="auto"/>
              </w:rPr>
              <w:t>，执行4</w:t>
            </w:r>
            <w:r>
              <w:rPr>
                <w:rFonts w:ascii="Times New Roman" w:hAnsi="Times New Roman"/>
                <w:color w:val="auto"/>
              </w:rPr>
              <w:t>a</w:t>
            </w:r>
            <w:r>
              <w:rPr>
                <w:rFonts w:hint="eastAsia" w:ascii="Times New Roman" w:hAnsi="Times New Roman"/>
                <w:color w:val="auto"/>
              </w:rPr>
              <w:t>类标准。</w:t>
            </w:r>
            <w:r>
              <w:rPr>
                <w:rFonts w:hint="eastAsia" w:ascii="Times New Roman" w:hAnsi="Times New Roman"/>
                <w:color w:val="auto"/>
                <w:kern w:val="2"/>
              </w:rPr>
              <w:t>噪声预测情况见下表：</w:t>
            </w:r>
          </w:p>
          <w:p>
            <w:pPr>
              <w:overflowPunct w:val="0"/>
              <w:topLinePunct/>
              <w:adjustRightInd w:val="0"/>
              <w:snapToGrid w:val="0"/>
              <w:jc w:val="center"/>
              <w:rPr>
                <w:rFonts w:ascii="Times New Roman" w:hAnsi="Times New Roman"/>
                <w:b/>
                <w:color w:val="auto"/>
                <w:kern w:val="2"/>
                <w:sz w:val="21"/>
                <w:szCs w:val="21"/>
              </w:rPr>
            </w:pPr>
            <w:r>
              <w:rPr>
                <w:rFonts w:hint="eastAsia" w:ascii="Times New Roman" w:hAnsi="Times New Roman"/>
                <w:b/>
                <w:color w:val="auto"/>
                <w:kern w:val="2"/>
                <w:sz w:val="21"/>
                <w:szCs w:val="21"/>
              </w:rPr>
              <w:t>表7-</w:t>
            </w:r>
            <w:r>
              <w:rPr>
                <w:rFonts w:ascii="Times New Roman" w:hAnsi="Times New Roman"/>
                <w:b/>
                <w:color w:val="auto"/>
                <w:kern w:val="2"/>
                <w:sz w:val="21"/>
                <w:szCs w:val="21"/>
              </w:rPr>
              <w:t>2</w:t>
            </w:r>
            <w:r>
              <w:rPr>
                <w:rFonts w:hint="eastAsia" w:ascii="Times New Roman" w:hAnsi="Times New Roman"/>
                <w:b/>
                <w:color w:val="auto"/>
                <w:kern w:val="2"/>
                <w:sz w:val="21"/>
                <w:szCs w:val="21"/>
              </w:rPr>
              <w:t xml:space="preserve">  施工期环境敏感点处噪声预测一览表</w:t>
            </w:r>
            <w:r>
              <w:rPr>
                <w:rFonts w:ascii="Times New Roman" w:hAnsi="Times New Roman"/>
                <w:b/>
                <w:color w:val="auto"/>
                <w:kern w:val="2"/>
                <w:sz w:val="21"/>
                <w:szCs w:val="21"/>
              </w:rPr>
              <w:t>[</w:t>
            </w:r>
            <w:r>
              <w:rPr>
                <w:rFonts w:hint="eastAsia" w:ascii="Times New Roman" w:hAnsi="Times New Roman"/>
                <w:b/>
                <w:color w:val="auto"/>
                <w:kern w:val="2"/>
                <w:sz w:val="21"/>
                <w:szCs w:val="21"/>
              </w:rPr>
              <w:t>单位：dB(A)]</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1276"/>
              <w:gridCol w:w="1597"/>
              <w:gridCol w:w="846"/>
              <w:gridCol w:w="846"/>
              <w:gridCol w:w="846"/>
              <w:gridCol w:w="1307"/>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2"/>
                      <w:sz w:val="21"/>
                      <w:szCs w:val="21"/>
                    </w:rPr>
                    <w:t>保护目标</w:t>
                  </w:r>
                </w:p>
              </w:tc>
              <w:tc>
                <w:tcPr>
                  <w:tcW w:w="1276" w:type="dxa"/>
                  <w:vAlign w:val="center"/>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2"/>
                      <w:sz w:val="21"/>
                      <w:szCs w:val="21"/>
                    </w:rPr>
                    <w:t>最近距离（m）</w:t>
                  </w:r>
                </w:p>
              </w:tc>
              <w:tc>
                <w:tcPr>
                  <w:tcW w:w="1597" w:type="dxa"/>
                  <w:vAlign w:val="center"/>
                </w:tcPr>
                <w:p>
                  <w:pPr>
                    <w:adjustRightInd w:val="0"/>
                    <w:snapToGrid w:val="0"/>
                    <w:spacing w:line="240" w:lineRule="atLeast"/>
                    <w:jc w:val="center"/>
                    <w:rPr>
                      <w:rFonts w:ascii="Times New Roman" w:hAnsi="Times New Roman"/>
                      <w:color w:val="auto"/>
                      <w:kern w:val="2"/>
                      <w:sz w:val="21"/>
                      <w:szCs w:val="21"/>
                    </w:rPr>
                  </w:pPr>
                  <w:r>
                    <w:rPr>
                      <w:rFonts w:ascii="Times New Roman" w:hAnsi="Times New Roman"/>
                      <w:color w:val="auto"/>
                      <w:kern w:val="0"/>
                      <w:sz w:val="21"/>
                      <w:szCs w:val="21"/>
                    </w:rPr>
                    <w:t>设备名称</w:t>
                  </w:r>
                </w:p>
              </w:tc>
              <w:tc>
                <w:tcPr>
                  <w:tcW w:w="0" w:type="auto"/>
                  <w:vAlign w:val="center"/>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2"/>
                      <w:sz w:val="21"/>
                      <w:szCs w:val="21"/>
                    </w:rPr>
                    <w:t>背景值</w:t>
                  </w:r>
                </w:p>
              </w:tc>
              <w:tc>
                <w:tcPr>
                  <w:tcW w:w="0" w:type="auto"/>
                  <w:vAlign w:val="center"/>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2"/>
                      <w:sz w:val="21"/>
                      <w:szCs w:val="21"/>
                    </w:rPr>
                    <w:t>贡献值</w:t>
                  </w:r>
                </w:p>
              </w:tc>
              <w:tc>
                <w:tcPr>
                  <w:tcW w:w="0" w:type="auto"/>
                  <w:vAlign w:val="center"/>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2"/>
                      <w:sz w:val="21"/>
                      <w:szCs w:val="21"/>
                    </w:rPr>
                    <w:t>预测值</w:t>
                  </w:r>
                </w:p>
              </w:tc>
              <w:tc>
                <w:tcPr>
                  <w:tcW w:w="0" w:type="auto"/>
                  <w:vAlign w:val="center"/>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2"/>
                      <w:sz w:val="21"/>
                      <w:szCs w:val="21"/>
                    </w:rPr>
                    <w:t>4</w:t>
                  </w:r>
                  <w:r>
                    <w:rPr>
                      <w:rFonts w:ascii="Times New Roman" w:hAnsi="Times New Roman"/>
                      <w:color w:val="auto"/>
                      <w:kern w:val="2"/>
                      <w:sz w:val="21"/>
                      <w:szCs w:val="21"/>
                    </w:rPr>
                    <w:t>a</w:t>
                  </w:r>
                  <w:r>
                    <w:rPr>
                      <w:rFonts w:hint="eastAsia" w:ascii="Times New Roman" w:hAnsi="Times New Roman"/>
                      <w:color w:val="auto"/>
                      <w:kern w:val="2"/>
                      <w:sz w:val="21"/>
                      <w:szCs w:val="21"/>
                    </w:rPr>
                    <w:t>类标准值</w:t>
                  </w:r>
                </w:p>
              </w:tc>
              <w:tc>
                <w:tcPr>
                  <w:tcW w:w="0" w:type="auto"/>
                  <w:vAlign w:val="center"/>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2"/>
                      <w:sz w:val="21"/>
                      <w:szCs w:val="21"/>
                    </w:rPr>
                    <w:t>达标评述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restart"/>
                  <w:vAlign w:val="center"/>
                </w:tcPr>
                <w:p>
                  <w:pPr>
                    <w:adjustRightInd w:val="0"/>
                    <w:snapToGrid w:val="0"/>
                    <w:spacing w:line="240" w:lineRule="atLeast"/>
                    <w:jc w:val="center"/>
                    <w:rPr>
                      <w:rFonts w:ascii="Times New Roman" w:hAnsi="Times New Roman"/>
                      <w:color w:val="auto"/>
                      <w:kern w:val="2"/>
                      <w:sz w:val="21"/>
                      <w:szCs w:val="21"/>
                    </w:rPr>
                  </w:pPr>
                  <w:r>
                    <w:rPr>
                      <w:rFonts w:ascii="Times New Roman" w:hAnsi="Times New Roman"/>
                      <w:color w:val="auto"/>
                      <w:kern w:val="2"/>
                      <w:sz w:val="21"/>
                      <w:szCs w:val="21"/>
                    </w:rPr>
                    <w:t>小唐营散户</w:t>
                  </w:r>
                </w:p>
              </w:tc>
              <w:tc>
                <w:tcPr>
                  <w:tcW w:w="1276" w:type="dxa"/>
                  <w:vMerge w:val="restart"/>
                  <w:vAlign w:val="center"/>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2"/>
                      <w:sz w:val="21"/>
                      <w:szCs w:val="21"/>
                    </w:rPr>
                    <w:t>1</w:t>
                  </w:r>
                  <w:r>
                    <w:rPr>
                      <w:rFonts w:ascii="Times New Roman" w:hAnsi="Times New Roman"/>
                      <w:color w:val="auto"/>
                      <w:kern w:val="2"/>
                      <w:sz w:val="21"/>
                      <w:szCs w:val="21"/>
                    </w:rPr>
                    <w:t>00</w:t>
                  </w:r>
                </w:p>
              </w:tc>
              <w:tc>
                <w:tcPr>
                  <w:tcW w:w="1597" w:type="dxa"/>
                  <w:vAlign w:val="center"/>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0"/>
                      <w:sz w:val="21"/>
                      <w:szCs w:val="21"/>
                    </w:rPr>
                    <w:t>切割机</w:t>
                  </w:r>
                </w:p>
              </w:tc>
              <w:tc>
                <w:tcPr>
                  <w:tcW w:w="0" w:type="auto"/>
                  <w:vMerge w:val="restart"/>
                  <w:vAlign w:val="center"/>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2"/>
                      <w:sz w:val="21"/>
                      <w:szCs w:val="21"/>
                    </w:rPr>
                    <w:t>6</w:t>
                  </w:r>
                  <w:r>
                    <w:rPr>
                      <w:rFonts w:ascii="Times New Roman" w:hAnsi="Times New Roman"/>
                      <w:color w:val="auto"/>
                      <w:kern w:val="2"/>
                      <w:sz w:val="21"/>
                      <w:szCs w:val="21"/>
                    </w:rPr>
                    <w:t>7.2</w:t>
                  </w:r>
                </w:p>
              </w:tc>
              <w:tc>
                <w:tcPr>
                  <w:tcW w:w="0" w:type="auto"/>
                  <w:vAlign w:val="center"/>
                </w:tcPr>
                <w:p>
                  <w:pPr>
                    <w:adjustRightInd w:val="0"/>
                    <w:snapToGrid w:val="0"/>
                    <w:spacing w:line="240" w:lineRule="atLeast"/>
                    <w:jc w:val="center"/>
                    <w:rPr>
                      <w:rFonts w:ascii="Times New Roman" w:hAnsi="Times New Roman"/>
                      <w:color w:val="auto"/>
                      <w:kern w:val="2"/>
                      <w:sz w:val="21"/>
                      <w:szCs w:val="21"/>
                    </w:rPr>
                  </w:pPr>
                  <w:r>
                    <w:rPr>
                      <w:rFonts w:ascii="Times New Roman" w:hAnsi="Times New Roman" w:eastAsia="等线"/>
                      <w:color w:val="auto"/>
                      <w:sz w:val="21"/>
                      <w:szCs w:val="21"/>
                    </w:rPr>
                    <w:t xml:space="preserve">55.0 </w:t>
                  </w:r>
                </w:p>
              </w:tc>
              <w:tc>
                <w:tcPr>
                  <w:tcW w:w="0" w:type="auto"/>
                  <w:vAlign w:val="center"/>
                </w:tcPr>
                <w:p>
                  <w:pPr>
                    <w:adjustRightInd w:val="0"/>
                    <w:snapToGrid w:val="0"/>
                    <w:spacing w:line="240" w:lineRule="atLeast"/>
                    <w:jc w:val="center"/>
                    <w:rPr>
                      <w:rFonts w:ascii="Times New Roman" w:hAnsi="Times New Roman"/>
                      <w:color w:val="auto"/>
                      <w:kern w:val="2"/>
                      <w:sz w:val="21"/>
                      <w:szCs w:val="21"/>
                    </w:rPr>
                  </w:pPr>
                  <w:r>
                    <w:rPr>
                      <w:rFonts w:ascii="Times New Roman" w:hAnsi="Times New Roman" w:eastAsia="等线"/>
                      <w:color w:val="auto"/>
                      <w:sz w:val="21"/>
                      <w:szCs w:val="21"/>
                    </w:rPr>
                    <w:t xml:space="preserve">67.5 </w:t>
                  </w:r>
                </w:p>
              </w:tc>
              <w:tc>
                <w:tcPr>
                  <w:tcW w:w="0" w:type="auto"/>
                  <w:vMerge w:val="restart"/>
                  <w:vAlign w:val="center"/>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2"/>
                      <w:sz w:val="21"/>
                      <w:szCs w:val="21"/>
                    </w:rPr>
                    <w:t>7</w:t>
                  </w:r>
                  <w:r>
                    <w:rPr>
                      <w:rFonts w:ascii="Times New Roman" w:hAnsi="Times New Roman"/>
                      <w:color w:val="auto"/>
                      <w:kern w:val="2"/>
                      <w:sz w:val="21"/>
                      <w:szCs w:val="21"/>
                    </w:rPr>
                    <w:t>0</w:t>
                  </w:r>
                </w:p>
              </w:tc>
              <w:tc>
                <w:tcPr>
                  <w:tcW w:w="0" w:type="auto"/>
                  <w:vAlign w:val="center"/>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vAlign w:val="center"/>
                </w:tcPr>
                <w:p>
                  <w:pPr>
                    <w:adjustRightInd w:val="0"/>
                    <w:snapToGrid w:val="0"/>
                    <w:spacing w:line="240" w:lineRule="atLeast"/>
                    <w:jc w:val="center"/>
                    <w:rPr>
                      <w:rFonts w:ascii="Times New Roman" w:hAnsi="Times New Roman"/>
                      <w:color w:val="auto"/>
                      <w:kern w:val="2"/>
                      <w:sz w:val="21"/>
                      <w:szCs w:val="21"/>
                    </w:rPr>
                  </w:pPr>
                </w:p>
              </w:tc>
              <w:tc>
                <w:tcPr>
                  <w:tcW w:w="1276" w:type="dxa"/>
                  <w:vMerge w:val="continue"/>
                  <w:vAlign w:val="center"/>
                </w:tcPr>
                <w:p>
                  <w:pPr>
                    <w:adjustRightInd w:val="0"/>
                    <w:snapToGrid w:val="0"/>
                    <w:spacing w:line="240" w:lineRule="atLeast"/>
                    <w:jc w:val="center"/>
                    <w:rPr>
                      <w:rFonts w:ascii="Times New Roman" w:hAnsi="Times New Roman"/>
                      <w:color w:val="auto"/>
                      <w:kern w:val="2"/>
                      <w:sz w:val="21"/>
                      <w:szCs w:val="21"/>
                    </w:rPr>
                  </w:pPr>
                </w:p>
              </w:tc>
              <w:tc>
                <w:tcPr>
                  <w:tcW w:w="1597" w:type="dxa"/>
                  <w:vAlign w:val="center"/>
                </w:tcPr>
                <w:p>
                  <w:pPr>
                    <w:adjustRightInd w:val="0"/>
                    <w:snapToGrid w:val="0"/>
                    <w:spacing w:line="240" w:lineRule="atLeast"/>
                    <w:jc w:val="center"/>
                    <w:rPr>
                      <w:rFonts w:ascii="Times New Roman" w:hAnsi="Times New Roman"/>
                      <w:color w:val="auto"/>
                      <w:kern w:val="2"/>
                      <w:sz w:val="21"/>
                      <w:szCs w:val="21"/>
                    </w:rPr>
                  </w:pPr>
                  <w:r>
                    <w:rPr>
                      <w:rFonts w:ascii="Times New Roman" w:hAnsi="Times New Roman"/>
                      <w:color w:val="auto"/>
                      <w:kern w:val="2"/>
                      <w:sz w:val="21"/>
                    </w:rPr>
                    <w:t>电钻</w:t>
                  </w:r>
                </w:p>
              </w:tc>
              <w:tc>
                <w:tcPr>
                  <w:tcW w:w="0" w:type="auto"/>
                  <w:vMerge w:val="continue"/>
                  <w:vAlign w:val="center"/>
                </w:tcPr>
                <w:p>
                  <w:pPr>
                    <w:adjustRightInd w:val="0"/>
                    <w:snapToGrid w:val="0"/>
                    <w:spacing w:line="240" w:lineRule="atLeast"/>
                    <w:jc w:val="center"/>
                    <w:rPr>
                      <w:rFonts w:ascii="Times New Roman" w:hAnsi="Times New Roman"/>
                      <w:color w:val="auto"/>
                      <w:kern w:val="2"/>
                      <w:sz w:val="21"/>
                      <w:szCs w:val="21"/>
                    </w:rPr>
                  </w:pPr>
                </w:p>
              </w:tc>
              <w:tc>
                <w:tcPr>
                  <w:tcW w:w="0" w:type="auto"/>
                  <w:vAlign w:val="center"/>
                </w:tcPr>
                <w:p>
                  <w:pPr>
                    <w:adjustRightInd w:val="0"/>
                    <w:snapToGrid w:val="0"/>
                    <w:spacing w:line="240" w:lineRule="atLeast"/>
                    <w:jc w:val="center"/>
                    <w:rPr>
                      <w:rFonts w:ascii="Times New Roman" w:hAnsi="Times New Roman"/>
                      <w:color w:val="auto"/>
                      <w:kern w:val="2"/>
                      <w:sz w:val="21"/>
                      <w:szCs w:val="21"/>
                    </w:rPr>
                  </w:pPr>
                  <w:r>
                    <w:rPr>
                      <w:rFonts w:ascii="Times New Roman" w:hAnsi="Times New Roman" w:eastAsia="等线"/>
                      <w:color w:val="auto"/>
                      <w:sz w:val="21"/>
                      <w:szCs w:val="21"/>
                    </w:rPr>
                    <w:t xml:space="preserve">55.0 </w:t>
                  </w:r>
                </w:p>
              </w:tc>
              <w:tc>
                <w:tcPr>
                  <w:tcW w:w="0" w:type="auto"/>
                  <w:vAlign w:val="center"/>
                </w:tcPr>
                <w:p>
                  <w:pPr>
                    <w:adjustRightInd w:val="0"/>
                    <w:snapToGrid w:val="0"/>
                    <w:spacing w:line="240" w:lineRule="atLeast"/>
                    <w:jc w:val="center"/>
                    <w:rPr>
                      <w:rFonts w:ascii="Times New Roman" w:hAnsi="Times New Roman"/>
                      <w:color w:val="auto"/>
                      <w:kern w:val="2"/>
                      <w:sz w:val="21"/>
                      <w:szCs w:val="21"/>
                    </w:rPr>
                  </w:pPr>
                  <w:r>
                    <w:rPr>
                      <w:rFonts w:ascii="Times New Roman" w:hAnsi="Times New Roman" w:eastAsia="等线"/>
                      <w:color w:val="auto"/>
                      <w:sz w:val="21"/>
                      <w:szCs w:val="21"/>
                    </w:rPr>
                    <w:t xml:space="preserve">67.5 </w:t>
                  </w:r>
                </w:p>
              </w:tc>
              <w:tc>
                <w:tcPr>
                  <w:tcW w:w="0" w:type="auto"/>
                  <w:vMerge w:val="continue"/>
                  <w:vAlign w:val="center"/>
                </w:tcPr>
                <w:p>
                  <w:pPr>
                    <w:adjustRightInd w:val="0"/>
                    <w:snapToGrid w:val="0"/>
                    <w:spacing w:line="240" w:lineRule="atLeast"/>
                    <w:jc w:val="center"/>
                    <w:rPr>
                      <w:rFonts w:ascii="Times New Roman" w:hAnsi="Times New Roman"/>
                      <w:color w:val="auto"/>
                      <w:kern w:val="2"/>
                      <w:sz w:val="21"/>
                      <w:szCs w:val="21"/>
                    </w:rPr>
                  </w:pPr>
                </w:p>
              </w:tc>
              <w:tc>
                <w:tcPr>
                  <w:tcW w:w="0" w:type="auto"/>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vAlign w:val="center"/>
                </w:tcPr>
                <w:p>
                  <w:pPr>
                    <w:adjustRightInd w:val="0"/>
                    <w:snapToGrid w:val="0"/>
                    <w:spacing w:line="240" w:lineRule="atLeast"/>
                    <w:jc w:val="center"/>
                    <w:rPr>
                      <w:rFonts w:ascii="Times New Roman" w:hAnsi="Times New Roman"/>
                      <w:color w:val="auto"/>
                      <w:kern w:val="2"/>
                      <w:sz w:val="21"/>
                      <w:szCs w:val="21"/>
                    </w:rPr>
                  </w:pPr>
                </w:p>
              </w:tc>
              <w:tc>
                <w:tcPr>
                  <w:tcW w:w="1276" w:type="dxa"/>
                  <w:vMerge w:val="continue"/>
                  <w:vAlign w:val="center"/>
                </w:tcPr>
                <w:p>
                  <w:pPr>
                    <w:adjustRightInd w:val="0"/>
                    <w:snapToGrid w:val="0"/>
                    <w:spacing w:line="240" w:lineRule="atLeast"/>
                    <w:jc w:val="center"/>
                    <w:rPr>
                      <w:rFonts w:ascii="Times New Roman" w:hAnsi="Times New Roman"/>
                      <w:color w:val="auto"/>
                      <w:kern w:val="2"/>
                      <w:sz w:val="21"/>
                      <w:szCs w:val="21"/>
                    </w:rPr>
                  </w:pPr>
                </w:p>
              </w:tc>
              <w:tc>
                <w:tcPr>
                  <w:tcW w:w="1597" w:type="dxa"/>
                  <w:vAlign w:val="center"/>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2"/>
                      <w:sz w:val="21"/>
                      <w:szCs w:val="21"/>
                    </w:rPr>
                    <w:t>起重机</w:t>
                  </w:r>
                </w:p>
              </w:tc>
              <w:tc>
                <w:tcPr>
                  <w:tcW w:w="0" w:type="auto"/>
                  <w:vMerge w:val="continue"/>
                  <w:vAlign w:val="center"/>
                </w:tcPr>
                <w:p>
                  <w:pPr>
                    <w:adjustRightInd w:val="0"/>
                    <w:snapToGrid w:val="0"/>
                    <w:spacing w:line="240" w:lineRule="atLeast"/>
                    <w:jc w:val="center"/>
                    <w:rPr>
                      <w:rFonts w:ascii="Times New Roman" w:hAnsi="Times New Roman"/>
                      <w:color w:val="auto"/>
                      <w:kern w:val="2"/>
                      <w:sz w:val="21"/>
                      <w:szCs w:val="21"/>
                    </w:rPr>
                  </w:pPr>
                </w:p>
              </w:tc>
              <w:tc>
                <w:tcPr>
                  <w:tcW w:w="0" w:type="auto"/>
                  <w:vAlign w:val="center"/>
                </w:tcPr>
                <w:p>
                  <w:pPr>
                    <w:adjustRightInd w:val="0"/>
                    <w:snapToGrid w:val="0"/>
                    <w:spacing w:line="240" w:lineRule="atLeast"/>
                    <w:jc w:val="center"/>
                    <w:rPr>
                      <w:rFonts w:ascii="Times New Roman" w:hAnsi="Times New Roman"/>
                      <w:color w:val="auto"/>
                      <w:kern w:val="2"/>
                      <w:sz w:val="21"/>
                      <w:szCs w:val="21"/>
                    </w:rPr>
                  </w:pPr>
                  <w:r>
                    <w:rPr>
                      <w:rFonts w:ascii="Times New Roman" w:hAnsi="Times New Roman" w:eastAsia="等线"/>
                      <w:color w:val="auto"/>
                      <w:sz w:val="21"/>
                      <w:szCs w:val="21"/>
                    </w:rPr>
                    <w:t xml:space="preserve">50.0 </w:t>
                  </w:r>
                </w:p>
              </w:tc>
              <w:tc>
                <w:tcPr>
                  <w:tcW w:w="0" w:type="auto"/>
                  <w:vAlign w:val="center"/>
                </w:tcPr>
                <w:p>
                  <w:pPr>
                    <w:adjustRightInd w:val="0"/>
                    <w:snapToGrid w:val="0"/>
                    <w:spacing w:line="240" w:lineRule="atLeast"/>
                    <w:jc w:val="center"/>
                    <w:rPr>
                      <w:rFonts w:ascii="Times New Roman" w:hAnsi="Times New Roman"/>
                      <w:color w:val="auto"/>
                      <w:kern w:val="2"/>
                      <w:sz w:val="21"/>
                      <w:szCs w:val="21"/>
                    </w:rPr>
                  </w:pPr>
                  <w:r>
                    <w:rPr>
                      <w:rFonts w:ascii="Times New Roman" w:hAnsi="Times New Roman" w:eastAsia="等线"/>
                      <w:color w:val="auto"/>
                      <w:sz w:val="21"/>
                      <w:szCs w:val="21"/>
                    </w:rPr>
                    <w:t xml:space="preserve">67.3 </w:t>
                  </w:r>
                </w:p>
              </w:tc>
              <w:tc>
                <w:tcPr>
                  <w:tcW w:w="0" w:type="auto"/>
                  <w:vMerge w:val="continue"/>
                  <w:vAlign w:val="center"/>
                </w:tcPr>
                <w:p>
                  <w:pPr>
                    <w:adjustRightInd w:val="0"/>
                    <w:snapToGrid w:val="0"/>
                    <w:spacing w:line="240" w:lineRule="atLeast"/>
                    <w:jc w:val="center"/>
                    <w:rPr>
                      <w:rFonts w:ascii="Times New Roman" w:hAnsi="Times New Roman"/>
                      <w:color w:val="auto"/>
                      <w:kern w:val="2"/>
                      <w:sz w:val="21"/>
                      <w:szCs w:val="21"/>
                    </w:rPr>
                  </w:pPr>
                </w:p>
              </w:tc>
              <w:tc>
                <w:tcPr>
                  <w:tcW w:w="0" w:type="auto"/>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vAlign w:val="center"/>
                </w:tcPr>
                <w:p>
                  <w:pPr>
                    <w:adjustRightInd w:val="0"/>
                    <w:snapToGrid w:val="0"/>
                    <w:spacing w:line="240" w:lineRule="atLeast"/>
                    <w:jc w:val="center"/>
                    <w:rPr>
                      <w:rFonts w:ascii="Times New Roman" w:hAnsi="Times New Roman"/>
                      <w:color w:val="auto"/>
                      <w:kern w:val="2"/>
                      <w:sz w:val="21"/>
                      <w:szCs w:val="21"/>
                    </w:rPr>
                  </w:pPr>
                </w:p>
              </w:tc>
              <w:tc>
                <w:tcPr>
                  <w:tcW w:w="1276" w:type="dxa"/>
                  <w:vMerge w:val="continue"/>
                  <w:vAlign w:val="center"/>
                </w:tcPr>
                <w:p>
                  <w:pPr>
                    <w:adjustRightInd w:val="0"/>
                    <w:snapToGrid w:val="0"/>
                    <w:spacing w:line="240" w:lineRule="atLeast"/>
                    <w:jc w:val="center"/>
                    <w:rPr>
                      <w:rFonts w:ascii="Times New Roman" w:hAnsi="Times New Roman"/>
                      <w:color w:val="auto"/>
                      <w:kern w:val="2"/>
                      <w:sz w:val="21"/>
                      <w:szCs w:val="21"/>
                    </w:rPr>
                  </w:pPr>
                </w:p>
              </w:tc>
              <w:tc>
                <w:tcPr>
                  <w:tcW w:w="1597" w:type="dxa"/>
                  <w:vAlign w:val="center"/>
                </w:tcPr>
                <w:p>
                  <w:pPr>
                    <w:adjustRightInd w:val="0"/>
                    <w:snapToGrid w:val="0"/>
                    <w:spacing w:line="240" w:lineRule="atLeast"/>
                    <w:jc w:val="center"/>
                    <w:rPr>
                      <w:rFonts w:ascii="Times New Roman" w:hAnsi="Times New Roman"/>
                      <w:color w:val="auto"/>
                      <w:kern w:val="2"/>
                      <w:sz w:val="21"/>
                      <w:szCs w:val="21"/>
                    </w:rPr>
                  </w:pPr>
                  <w:r>
                    <w:rPr>
                      <w:rFonts w:ascii="Times New Roman" w:hAnsi="Times New Roman"/>
                      <w:color w:val="auto"/>
                      <w:kern w:val="0"/>
                      <w:sz w:val="21"/>
                      <w:szCs w:val="21"/>
                    </w:rPr>
                    <w:t>多声源叠加值</w:t>
                  </w:r>
                </w:p>
              </w:tc>
              <w:tc>
                <w:tcPr>
                  <w:tcW w:w="0" w:type="auto"/>
                  <w:vMerge w:val="continue"/>
                  <w:vAlign w:val="center"/>
                </w:tcPr>
                <w:p>
                  <w:pPr>
                    <w:adjustRightInd w:val="0"/>
                    <w:snapToGrid w:val="0"/>
                    <w:spacing w:line="240" w:lineRule="atLeast"/>
                    <w:jc w:val="center"/>
                    <w:rPr>
                      <w:rFonts w:ascii="Times New Roman" w:hAnsi="Times New Roman"/>
                      <w:color w:val="auto"/>
                      <w:kern w:val="2"/>
                      <w:sz w:val="21"/>
                      <w:szCs w:val="21"/>
                    </w:rPr>
                  </w:pPr>
                </w:p>
              </w:tc>
              <w:tc>
                <w:tcPr>
                  <w:tcW w:w="0" w:type="auto"/>
                  <w:vAlign w:val="center"/>
                </w:tcPr>
                <w:p>
                  <w:pPr>
                    <w:adjustRightInd w:val="0"/>
                    <w:snapToGrid w:val="0"/>
                    <w:spacing w:line="240" w:lineRule="atLeast"/>
                    <w:jc w:val="center"/>
                    <w:rPr>
                      <w:rFonts w:ascii="Times New Roman" w:hAnsi="Times New Roman"/>
                      <w:color w:val="auto"/>
                      <w:kern w:val="2"/>
                      <w:sz w:val="21"/>
                      <w:szCs w:val="21"/>
                    </w:rPr>
                  </w:pPr>
                  <w:r>
                    <w:rPr>
                      <w:rFonts w:ascii="Times New Roman" w:hAnsi="Times New Roman" w:eastAsia="等线"/>
                      <w:color w:val="auto"/>
                      <w:sz w:val="21"/>
                      <w:szCs w:val="21"/>
                    </w:rPr>
                    <w:t xml:space="preserve">58.6 </w:t>
                  </w:r>
                </w:p>
              </w:tc>
              <w:tc>
                <w:tcPr>
                  <w:tcW w:w="0" w:type="auto"/>
                  <w:vAlign w:val="center"/>
                </w:tcPr>
                <w:p>
                  <w:pPr>
                    <w:adjustRightInd w:val="0"/>
                    <w:snapToGrid w:val="0"/>
                    <w:spacing w:line="240" w:lineRule="atLeast"/>
                    <w:jc w:val="center"/>
                    <w:rPr>
                      <w:rFonts w:ascii="Times New Roman" w:hAnsi="Times New Roman"/>
                      <w:color w:val="auto"/>
                      <w:kern w:val="2"/>
                      <w:sz w:val="21"/>
                      <w:szCs w:val="21"/>
                    </w:rPr>
                  </w:pPr>
                  <w:r>
                    <w:rPr>
                      <w:rFonts w:ascii="Times New Roman" w:hAnsi="Times New Roman" w:eastAsia="等线"/>
                      <w:color w:val="auto"/>
                      <w:sz w:val="21"/>
                      <w:szCs w:val="21"/>
                    </w:rPr>
                    <w:t xml:space="preserve">67.8 </w:t>
                  </w:r>
                </w:p>
              </w:tc>
              <w:tc>
                <w:tcPr>
                  <w:tcW w:w="0" w:type="auto"/>
                  <w:vMerge w:val="continue"/>
                  <w:vAlign w:val="center"/>
                </w:tcPr>
                <w:p>
                  <w:pPr>
                    <w:adjustRightInd w:val="0"/>
                    <w:snapToGrid w:val="0"/>
                    <w:spacing w:line="240" w:lineRule="atLeast"/>
                    <w:jc w:val="center"/>
                    <w:rPr>
                      <w:rFonts w:ascii="Times New Roman" w:hAnsi="Times New Roman"/>
                      <w:color w:val="auto"/>
                      <w:kern w:val="2"/>
                      <w:sz w:val="21"/>
                      <w:szCs w:val="21"/>
                    </w:rPr>
                  </w:pPr>
                </w:p>
              </w:tc>
              <w:tc>
                <w:tcPr>
                  <w:tcW w:w="0" w:type="auto"/>
                </w:tcPr>
                <w:p>
                  <w:pPr>
                    <w:adjustRightInd w:val="0"/>
                    <w:snapToGrid w:val="0"/>
                    <w:spacing w:line="240" w:lineRule="atLeast"/>
                    <w:jc w:val="center"/>
                    <w:rPr>
                      <w:rFonts w:ascii="Times New Roman" w:hAnsi="Times New Roman"/>
                      <w:color w:val="auto"/>
                      <w:kern w:val="2"/>
                      <w:sz w:val="21"/>
                      <w:szCs w:val="21"/>
                    </w:rPr>
                  </w:pPr>
                  <w:r>
                    <w:rPr>
                      <w:rFonts w:hint="eastAsia" w:ascii="Times New Roman" w:hAnsi="Times New Roman"/>
                      <w:color w:val="auto"/>
                      <w:kern w:val="2"/>
                      <w:sz w:val="21"/>
                      <w:szCs w:val="21"/>
                    </w:rPr>
                    <w:t>达标</w:t>
                  </w:r>
                </w:p>
              </w:tc>
            </w:tr>
          </w:tbl>
          <w:p>
            <w:pPr>
              <w:overflowPunct w:val="0"/>
              <w:topLinePunct/>
              <w:adjustRightInd w:val="0"/>
              <w:snapToGrid w:val="0"/>
              <w:spacing w:before="163" w:beforeLines="50" w:line="360" w:lineRule="auto"/>
              <w:ind w:firstLine="480" w:firstLineChars="200"/>
              <w:rPr>
                <w:rFonts w:ascii="Times New Roman" w:hAnsi="Times New Roman"/>
                <w:color w:val="auto"/>
                <w:kern w:val="2"/>
              </w:rPr>
            </w:pPr>
            <w:r>
              <w:rPr>
                <w:rFonts w:ascii="Times New Roman" w:hAnsi="Times New Roman"/>
                <w:color w:val="auto"/>
                <w:kern w:val="2"/>
              </w:rPr>
              <w:t>由表7-2可以看出，</w:t>
            </w:r>
            <w:r>
              <w:rPr>
                <w:rFonts w:hint="eastAsia" w:ascii="Times New Roman" w:hAnsi="Times New Roman"/>
                <w:color w:val="auto"/>
                <w:kern w:val="2"/>
              </w:rPr>
              <w:t>小唐营散户处的噪声预测值均满足</w:t>
            </w:r>
            <w:r>
              <w:rPr>
                <w:rFonts w:ascii="Times New Roman" w:hAnsi="Times New Roman"/>
                <w:color w:val="auto"/>
              </w:rPr>
              <w:t>GB3096-2008《声环境质量标准》4a类标准</w:t>
            </w:r>
            <w:r>
              <w:rPr>
                <w:rFonts w:hint="eastAsia" w:ascii="Times New Roman" w:hAnsi="Times New Roman"/>
                <w:color w:val="auto"/>
              </w:rPr>
              <w:t>限值要求，说明技改项目施工噪声对声环境保护目标的影响是可接受的，</w:t>
            </w:r>
            <w:r>
              <w:rPr>
                <w:rFonts w:hint="eastAsia" w:ascii="Times New Roman" w:hAnsi="Times New Roman"/>
                <w:bCs/>
                <w:color w:val="auto"/>
                <w:kern w:val="2"/>
              </w:rPr>
              <w:t>且会随着施工结束而消失。</w:t>
            </w:r>
          </w:p>
          <w:p>
            <w:pPr>
              <w:overflowPunct w:val="0"/>
              <w:topLinePunct/>
              <w:adjustRightInd w:val="0"/>
              <w:snapToGrid w:val="0"/>
              <w:spacing w:line="360" w:lineRule="auto"/>
              <w:ind w:firstLine="480" w:firstLineChars="200"/>
              <w:rPr>
                <w:rFonts w:ascii="Times New Roman" w:hAnsi="Times New Roman"/>
                <w:color w:val="auto"/>
                <w:kern w:val="2"/>
              </w:rPr>
            </w:pPr>
            <w:r>
              <w:rPr>
                <w:rFonts w:hint="eastAsia" w:ascii="Times New Roman" w:hAnsi="Times New Roman"/>
                <w:color w:val="auto"/>
                <w:kern w:val="2"/>
              </w:rPr>
              <w:t>从外环境来看，</w:t>
            </w:r>
            <w:r>
              <w:rPr>
                <w:rFonts w:ascii="Times New Roman" w:hAnsi="Times New Roman"/>
                <w:bCs/>
                <w:color w:val="auto"/>
                <w:kern w:val="2"/>
              </w:rPr>
              <w:t>施工材料运输中，进厂道路路旁</w:t>
            </w:r>
            <w:r>
              <w:rPr>
                <w:rFonts w:hint="eastAsia" w:ascii="Times New Roman" w:hAnsi="Times New Roman"/>
                <w:bCs/>
                <w:color w:val="auto"/>
                <w:kern w:val="2"/>
              </w:rPr>
              <w:t>有少量</w:t>
            </w:r>
            <w:r>
              <w:rPr>
                <w:rFonts w:ascii="Times New Roman" w:hAnsi="Times New Roman"/>
                <w:bCs/>
                <w:color w:val="auto"/>
                <w:kern w:val="2"/>
              </w:rPr>
              <w:t>居民</w:t>
            </w:r>
            <w:r>
              <w:rPr>
                <w:rFonts w:hint="eastAsia" w:ascii="Times New Roman" w:hAnsi="Times New Roman"/>
                <w:bCs/>
                <w:color w:val="auto"/>
                <w:kern w:val="2"/>
              </w:rPr>
              <w:t>点</w:t>
            </w:r>
            <w:r>
              <w:rPr>
                <w:rFonts w:ascii="Times New Roman" w:hAnsi="Times New Roman"/>
                <w:bCs/>
                <w:color w:val="auto"/>
                <w:kern w:val="2"/>
              </w:rPr>
              <w:t>分布，运输车辆</w:t>
            </w:r>
            <w:r>
              <w:rPr>
                <w:rFonts w:hint="eastAsia" w:ascii="Times New Roman" w:hAnsi="Times New Roman"/>
                <w:bCs/>
                <w:color w:val="auto"/>
                <w:kern w:val="2"/>
              </w:rPr>
              <w:t>进出施工场地产生的</w:t>
            </w:r>
            <w:r>
              <w:rPr>
                <w:rFonts w:ascii="Times New Roman" w:hAnsi="Times New Roman"/>
                <w:bCs/>
                <w:color w:val="auto"/>
                <w:kern w:val="2"/>
              </w:rPr>
              <w:t>交通噪声</w:t>
            </w:r>
            <w:r>
              <w:rPr>
                <w:rFonts w:hint="eastAsia" w:ascii="Times New Roman" w:hAnsi="Times New Roman"/>
                <w:bCs/>
                <w:color w:val="auto"/>
                <w:kern w:val="2"/>
              </w:rPr>
              <w:t>会对周围</w:t>
            </w:r>
            <w:r>
              <w:rPr>
                <w:rFonts w:ascii="Times New Roman" w:hAnsi="Times New Roman"/>
                <w:bCs/>
                <w:color w:val="auto"/>
                <w:kern w:val="2"/>
              </w:rPr>
              <w:t>声环境</w:t>
            </w:r>
            <w:r>
              <w:rPr>
                <w:rFonts w:hint="eastAsia" w:ascii="Times New Roman" w:hAnsi="Times New Roman"/>
                <w:bCs/>
                <w:color w:val="auto"/>
                <w:kern w:val="2"/>
              </w:rPr>
              <w:t>产生一定的</w:t>
            </w:r>
            <w:r>
              <w:rPr>
                <w:rFonts w:ascii="Times New Roman" w:hAnsi="Times New Roman"/>
                <w:bCs/>
                <w:color w:val="auto"/>
                <w:kern w:val="2"/>
              </w:rPr>
              <w:t>影响</w:t>
            </w:r>
            <w:r>
              <w:rPr>
                <w:rFonts w:hint="eastAsia" w:ascii="Times New Roman" w:hAnsi="Times New Roman"/>
                <w:bCs/>
                <w:color w:val="auto"/>
                <w:kern w:val="2"/>
              </w:rPr>
              <w:t>，但本项目主要进行设备拆除和安装，运输量少，只要运输车辆在经过居民点时减速慢行，禁止鸣笛，交通噪声对周围声环境的影响</w:t>
            </w:r>
            <w:r>
              <w:rPr>
                <w:rFonts w:ascii="Times New Roman" w:hAnsi="Times New Roman"/>
                <w:bCs/>
                <w:color w:val="auto"/>
                <w:kern w:val="2"/>
              </w:rPr>
              <w:t>可以</w:t>
            </w:r>
            <w:r>
              <w:rPr>
                <w:rFonts w:hint="eastAsia" w:ascii="Times New Roman" w:hAnsi="Times New Roman"/>
                <w:bCs/>
                <w:color w:val="auto"/>
                <w:kern w:val="2"/>
              </w:rPr>
              <w:t>接受</w:t>
            </w:r>
            <w:r>
              <w:rPr>
                <w:rFonts w:ascii="Times New Roman" w:hAnsi="Times New Roman"/>
                <w:bCs/>
                <w:color w:val="auto"/>
                <w:kern w:val="2"/>
              </w:rPr>
              <w:t>。</w:t>
            </w:r>
          </w:p>
          <w:p>
            <w:pPr>
              <w:tabs>
                <w:tab w:val="left" w:pos="1590"/>
              </w:tabs>
              <w:adjustRightInd w:val="0"/>
              <w:snapToGrid w:val="0"/>
              <w:spacing w:line="360" w:lineRule="auto"/>
              <w:ind w:firstLine="482" w:firstLineChars="200"/>
              <w:rPr>
                <w:rFonts w:ascii="Times New Roman" w:hAnsi="Times New Roman"/>
                <w:b/>
                <w:color w:val="auto"/>
              </w:rPr>
            </w:pPr>
            <w:r>
              <w:rPr>
                <w:rFonts w:ascii="Times New Roman" w:hAnsi="Times New Roman"/>
                <w:b/>
                <w:color w:val="auto"/>
              </w:rPr>
              <w:t>3、固废影响分析</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施工期产生的固废为拆除的旧设备、少量建筑垃圾和包装垃圾。</w:t>
            </w:r>
          </w:p>
          <w:p>
            <w:pPr>
              <w:adjustRightInd w:val="0"/>
              <w:snapToGrid w:val="0"/>
              <w:spacing w:line="360" w:lineRule="auto"/>
              <w:ind w:firstLine="480" w:firstLineChars="200"/>
              <w:rPr>
                <w:rFonts w:ascii="Times New Roman" w:hAnsi="Times New Roman"/>
                <w:color w:val="auto"/>
                <w:szCs w:val="18"/>
              </w:rPr>
            </w:pPr>
            <w:r>
              <w:rPr>
                <w:rFonts w:ascii="Times New Roman" w:hAnsi="Times New Roman"/>
                <w:color w:val="auto"/>
                <w:kern w:val="0"/>
              </w:rPr>
              <w:t>旧设备和可回收的包装垃圾</w:t>
            </w:r>
            <w:r>
              <w:rPr>
                <w:rFonts w:hint="eastAsia" w:ascii="Times New Roman" w:hAnsi="Times New Roman"/>
                <w:color w:val="auto"/>
                <w:kern w:val="0"/>
              </w:rPr>
              <w:t>外售处置</w:t>
            </w:r>
            <w:r>
              <w:rPr>
                <w:rFonts w:ascii="Times New Roman" w:hAnsi="Times New Roman"/>
                <w:color w:val="auto"/>
                <w:kern w:val="0"/>
              </w:rPr>
              <w:t>，</w:t>
            </w:r>
            <w:r>
              <w:rPr>
                <w:rFonts w:ascii="Times New Roman" w:hAnsi="Times New Roman"/>
                <w:color w:val="auto"/>
                <w:szCs w:val="18"/>
              </w:rPr>
              <w:t>建筑垃圾严格按照《昆明市城市建筑垃圾管理实施办法》实施细则的规定，确定具备资质的建筑垃圾承运企业，并与承运企业签订《承运协议》后付费运输至</w:t>
            </w:r>
            <w:r>
              <w:rPr>
                <w:rFonts w:hint="eastAsia" w:ascii="Times New Roman" w:hAnsi="Times New Roman"/>
                <w:color w:val="auto"/>
                <w:szCs w:val="18"/>
              </w:rPr>
              <w:t>合法</w:t>
            </w:r>
            <w:r>
              <w:rPr>
                <w:rFonts w:ascii="Times New Roman" w:hAnsi="Times New Roman"/>
                <w:color w:val="auto"/>
                <w:szCs w:val="18"/>
              </w:rPr>
              <w:t>建筑垃圾消纳处置场进行处置。</w:t>
            </w:r>
          </w:p>
          <w:p>
            <w:pPr>
              <w:adjustRightInd w:val="0"/>
              <w:snapToGrid w:val="0"/>
              <w:spacing w:line="360" w:lineRule="auto"/>
              <w:ind w:firstLine="480" w:firstLineChars="200"/>
              <w:rPr>
                <w:rFonts w:ascii="Times New Roman" w:hAnsi="Times New Roman"/>
                <w:color w:val="auto"/>
                <w:szCs w:val="18"/>
              </w:rPr>
            </w:pPr>
            <w:r>
              <w:rPr>
                <w:rFonts w:hint="eastAsia" w:ascii="Times New Roman" w:hAnsi="Times New Roman"/>
                <w:color w:val="auto"/>
                <w:szCs w:val="18"/>
              </w:rPr>
              <w:t>则本项目施工期产生的固废均能得到有效处置，处置率1</w:t>
            </w:r>
            <w:r>
              <w:rPr>
                <w:rFonts w:ascii="Times New Roman" w:hAnsi="Times New Roman"/>
                <w:color w:val="auto"/>
                <w:szCs w:val="18"/>
              </w:rPr>
              <w:t>00%</w:t>
            </w:r>
            <w:r>
              <w:rPr>
                <w:rFonts w:hint="eastAsia" w:ascii="Times New Roman" w:hAnsi="Times New Roman"/>
                <w:color w:val="auto"/>
                <w:szCs w:val="18"/>
              </w:rPr>
              <w:t>，无固废外排，施工产生的固废对周围环境的影响是可以接受的。</w:t>
            </w:r>
          </w:p>
          <w:p>
            <w:pPr>
              <w:tabs>
                <w:tab w:val="left" w:pos="1590"/>
              </w:tabs>
              <w:adjustRightInd w:val="0"/>
              <w:snapToGrid w:val="0"/>
              <w:spacing w:line="360" w:lineRule="auto"/>
              <w:ind w:firstLine="482" w:firstLineChars="200"/>
              <w:rPr>
                <w:rFonts w:ascii="Times New Roman" w:hAnsi="Times New Roman"/>
                <w:b/>
                <w:color w:val="auto"/>
              </w:rPr>
            </w:pPr>
            <w:r>
              <w:rPr>
                <w:rFonts w:hint="eastAsia" w:ascii="Times New Roman" w:hAnsi="Times New Roman"/>
                <w:b/>
                <w:color w:val="auto"/>
              </w:rPr>
              <w:t>4、生态影响分析</w:t>
            </w:r>
          </w:p>
          <w:p>
            <w:pPr>
              <w:adjustRightInd w:val="0"/>
              <w:snapToGrid w:val="0"/>
              <w:spacing w:line="360" w:lineRule="auto"/>
              <w:ind w:firstLine="480" w:firstLineChars="200"/>
              <w:rPr>
                <w:rFonts w:ascii="Times New Roman" w:hAnsi="Times New Roman"/>
                <w:color w:val="auto"/>
                <w:szCs w:val="18"/>
              </w:rPr>
            </w:pPr>
            <w:r>
              <w:rPr>
                <w:rFonts w:ascii="Times New Roman" w:hAnsi="Times New Roman"/>
                <w:color w:val="auto"/>
                <w:szCs w:val="18"/>
              </w:rPr>
              <w:t>本项目</w:t>
            </w:r>
            <w:r>
              <w:rPr>
                <w:rFonts w:hint="eastAsia" w:ascii="Times New Roman" w:hAnsi="Times New Roman"/>
                <w:color w:val="auto"/>
                <w:szCs w:val="18"/>
              </w:rPr>
              <w:t>在</w:t>
            </w:r>
            <w:r>
              <w:rPr>
                <w:rFonts w:ascii="Times New Roman" w:hAnsi="Times New Roman"/>
                <w:color w:val="auto"/>
                <w:szCs w:val="18"/>
              </w:rPr>
              <w:t>现有厂房</w:t>
            </w:r>
            <w:r>
              <w:rPr>
                <w:rFonts w:hint="eastAsia" w:ascii="Times New Roman" w:hAnsi="Times New Roman"/>
                <w:color w:val="auto"/>
                <w:szCs w:val="18"/>
              </w:rPr>
              <w:t>内进行技术改造</w:t>
            </w:r>
            <w:r>
              <w:rPr>
                <w:rFonts w:ascii="Times New Roman" w:hAnsi="Times New Roman"/>
                <w:color w:val="auto"/>
                <w:szCs w:val="18"/>
              </w:rPr>
              <w:t>，不</w:t>
            </w:r>
            <w:r>
              <w:rPr>
                <w:rFonts w:hint="eastAsia" w:ascii="Times New Roman" w:hAnsi="Times New Roman"/>
                <w:color w:val="auto"/>
                <w:szCs w:val="18"/>
              </w:rPr>
              <w:t>新增</w:t>
            </w:r>
            <w:r>
              <w:rPr>
                <w:rFonts w:ascii="Times New Roman" w:hAnsi="Times New Roman"/>
                <w:color w:val="auto"/>
                <w:szCs w:val="18"/>
              </w:rPr>
              <w:t>占地，</w:t>
            </w:r>
            <w:r>
              <w:rPr>
                <w:rFonts w:hint="eastAsia" w:ascii="Times New Roman" w:hAnsi="Times New Roman"/>
                <w:color w:val="auto"/>
                <w:szCs w:val="18"/>
              </w:rPr>
              <w:t>基本不涉及土建</w:t>
            </w:r>
            <w:r>
              <w:rPr>
                <w:rFonts w:ascii="Times New Roman" w:hAnsi="Times New Roman"/>
                <w:color w:val="auto"/>
                <w:szCs w:val="18"/>
              </w:rPr>
              <w:t>，项目所在区域范围内地面</w:t>
            </w:r>
            <w:r>
              <w:rPr>
                <w:rFonts w:hint="eastAsia" w:ascii="Times New Roman" w:hAnsi="Times New Roman"/>
                <w:color w:val="auto"/>
                <w:szCs w:val="18"/>
              </w:rPr>
              <w:t>已</w:t>
            </w:r>
            <w:r>
              <w:rPr>
                <w:rFonts w:ascii="Times New Roman" w:hAnsi="Times New Roman"/>
                <w:color w:val="auto"/>
                <w:szCs w:val="18"/>
              </w:rPr>
              <w:t>全部硬化，项目</w:t>
            </w:r>
            <w:r>
              <w:rPr>
                <w:rFonts w:hint="eastAsia" w:ascii="Times New Roman" w:hAnsi="Times New Roman"/>
                <w:color w:val="auto"/>
                <w:szCs w:val="18"/>
              </w:rPr>
              <w:t>施工</w:t>
            </w:r>
            <w:r>
              <w:rPr>
                <w:rFonts w:ascii="Times New Roman" w:hAnsi="Times New Roman"/>
                <w:color w:val="auto"/>
                <w:szCs w:val="18"/>
              </w:rPr>
              <w:t>均在厂房内进行。评价范围内不涉及特殊或重要生态敏感区，不涉及珍惜濒危野生动植物或地方特有种，不涉及野生动植物破坏，故项目生产对周边生态环境</w:t>
            </w:r>
            <w:r>
              <w:rPr>
                <w:rFonts w:hint="eastAsia" w:ascii="Times New Roman" w:hAnsi="Times New Roman"/>
                <w:color w:val="auto"/>
                <w:szCs w:val="18"/>
              </w:rPr>
              <w:t>的</w:t>
            </w:r>
            <w:r>
              <w:rPr>
                <w:rFonts w:ascii="Times New Roman" w:hAnsi="Times New Roman"/>
                <w:color w:val="auto"/>
                <w:szCs w:val="18"/>
              </w:rPr>
              <w:t>影响</w:t>
            </w:r>
            <w:r>
              <w:rPr>
                <w:rFonts w:hint="eastAsia" w:ascii="Times New Roman" w:hAnsi="Times New Roman"/>
                <w:color w:val="auto"/>
                <w:szCs w:val="18"/>
              </w:rPr>
              <w:t>是可接受的</w:t>
            </w:r>
            <w:r>
              <w:rPr>
                <w:rFonts w:ascii="Times New Roman" w:hAnsi="Times New Roman"/>
                <w:color w:val="auto"/>
                <w:szCs w:val="18"/>
              </w:rPr>
              <w:t>。</w:t>
            </w:r>
          </w:p>
          <w:p>
            <w:pPr>
              <w:numPr>
                <w:ilvl w:val="0"/>
                <w:numId w:val="6"/>
              </w:numPr>
              <w:adjustRightInd w:val="0"/>
              <w:snapToGrid w:val="0"/>
              <w:spacing w:line="360" w:lineRule="auto"/>
              <w:rPr>
                <w:rFonts w:ascii="Times New Roman" w:hAnsi="Times New Roman"/>
                <w:color w:val="auto"/>
              </w:rPr>
            </w:pPr>
            <w:r>
              <w:rPr>
                <w:rFonts w:ascii="Times New Roman" w:hAnsi="Times New Roman"/>
                <w:b/>
                <w:bCs/>
                <w:color w:val="auto"/>
              </w:rPr>
              <w:t>运营期影响分析</w:t>
            </w:r>
            <w:r>
              <w:rPr>
                <w:rFonts w:ascii="Times New Roman" w:hAnsi="Times New Roman"/>
                <w:color w:val="auto"/>
              </w:rPr>
              <w:t>：</w:t>
            </w:r>
          </w:p>
          <w:p>
            <w:pPr>
              <w:adjustRightInd w:val="0"/>
              <w:snapToGrid w:val="0"/>
              <w:spacing w:line="360" w:lineRule="auto"/>
              <w:rPr>
                <w:rFonts w:ascii="Times New Roman" w:hAnsi="Times New Roman"/>
                <w:b/>
                <w:bCs/>
                <w:color w:val="auto"/>
              </w:rPr>
            </w:pPr>
            <w:r>
              <w:rPr>
                <w:rFonts w:ascii="Times New Roman" w:hAnsi="Times New Roman"/>
                <w:b/>
                <w:bCs/>
                <w:color w:val="auto"/>
              </w:rPr>
              <w:t>1、环境空气影响分析</w:t>
            </w:r>
          </w:p>
          <w:p>
            <w:pPr>
              <w:adjustRightInd w:val="0"/>
              <w:snapToGrid w:val="0"/>
              <w:spacing w:line="360" w:lineRule="auto"/>
              <w:ind w:firstLine="480" w:firstLineChars="200"/>
              <w:rPr>
                <w:rFonts w:ascii="Times New Roman" w:hAnsi="Times New Roman"/>
                <w:b/>
                <w:bCs/>
                <w:color w:val="auto"/>
              </w:rPr>
            </w:pPr>
            <w:r>
              <w:rPr>
                <w:rFonts w:ascii="Times New Roman" w:hAnsi="Times New Roman"/>
                <w:color w:val="auto"/>
                <w:kern w:val="0"/>
              </w:rPr>
              <w:t>本项目为大气一级评价，具体大气影响分析</w:t>
            </w:r>
            <w:r>
              <w:rPr>
                <w:rFonts w:hint="eastAsia" w:ascii="Times New Roman" w:hAnsi="Times New Roman"/>
                <w:color w:val="auto"/>
                <w:kern w:val="0"/>
              </w:rPr>
              <w:t>详</w:t>
            </w:r>
            <w:r>
              <w:rPr>
                <w:rFonts w:ascii="Times New Roman" w:hAnsi="Times New Roman"/>
                <w:color w:val="auto"/>
                <w:kern w:val="0"/>
              </w:rPr>
              <w:t>见大气专章</w:t>
            </w:r>
            <w:r>
              <w:rPr>
                <w:rFonts w:ascii="Times New Roman" w:hAnsi="Times New Roman"/>
                <w:color w:val="auto"/>
              </w:rPr>
              <w:t>。</w:t>
            </w:r>
          </w:p>
          <w:p>
            <w:pPr>
              <w:adjustRightInd w:val="0"/>
              <w:snapToGrid w:val="0"/>
              <w:spacing w:line="360" w:lineRule="auto"/>
              <w:rPr>
                <w:rFonts w:ascii="Times New Roman" w:hAnsi="Times New Roman"/>
                <w:b/>
                <w:bCs/>
                <w:color w:val="auto"/>
                <w:szCs w:val="22"/>
              </w:rPr>
            </w:pPr>
            <w:r>
              <w:rPr>
                <w:rFonts w:ascii="Times New Roman" w:hAnsi="Times New Roman"/>
                <w:b/>
                <w:bCs/>
                <w:color w:val="auto"/>
                <w:szCs w:val="22"/>
              </w:rPr>
              <w:t>2、水环境影响</w:t>
            </w:r>
          </w:p>
          <w:p>
            <w:pPr>
              <w:adjustRightInd w:val="0"/>
              <w:snapToGrid w:val="0"/>
              <w:spacing w:line="360" w:lineRule="auto"/>
              <w:ind w:firstLine="480" w:firstLineChars="200"/>
              <w:rPr>
                <w:rFonts w:ascii="Times New Roman" w:hAnsi="Times New Roman"/>
                <w:color w:val="auto"/>
                <w:kern w:val="0"/>
              </w:rPr>
            </w:pPr>
            <w:r>
              <w:rPr>
                <w:rFonts w:hint="eastAsia" w:ascii="Times New Roman" w:hAnsi="Times New Roman"/>
                <w:color w:val="auto"/>
                <w:kern w:val="0"/>
              </w:rPr>
              <w:t>技改项目员工生活依托造纸厂现有项目生活设施，技改项目用水仅为锅炉用水，</w:t>
            </w:r>
            <w:r>
              <w:rPr>
                <w:rFonts w:ascii="Times New Roman" w:hAnsi="Times New Roman"/>
                <w:color w:val="auto"/>
                <w:kern w:val="0"/>
              </w:rPr>
              <w:t>锅炉软水处理</w:t>
            </w:r>
            <w:r>
              <w:rPr>
                <w:rFonts w:hint="eastAsia" w:ascii="Times New Roman" w:hAnsi="Times New Roman"/>
                <w:color w:val="auto"/>
                <w:kern w:val="0"/>
              </w:rPr>
              <w:t>设备的处理工艺为</w:t>
            </w:r>
            <w:r>
              <w:rPr>
                <w:rFonts w:ascii="Times New Roman" w:hAnsi="Times New Roman"/>
                <w:color w:val="auto"/>
                <w:kern w:val="0"/>
              </w:rPr>
              <w:t>砂滤+离子交换</w:t>
            </w:r>
            <w:r>
              <w:rPr>
                <w:rFonts w:hint="eastAsia" w:ascii="Times New Roman" w:hAnsi="Times New Roman"/>
                <w:color w:val="auto"/>
                <w:kern w:val="0"/>
              </w:rPr>
              <w:t>，</w:t>
            </w:r>
            <w:r>
              <w:rPr>
                <w:rFonts w:ascii="Times New Roman" w:hAnsi="Times New Roman"/>
                <w:color w:val="auto"/>
                <w:kern w:val="0"/>
              </w:rPr>
              <w:t>产生的软水进入锅炉转化为水蒸汽</w:t>
            </w:r>
            <w:r>
              <w:rPr>
                <w:rFonts w:hint="eastAsia" w:ascii="Times New Roman" w:hAnsi="Times New Roman"/>
                <w:color w:val="auto"/>
                <w:kern w:val="0"/>
              </w:rPr>
              <w:t>后全部供</w:t>
            </w:r>
            <w:r>
              <w:rPr>
                <w:rFonts w:ascii="Times New Roman" w:hAnsi="Times New Roman"/>
                <w:color w:val="auto"/>
                <w:kern w:val="0"/>
              </w:rPr>
              <w:t>造纸工段的烘干工</w:t>
            </w:r>
            <w:r>
              <w:rPr>
                <w:rFonts w:hint="eastAsia" w:ascii="Times New Roman" w:hAnsi="Times New Roman"/>
                <w:color w:val="auto"/>
                <w:kern w:val="0"/>
              </w:rPr>
              <w:t>段使用，锅炉废水主要为锅炉排污水和软化处理废水。根据工程分析，锅炉废水产生量为21.43m</w:t>
            </w:r>
            <w:r>
              <w:rPr>
                <w:rFonts w:ascii="Times New Roman" w:hAnsi="Times New Roman"/>
                <w:color w:val="auto"/>
                <w:kern w:val="0"/>
                <w:vertAlign w:val="superscript"/>
              </w:rPr>
              <w:t>3</w:t>
            </w:r>
            <w:r>
              <w:rPr>
                <w:rFonts w:hint="eastAsia" w:ascii="Times New Roman" w:hAnsi="Times New Roman"/>
                <w:color w:val="auto"/>
                <w:kern w:val="0"/>
              </w:rPr>
              <w:t>/d，6429.84m</w:t>
            </w:r>
            <w:r>
              <w:rPr>
                <w:rFonts w:ascii="Times New Roman" w:hAnsi="Times New Roman"/>
                <w:color w:val="auto"/>
                <w:kern w:val="0"/>
                <w:vertAlign w:val="superscript"/>
              </w:rPr>
              <w:t>3</w:t>
            </w:r>
            <w:r>
              <w:rPr>
                <w:rFonts w:hint="eastAsia" w:ascii="Times New Roman" w:hAnsi="Times New Roman"/>
                <w:color w:val="auto"/>
                <w:kern w:val="0"/>
              </w:rPr>
              <w:t>/a。锅炉废水中主要污染物</w:t>
            </w:r>
            <w:r>
              <w:rPr>
                <w:rFonts w:ascii="Times New Roman" w:hAnsi="Times New Roman"/>
                <w:color w:val="auto"/>
                <w:kern w:val="0"/>
              </w:rPr>
              <w:t>为COD</w:t>
            </w:r>
            <w:r>
              <w:rPr>
                <w:rFonts w:hint="eastAsia" w:ascii="Times New Roman" w:hAnsi="Times New Roman"/>
                <w:color w:val="auto"/>
                <w:kern w:val="0"/>
              </w:rPr>
              <w:t>，产生浓度为8</w:t>
            </w:r>
            <w:r>
              <w:rPr>
                <w:rFonts w:ascii="Times New Roman" w:hAnsi="Times New Roman"/>
                <w:color w:val="auto"/>
                <w:kern w:val="0"/>
              </w:rPr>
              <w:t>4.3mg/L</w:t>
            </w:r>
            <w:r>
              <w:rPr>
                <w:rFonts w:hint="eastAsia" w:ascii="Times New Roman" w:hAnsi="Times New Roman"/>
                <w:color w:val="auto"/>
                <w:kern w:val="0"/>
              </w:rPr>
              <w:t>，全部回用于现有项目造纸工段，不外排。</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现有项目是以废纸为原料的箱板纸生产项目，产品主要针对工业、农产品包装的箱板纸，不属于高档箱板纸，产品不涉及食品类的包装用纸，对产品品相要求不高，因此生产过程对用水水质要求不高。为节约用水，降低新鲜水消耗量，建设单位已进行一水多用，水重复利用率均在90%以上，并已稳定运行多年。技改项目建设之前，锅炉废水一直回用于现有项目造纸工段，能够满足造纸工段用水水质需求，且无废水外排。</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本次技改主要更改了锅炉燃料类型，锅炉用水来源、软水处理工艺和设备均不变，虽然锅炉规模有所增加，但原有锅炉实际已是超负荷运行，耗水量大，则技改后锅炉废水水质和水量与技改前相比仅增加0</w:t>
            </w:r>
            <w:r>
              <w:rPr>
                <w:rFonts w:ascii="Times New Roman" w:hAnsi="Times New Roman"/>
                <w:color w:val="auto"/>
              </w:rPr>
              <w:t>.74t/d</w:t>
            </w:r>
            <w:r>
              <w:rPr>
                <w:rFonts w:hint="eastAsia" w:ascii="Times New Roman" w:hAnsi="Times New Roman"/>
                <w:color w:val="auto"/>
              </w:rPr>
              <w:t>，继续回用于造纸工段是可行的，不会造成锅炉废水外排。</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综上，技改项目锅炉废水可实现零排放，对周围地表水环境的影响是可接受的。</w:t>
            </w:r>
          </w:p>
          <w:p>
            <w:pPr>
              <w:adjustRightInd w:val="0"/>
              <w:snapToGrid w:val="0"/>
              <w:spacing w:line="360" w:lineRule="auto"/>
              <w:rPr>
                <w:rFonts w:ascii="Times New Roman" w:hAnsi="Times New Roman"/>
                <w:b/>
                <w:bCs/>
                <w:color w:val="auto"/>
              </w:rPr>
            </w:pPr>
            <w:r>
              <w:rPr>
                <w:rFonts w:ascii="Times New Roman" w:hAnsi="Times New Roman"/>
                <w:b/>
                <w:bCs/>
                <w:color w:val="auto"/>
              </w:rPr>
              <w:t>3、声环境影响分析</w:t>
            </w:r>
          </w:p>
          <w:p>
            <w:pPr>
              <w:overflowPunct w:val="0"/>
              <w:topLinePunct/>
              <w:adjustRightInd w:val="0"/>
              <w:snapToGrid w:val="0"/>
              <w:spacing w:line="360" w:lineRule="auto"/>
              <w:ind w:firstLine="480"/>
              <w:rPr>
                <w:rFonts w:ascii="Times New Roman" w:hAnsi="Times New Roman"/>
                <w:color w:val="auto"/>
                <w:kern w:val="2"/>
              </w:rPr>
            </w:pPr>
            <w:r>
              <w:rPr>
                <w:rFonts w:hint="eastAsia" w:ascii="Times New Roman" w:hAnsi="Times New Roman"/>
                <w:color w:val="auto"/>
                <w:kern w:val="2"/>
              </w:rPr>
              <w:t>运行期噪声源主要为锅炉鼓风机，位于锅炉房内。技改</w:t>
            </w:r>
            <w:r>
              <w:rPr>
                <w:rFonts w:ascii="Times New Roman" w:hAnsi="Times New Roman"/>
                <w:color w:val="auto"/>
                <w:kern w:val="2"/>
              </w:rPr>
              <w:t>项目</w:t>
            </w:r>
            <w:r>
              <w:rPr>
                <w:rFonts w:hint="eastAsia" w:ascii="Times New Roman" w:hAnsi="Times New Roman"/>
                <w:color w:val="auto"/>
                <w:kern w:val="2"/>
              </w:rPr>
              <w:t>2</w:t>
            </w:r>
            <w:r>
              <w:rPr>
                <w:rFonts w:ascii="Times New Roman" w:hAnsi="Times New Roman"/>
                <w:color w:val="auto"/>
                <w:kern w:val="2"/>
              </w:rPr>
              <w:t>4</w:t>
            </w:r>
            <w:r>
              <w:rPr>
                <w:rFonts w:hint="eastAsia" w:ascii="Times New Roman" w:hAnsi="Times New Roman"/>
                <w:color w:val="auto"/>
                <w:kern w:val="2"/>
              </w:rPr>
              <w:t>小时</w:t>
            </w:r>
            <w:r>
              <w:rPr>
                <w:rFonts w:ascii="Times New Roman" w:hAnsi="Times New Roman"/>
                <w:color w:val="auto"/>
                <w:kern w:val="2"/>
              </w:rPr>
              <w:t>运行，本次评价</w:t>
            </w:r>
            <w:r>
              <w:rPr>
                <w:rFonts w:hint="eastAsia" w:ascii="Times New Roman" w:hAnsi="Times New Roman"/>
                <w:color w:val="auto"/>
                <w:kern w:val="2"/>
              </w:rPr>
              <w:t>对项目厂界噪声和评价范围内的敏感点噪声进行预测。</w:t>
            </w:r>
          </w:p>
          <w:p>
            <w:pPr>
              <w:numPr>
                <w:ilvl w:val="0"/>
                <w:numId w:val="7"/>
              </w:numPr>
              <w:overflowPunct w:val="0"/>
              <w:topLinePunct/>
              <w:adjustRightInd w:val="0"/>
              <w:snapToGrid w:val="0"/>
              <w:spacing w:line="360" w:lineRule="auto"/>
              <w:textAlignment w:val="baseline"/>
              <w:rPr>
                <w:rFonts w:ascii="Times New Roman" w:hAnsi="Times New Roman"/>
                <w:b/>
                <w:bCs/>
                <w:color w:val="auto"/>
                <w:kern w:val="0"/>
                <w:szCs w:val="20"/>
              </w:rPr>
            </w:pPr>
            <w:r>
              <w:rPr>
                <w:rFonts w:hint="eastAsia" w:ascii="Times New Roman" w:hAnsi="Times New Roman"/>
                <w:b/>
                <w:bCs/>
                <w:color w:val="auto"/>
                <w:kern w:val="0"/>
                <w:szCs w:val="20"/>
              </w:rPr>
              <w:t>主要设备噪声源</w:t>
            </w:r>
          </w:p>
          <w:p>
            <w:pPr>
              <w:overflowPunct w:val="0"/>
              <w:topLinePunct/>
              <w:adjustRightInd w:val="0"/>
              <w:snapToGrid w:val="0"/>
              <w:spacing w:line="360" w:lineRule="auto"/>
              <w:ind w:firstLine="482"/>
              <w:textAlignment w:val="baseline"/>
              <w:rPr>
                <w:rFonts w:ascii="Times New Roman" w:hAnsi="Times New Roman"/>
                <w:color w:val="auto"/>
                <w:kern w:val="0"/>
                <w:szCs w:val="20"/>
              </w:rPr>
            </w:pPr>
            <w:r>
              <w:rPr>
                <w:rFonts w:hint="eastAsia" w:ascii="Times New Roman" w:hAnsi="Times New Roman"/>
                <w:color w:val="auto"/>
                <w:kern w:val="0"/>
                <w:szCs w:val="20"/>
              </w:rPr>
              <w:t>由于</w:t>
            </w:r>
            <w:r>
              <w:rPr>
                <w:rFonts w:ascii="Times New Roman" w:hAnsi="Times New Roman"/>
                <w:color w:val="auto"/>
                <w:kern w:val="0"/>
                <w:szCs w:val="20"/>
              </w:rPr>
              <w:t>技改项目</w:t>
            </w:r>
            <w:r>
              <w:rPr>
                <w:rFonts w:hint="eastAsia" w:ascii="Times New Roman" w:hAnsi="Times New Roman"/>
                <w:color w:val="auto"/>
                <w:kern w:val="0"/>
                <w:szCs w:val="20"/>
              </w:rPr>
              <w:t>建成达产后</w:t>
            </w:r>
            <w:r>
              <w:rPr>
                <w:rFonts w:ascii="Times New Roman" w:hAnsi="Times New Roman"/>
                <w:color w:val="auto"/>
                <w:kern w:val="0"/>
                <w:szCs w:val="20"/>
              </w:rPr>
              <w:t>，</w:t>
            </w:r>
            <w:r>
              <w:rPr>
                <w:rFonts w:hint="eastAsia" w:ascii="Times New Roman" w:hAnsi="Times New Roman"/>
                <w:color w:val="auto"/>
                <w:kern w:val="0"/>
                <w:szCs w:val="20"/>
              </w:rPr>
              <w:t>现有生产线完全停产，</w:t>
            </w:r>
            <w:r>
              <w:rPr>
                <w:rFonts w:ascii="Times New Roman" w:hAnsi="Times New Roman"/>
                <w:color w:val="auto"/>
                <w:kern w:val="0"/>
                <w:szCs w:val="20"/>
              </w:rPr>
              <w:t>所以不存在现有项目贡献值叠加问题，</w:t>
            </w:r>
            <w:r>
              <w:rPr>
                <w:rFonts w:hint="eastAsia" w:ascii="Times New Roman" w:hAnsi="Times New Roman"/>
                <w:color w:val="auto"/>
                <w:kern w:val="0"/>
                <w:szCs w:val="20"/>
              </w:rPr>
              <w:t>技改项目贡献值即为项目总厂界</w:t>
            </w:r>
            <w:r>
              <w:rPr>
                <w:rFonts w:ascii="Times New Roman" w:hAnsi="Times New Roman"/>
                <w:color w:val="auto"/>
                <w:kern w:val="0"/>
                <w:szCs w:val="20"/>
              </w:rPr>
              <w:t>贡献值</w:t>
            </w:r>
            <w:r>
              <w:rPr>
                <w:rFonts w:hint="eastAsia" w:ascii="Times New Roman" w:hAnsi="Times New Roman"/>
                <w:color w:val="auto"/>
                <w:kern w:val="0"/>
                <w:szCs w:val="20"/>
              </w:rPr>
              <w:t>。根据</w:t>
            </w:r>
            <w:r>
              <w:rPr>
                <w:rFonts w:ascii="Times New Roman" w:hAnsi="Times New Roman"/>
                <w:color w:val="auto"/>
                <w:kern w:val="0"/>
                <w:szCs w:val="20"/>
              </w:rPr>
              <w:t>工程分析，本项目</w:t>
            </w:r>
            <w:r>
              <w:rPr>
                <w:rFonts w:hint="eastAsia" w:ascii="Times New Roman" w:hAnsi="Times New Roman"/>
                <w:color w:val="auto"/>
                <w:kern w:val="0"/>
                <w:szCs w:val="20"/>
              </w:rPr>
              <w:t>噪声</w:t>
            </w:r>
            <w:r>
              <w:rPr>
                <w:rFonts w:ascii="Times New Roman" w:hAnsi="Times New Roman"/>
                <w:color w:val="auto"/>
                <w:kern w:val="0"/>
                <w:szCs w:val="20"/>
              </w:rPr>
              <w:t>声源统计如下：</w:t>
            </w:r>
          </w:p>
          <w:p>
            <w:pPr>
              <w:autoSpaceDE w:val="0"/>
              <w:autoSpaceDN w:val="0"/>
              <w:adjustRightInd w:val="0"/>
              <w:snapToGrid w:val="0"/>
              <w:spacing w:line="240" w:lineRule="atLeast"/>
              <w:jc w:val="center"/>
              <w:rPr>
                <w:rFonts w:ascii="Times New Roman" w:hAnsi="Times New Roman"/>
                <w:b/>
                <w:color w:val="auto"/>
                <w:kern w:val="0"/>
                <w:sz w:val="21"/>
                <w:szCs w:val="21"/>
              </w:rPr>
            </w:pPr>
            <w:r>
              <w:rPr>
                <w:rFonts w:ascii="Times New Roman" w:hAnsi="宋体"/>
                <w:b/>
                <w:color w:val="auto"/>
                <w:kern w:val="0"/>
                <w:sz w:val="21"/>
                <w:szCs w:val="21"/>
              </w:rPr>
              <w:t>表</w:t>
            </w:r>
            <w:r>
              <w:rPr>
                <w:rFonts w:ascii="Times New Roman" w:hAnsi="Times New Roman"/>
                <w:b/>
                <w:color w:val="auto"/>
                <w:kern w:val="0"/>
                <w:sz w:val="21"/>
                <w:szCs w:val="21"/>
              </w:rPr>
              <w:t xml:space="preserve">7-3   </w:t>
            </w:r>
            <w:r>
              <w:rPr>
                <w:rFonts w:ascii="Times New Roman" w:hAnsi="宋体"/>
                <w:b/>
                <w:color w:val="auto"/>
                <w:kern w:val="0"/>
                <w:sz w:val="21"/>
                <w:szCs w:val="21"/>
              </w:rPr>
              <w:t>项目所有点声源统计</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2688"/>
              <w:gridCol w:w="1254"/>
              <w:gridCol w:w="1886"/>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源位置</w:t>
                  </w:r>
                </w:p>
              </w:tc>
              <w:tc>
                <w:tcPr>
                  <w:tcW w:w="147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源名称</w:t>
                  </w:r>
                </w:p>
              </w:tc>
              <w:tc>
                <w:tcPr>
                  <w:tcW w:w="688"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源序号</w:t>
                  </w:r>
                </w:p>
              </w:tc>
              <w:tc>
                <w:tcPr>
                  <w:tcW w:w="103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昼间源强dB</w:t>
                  </w:r>
                </w:p>
              </w:tc>
              <w:tc>
                <w:tcPr>
                  <w:tcW w:w="103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夜间源强dB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锅炉房</w:t>
                  </w:r>
                </w:p>
              </w:tc>
              <w:tc>
                <w:tcPr>
                  <w:tcW w:w="147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2"/>
                      <w:sz w:val="21"/>
                      <w:szCs w:val="21"/>
                    </w:rPr>
                    <w:t>鼓风机</w:t>
                  </w:r>
                </w:p>
              </w:tc>
              <w:tc>
                <w:tcPr>
                  <w:tcW w:w="688"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2"/>
                      <w:sz w:val="21"/>
                      <w:szCs w:val="21"/>
                    </w:rPr>
                    <w:t>N1</w:t>
                  </w:r>
                </w:p>
              </w:tc>
              <w:tc>
                <w:tcPr>
                  <w:tcW w:w="103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2"/>
                      <w:sz w:val="21"/>
                      <w:szCs w:val="21"/>
                    </w:rPr>
                    <w:t>85</w:t>
                  </w:r>
                </w:p>
              </w:tc>
              <w:tc>
                <w:tcPr>
                  <w:tcW w:w="103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85</w:t>
                  </w:r>
                </w:p>
              </w:tc>
            </w:tr>
          </w:tbl>
          <w:p>
            <w:pPr>
              <w:numPr>
                <w:ilvl w:val="0"/>
                <w:numId w:val="7"/>
              </w:numPr>
              <w:overflowPunct w:val="0"/>
              <w:topLinePunct/>
              <w:adjustRightInd w:val="0"/>
              <w:snapToGrid w:val="0"/>
              <w:spacing w:before="163" w:beforeLines="50" w:line="360" w:lineRule="auto"/>
              <w:textAlignment w:val="baseline"/>
              <w:rPr>
                <w:rFonts w:ascii="Times New Roman" w:hAnsi="Times New Roman"/>
                <w:b/>
                <w:bCs/>
                <w:color w:val="auto"/>
                <w:kern w:val="0"/>
                <w:szCs w:val="20"/>
              </w:rPr>
            </w:pPr>
            <w:r>
              <w:rPr>
                <w:rFonts w:hint="eastAsia" w:ascii="Times New Roman" w:hAnsi="Times New Roman"/>
                <w:b/>
                <w:bCs/>
                <w:color w:val="auto"/>
                <w:kern w:val="0"/>
                <w:szCs w:val="20"/>
              </w:rPr>
              <w:t>预测</w:t>
            </w:r>
            <w:r>
              <w:rPr>
                <w:rFonts w:ascii="Times New Roman" w:hAnsi="Times New Roman"/>
                <w:b/>
                <w:bCs/>
                <w:color w:val="auto"/>
                <w:kern w:val="0"/>
                <w:szCs w:val="20"/>
              </w:rPr>
              <w:t>模式</w:t>
            </w:r>
          </w:p>
          <w:p>
            <w:pPr>
              <w:adjustRightInd w:val="0"/>
              <w:snapToGrid w:val="0"/>
              <w:spacing w:line="360" w:lineRule="auto"/>
              <w:ind w:firstLine="480" w:firstLineChars="200"/>
              <w:rPr>
                <w:rFonts w:ascii="Times New Roman" w:hAnsi="Times New Roman"/>
                <w:color w:val="auto"/>
                <w:kern w:val="2"/>
              </w:rPr>
            </w:pPr>
            <w:r>
              <w:rPr>
                <w:rFonts w:ascii="Times New Roman" w:hAnsi="宋体"/>
                <w:color w:val="auto"/>
                <w:kern w:val="2"/>
              </w:rPr>
              <w:t>预测模式根据《环境影响评价技术导则</w:t>
            </w:r>
            <w:r>
              <w:rPr>
                <w:rFonts w:ascii="Times New Roman" w:hAnsi="Times New Roman"/>
                <w:color w:val="auto"/>
                <w:kern w:val="2"/>
              </w:rPr>
              <w:t xml:space="preserve">  </w:t>
            </w:r>
            <w:r>
              <w:rPr>
                <w:rFonts w:ascii="Times New Roman" w:hAnsi="宋体"/>
                <w:color w:val="auto"/>
                <w:kern w:val="2"/>
              </w:rPr>
              <w:t>声环境》</w:t>
            </w:r>
            <w:r>
              <w:rPr>
                <w:rFonts w:hint="eastAsia" w:ascii="Times New Roman" w:hAnsi="Times New Roman"/>
                <w:color w:val="auto"/>
                <w:kern w:val="2"/>
              </w:rPr>
              <w:t>（</w:t>
            </w:r>
            <w:r>
              <w:rPr>
                <w:rFonts w:ascii="Times New Roman" w:hAnsi="Times New Roman"/>
                <w:color w:val="auto"/>
                <w:kern w:val="2"/>
              </w:rPr>
              <w:t>HJ2.4</w:t>
            </w:r>
            <w:r>
              <w:rPr>
                <w:rFonts w:hint="eastAsia" w:ascii="Times New Roman" w:hAnsi="宋体"/>
                <w:color w:val="auto"/>
                <w:kern w:val="2"/>
              </w:rPr>
              <w:t>-</w:t>
            </w:r>
            <w:r>
              <w:rPr>
                <w:rFonts w:ascii="Times New Roman" w:hAnsi="Times New Roman"/>
                <w:color w:val="auto"/>
                <w:kern w:val="2"/>
              </w:rPr>
              <w:t>2009</w:t>
            </w:r>
            <w:r>
              <w:rPr>
                <w:rFonts w:hint="eastAsia" w:ascii="Times New Roman" w:hAnsi="Times New Roman"/>
                <w:color w:val="auto"/>
                <w:kern w:val="2"/>
              </w:rPr>
              <w:t>）</w:t>
            </w:r>
            <w:r>
              <w:rPr>
                <w:rFonts w:ascii="Times New Roman" w:hAnsi="宋体"/>
                <w:color w:val="auto"/>
                <w:kern w:val="2"/>
              </w:rPr>
              <w:t>附录</w:t>
            </w:r>
            <w:r>
              <w:rPr>
                <w:rFonts w:ascii="Times New Roman" w:hAnsi="Times New Roman"/>
                <w:color w:val="auto"/>
                <w:kern w:val="2"/>
              </w:rPr>
              <w:t>A</w:t>
            </w:r>
            <w:r>
              <w:rPr>
                <w:rFonts w:ascii="Times New Roman" w:hAnsi="宋体"/>
                <w:color w:val="auto"/>
                <w:kern w:val="2"/>
              </w:rPr>
              <w:t>及文本中推荐的预测模式，预测分析项目建成运营后，产生的噪声对</w:t>
            </w:r>
            <w:r>
              <w:rPr>
                <w:rFonts w:hint="eastAsia" w:ascii="Times New Roman" w:hAnsi="宋体"/>
                <w:color w:val="auto"/>
                <w:kern w:val="2"/>
              </w:rPr>
              <w:t>周围</w:t>
            </w:r>
            <w:r>
              <w:rPr>
                <w:rFonts w:ascii="Times New Roman" w:hAnsi="宋体"/>
                <w:color w:val="auto"/>
                <w:kern w:val="2"/>
              </w:rPr>
              <w:t>声环境的影响。本</w:t>
            </w:r>
            <w:r>
              <w:rPr>
                <w:rFonts w:hint="eastAsia" w:ascii="Times New Roman" w:hAnsi="宋体"/>
                <w:color w:val="auto"/>
                <w:kern w:val="2"/>
              </w:rPr>
              <w:t>次</w:t>
            </w:r>
            <w:r>
              <w:rPr>
                <w:rFonts w:ascii="Times New Roman" w:hAnsi="宋体"/>
                <w:color w:val="auto"/>
                <w:kern w:val="2"/>
              </w:rPr>
              <w:t>环评采用环安科技有限公司根据</w:t>
            </w:r>
            <w:r>
              <w:rPr>
                <w:rFonts w:ascii="Times New Roman" w:hAnsi="Times New Roman"/>
                <w:color w:val="auto"/>
                <w:kern w:val="2"/>
              </w:rPr>
              <w:t>HJ2.4-2009</w:t>
            </w:r>
            <w:r>
              <w:rPr>
                <w:rFonts w:ascii="Times New Roman" w:hAnsi="宋体"/>
                <w:color w:val="auto"/>
                <w:kern w:val="2"/>
              </w:rPr>
              <w:t>《环境影响评价技术导则</w:t>
            </w:r>
            <w:r>
              <w:rPr>
                <w:rFonts w:ascii="Times New Roman" w:hAnsi="Times New Roman"/>
                <w:color w:val="auto"/>
                <w:kern w:val="2"/>
              </w:rPr>
              <w:t xml:space="preserve"> </w:t>
            </w:r>
            <w:r>
              <w:rPr>
                <w:rFonts w:ascii="Times New Roman" w:hAnsi="宋体"/>
                <w:color w:val="auto"/>
                <w:kern w:val="2"/>
              </w:rPr>
              <w:t>声环境》开发的</w:t>
            </w:r>
            <w:r>
              <w:rPr>
                <w:rFonts w:ascii="Times New Roman" w:hAnsi="Times New Roman"/>
                <w:color w:val="auto"/>
                <w:kern w:val="2"/>
              </w:rPr>
              <w:t>“</w:t>
            </w:r>
            <w:r>
              <w:rPr>
                <w:rFonts w:ascii="Times New Roman" w:hAnsi="宋体"/>
                <w:color w:val="auto"/>
                <w:kern w:val="2"/>
              </w:rPr>
              <w:t>环境噪声影响评价系统</w:t>
            </w:r>
            <w:r>
              <w:rPr>
                <w:rFonts w:ascii="Times New Roman" w:hAnsi="Times New Roman"/>
                <w:color w:val="auto"/>
                <w:kern w:val="2"/>
              </w:rPr>
              <w:t>Noisesystem2012</w:t>
            </w:r>
            <w:r>
              <w:rPr>
                <w:rFonts w:hint="eastAsia" w:ascii="Times New Roman" w:hAnsi="Times New Roman"/>
                <w:color w:val="auto"/>
                <w:kern w:val="2"/>
              </w:rPr>
              <w:t>（Ver3.3）</w:t>
            </w:r>
            <w:r>
              <w:rPr>
                <w:rFonts w:ascii="Times New Roman" w:hAnsi="Times New Roman"/>
                <w:color w:val="auto"/>
                <w:kern w:val="2"/>
              </w:rPr>
              <w:t>”</w:t>
            </w:r>
            <w:r>
              <w:rPr>
                <w:rFonts w:ascii="Times New Roman" w:hAnsi="宋体"/>
                <w:color w:val="auto"/>
                <w:kern w:val="2"/>
              </w:rPr>
              <w:t>噪声预测软件，对</w:t>
            </w:r>
            <w:r>
              <w:rPr>
                <w:rFonts w:hint="eastAsia" w:ascii="Times New Roman" w:hAnsi="宋体"/>
                <w:color w:val="auto"/>
                <w:kern w:val="2"/>
              </w:rPr>
              <w:t>生产</w:t>
            </w:r>
            <w:r>
              <w:rPr>
                <w:rFonts w:ascii="Times New Roman" w:hAnsi="宋体"/>
                <w:color w:val="auto"/>
                <w:kern w:val="2"/>
              </w:rPr>
              <w:t>设备噪声的环境影响进行</w:t>
            </w:r>
            <w:r>
              <w:rPr>
                <w:rFonts w:hint="eastAsia" w:ascii="Times New Roman" w:hAnsi="宋体"/>
                <w:color w:val="auto"/>
                <w:kern w:val="2"/>
              </w:rPr>
              <w:t>预测</w:t>
            </w:r>
            <w:r>
              <w:rPr>
                <w:rFonts w:ascii="Times New Roman" w:hAnsi="宋体"/>
                <w:color w:val="auto"/>
                <w:kern w:val="2"/>
              </w:rPr>
              <w:t>。</w:t>
            </w:r>
          </w:p>
          <w:p>
            <w:pPr>
              <w:adjustRightInd w:val="0"/>
              <w:snapToGrid w:val="0"/>
              <w:spacing w:line="360" w:lineRule="auto"/>
              <w:ind w:firstLine="480" w:firstLineChars="200"/>
              <w:rPr>
                <w:rFonts w:ascii="Times New Roman" w:hAnsi="Times New Roman"/>
                <w:color w:val="auto"/>
                <w:kern w:val="2"/>
              </w:rPr>
            </w:pPr>
            <w:r>
              <w:rPr>
                <w:rFonts w:ascii="Times New Roman" w:hAnsi="宋体"/>
                <w:color w:val="auto"/>
                <w:kern w:val="2"/>
              </w:rPr>
              <w:t>①室内声源等效室外声源声功率级计算</w:t>
            </w:r>
          </w:p>
          <w:p>
            <w:pPr>
              <w:adjustRightInd w:val="0"/>
              <w:snapToGrid w:val="0"/>
              <w:spacing w:line="360" w:lineRule="auto"/>
              <w:ind w:firstLine="480" w:firstLineChars="200"/>
              <w:rPr>
                <w:rFonts w:ascii="Times New Roman" w:hAnsi="Times New Roman"/>
                <w:color w:val="auto"/>
                <w:kern w:val="2"/>
              </w:rPr>
            </w:pPr>
            <w:r>
              <w:rPr>
                <w:rFonts w:ascii="Times New Roman" w:hAnsi="宋体"/>
                <w:color w:val="auto"/>
                <w:kern w:val="2"/>
              </w:rPr>
              <w:t>室内声源可采用等效室外声源声功率级法进行计算，设靠近开口处（或窗户）室内、室外某倍频带的声压级分别为</w:t>
            </w:r>
            <w:r>
              <w:rPr>
                <w:rFonts w:ascii="Times New Roman" w:hAnsi="Times New Roman"/>
                <w:color w:val="auto"/>
                <w:kern w:val="2"/>
              </w:rPr>
              <w:t>Lp1</w:t>
            </w:r>
            <w:r>
              <w:rPr>
                <w:rFonts w:ascii="Times New Roman" w:hAnsi="宋体"/>
                <w:color w:val="auto"/>
                <w:kern w:val="2"/>
              </w:rPr>
              <w:t>和</w:t>
            </w:r>
            <w:r>
              <w:rPr>
                <w:rFonts w:ascii="Times New Roman" w:hAnsi="Times New Roman"/>
                <w:color w:val="auto"/>
                <w:kern w:val="2"/>
              </w:rPr>
              <w:t>Lp2</w:t>
            </w:r>
            <w:r>
              <w:rPr>
                <w:rFonts w:ascii="Times New Roman" w:hAnsi="宋体"/>
                <w:color w:val="auto"/>
                <w:kern w:val="2"/>
              </w:rPr>
              <w:t>。若声源所在室内声场为近似扩散声场，则室外的倍频带声压组按下式近似求出：</w:t>
            </w:r>
          </w:p>
          <w:p>
            <w:pPr>
              <w:autoSpaceDE w:val="0"/>
              <w:autoSpaceDN w:val="0"/>
              <w:adjustRightInd w:val="0"/>
              <w:snapToGrid w:val="0"/>
              <w:spacing w:line="360" w:lineRule="auto"/>
              <w:jc w:val="center"/>
              <w:rPr>
                <w:rFonts w:ascii="Times New Roman" w:hAnsi="Times New Roman"/>
                <w:color w:val="auto"/>
                <w:kern w:val="2"/>
              </w:rPr>
            </w:pPr>
            <w:r>
              <w:rPr>
                <w:rFonts w:ascii="Times New Roman" w:hAnsi="Times New Roman"/>
                <w:color w:val="auto"/>
                <w:kern w:val="2"/>
                <w:position w:val="-14"/>
              </w:rPr>
              <w:object>
                <v:shape id="_x0000_i1058" o:spt="75" type="#_x0000_t75" style="height:18.75pt;width:98.25pt;" o:ole="t" filled="f" o:preferrelative="t" stroked="f" coordsize="21600,21600">
                  <v:path/>
                  <v:fill on="f" focussize="0,0"/>
                  <v:stroke on="f" joinstyle="miter"/>
                  <v:imagedata r:id="rId80" o:title=""/>
                  <o:lock v:ext="edit" aspectratio="t"/>
                  <w10:wrap type="none"/>
                  <w10:anchorlock/>
                </v:shape>
                <o:OLEObject Type="Embed" ProgID="Equation.3" ShapeID="_x0000_i1058" DrawAspect="Content" ObjectID="_1468075758" r:id="rId79">
                  <o:LockedField>false</o:LockedField>
                </o:OLEObject>
              </w:object>
            </w:r>
          </w:p>
          <w:p>
            <w:pPr>
              <w:autoSpaceDE w:val="0"/>
              <w:autoSpaceDN w:val="0"/>
              <w:adjustRightInd w:val="0"/>
              <w:snapToGrid w:val="0"/>
              <w:spacing w:line="360" w:lineRule="auto"/>
              <w:ind w:firstLine="549"/>
              <w:jc w:val="left"/>
              <w:rPr>
                <w:rFonts w:ascii="Times New Roman" w:hAnsi="Times New Roman"/>
                <w:color w:val="auto"/>
                <w:kern w:val="2"/>
              </w:rPr>
            </w:pPr>
            <w:r>
              <w:rPr>
                <w:rFonts w:ascii="Times New Roman" w:hAnsi="宋体"/>
                <w:color w:val="auto"/>
                <w:kern w:val="2"/>
              </w:rPr>
              <w:t>式中，</w:t>
            </w:r>
            <w:r>
              <w:rPr>
                <w:rFonts w:ascii="Times New Roman" w:hAnsi="Times New Roman"/>
                <w:i/>
                <w:color w:val="auto"/>
                <w:kern w:val="2"/>
              </w:rPr>
              <w:t>TL</w:t>
            </w:r>
            <w:r>
              <w:rPr>
                <w:rFonts w:ascii="Times New Roman" w:hAnsi="Times New Roman"/>
                <w:color w:val="auto"/>
                <w:kern w:val="2"/>
              </w:rPr>
              <w:t>——</w:t>
            </w:r>
            <w:r>
              <w:rPr>
                <w:rFonts w:ascii="Times New Roman" w:hAnsi="宋体"/>
                <w:color w:val="auto"/>
                <w:kern w:val="2"/>
              </w:rPr>
              <w:t>隔墙（或窗户）倍频带的隔声量，</w:t>
            </w:r>
            <w:r>
              <w:rPr>
                <w:rFonts w:ascii="Times New Roman" w:hAnsi="Times New Roman"/>
                <w:color w:val="auto"/>
                <w:kern w:val="2"/>
              </w:rPr>
              <w:t>dB</w:t>
            </w:r>
            <w:r>
              <w:rPr>
                <w:rFonts w:ascii="Times New Roman" w:hAnsi="宋体"/>
                <w:color w:val="auto"/>
                <w:kern w:val="2"/>
              </w:rPr>
              <w:t>。</w:t>
            </w:r>
          </w:p>
          <w:p>
            <w:pPr>
              <w:autoSpaceDE w:val="0"/>
              <w:autoSpaceDN w:val="0"/>
              <w:adjustRightInd w:val="0"/>
              <w:snapToGrid w:val="0"/>
              <w:spacing w:line="360" w:lineRule="auto"/>
              <w:ind w:firstLine="550"/>
              <w:jc w:val="left"/>
              <w:rPr>
                <w:rFonts w:ascii="Times New Roman" w:hAnsi="Times New Roman"/>
                <w:color w:val="auto"/>
                <w:kern w:val="2"/>
              </w:rPr>
            </w:pPr>
            <w:r>
              <w:rPr>
                <w:rFonts w:ascii="Times New Roman" w:hAnsi="宋体"/>
                <w:color w:val="auto"/>
                <w:kern w:val="2"/>
              </w:rPr>
              <w:t>②室外噪声衰减</w:t>
            </w:r>
          </w:p>
          <w:p>
            <w:pPr>
              <w:autoSpaceDE w:val="0"/>
              <w:autoSpaceDN w:val="0"/>
              <w:adjustRightInd w:val="0"/>
              <w:snapToGrid w:val="0"/>
              <w:spacing w:line="360" w:lineRule="auto"/>
              <w:ind w:firstLine="549"/>
              <w:jc w:val="left"/>
              <w:rPr>
                <w:rFonts w:ascii="Times New Roman" w:hAnsi="Times New Roman"/>
                <w:color w:val="auto"/>
                <w:kern w:val="2"/>
              </w:rPr>
            </w:pPr>
            <w:r>
              <w:rPr>
                <w:rFonts w:ascii="Times New Roman" w:hAnsi="宋体"/>
                <w:color w:val="auto"/>
                <w:kern w:val="2"/>
              </w:rPr>
              <w:t>室外噪声衰减模式：</w:t>
            </w:r>
            <w:r>
              <w:rPr>
                <w:rFonts w:ascii="Times New Roman" w:hAnsi="Times New Roman"/>
                <w:color w:val="auto"/>
                <w:kern w:val="2"/>
                <w:position w:val="-26"/>
              </w:rPr>
              <w:object>
                <v:shape id="_x0000_i1059" o:spt="75" type="#_x0000_t75" style="height:31.5pt;width:128.25pt;" o:ole="t" filled="f" o:preferrelative="t" stroked="f" coordsize="21600,21600">
                  <v:path/>
                  <v:fill on="f" focussize="0,0"/>
                  <v:stroke on="f" joinstyle="miter"/>
                  <v:imagedata r:id="rId78" o:title=""/>
                  <o:lock v:ext="edit" aspectratio="t"/>
                  <w10:wrap type="none"/>
                  <w10:anchorlock/>
                </v:shape>
                <o:OLEObject Type="Embed" ProgID="Equation.3" ShapeID="_x0000_i1059" DrawAspect="Content" ObjectID="_1468075759" r:id="rId81">
                  <o:LockedField>false</o:LockedField>
                </o:OLEObject>
              </w:object>
            </w:r>
          </w:p>
          <w:p>
            <w:pPr>
              <w:autoSpaceDE w:val="0"/>
              <w:autoSpaceDN w:val="0"/>
              <w:adjustRightInd w:val="0"/>
              <w:snapToGrid w:val="0"/>
              <w:spacing w:line="360" w:lineRule="auto"/>
              <w:ind w:firstLine="549"/>
              <w:jc w:val="left"/>
              <w:rPr>
                <w:rFonts w:ascii="Times New Roman" w:hAnsi="Times New Roman"/>
                <w:color w:val="auto"/>
                <w:kern w:val="2"/>
              </w:rPr>
            </w:pPr>
            <w:r>
              <w:rPr>
                <w:rFonts w:ascii="Times New Roman" w:hAnsi="宋体"/>
                <w:color w:val="auto"/>
                <w:kern w:val="2"/>
              </w:rPr>
              <w:t>式中，</w:t>
            </w:r>
            <w:r>
              <w:rPr>
                <w:rFonts w:ascii="Times New Roman" w:hAnsi="Times New Roman"/>
                <w:color w:val="auto"/>
                <w:kern w:val="2"/>
              </w:rPr>
              <w:t>L</w:t>
            </w:r>
            <w:r>
              <w:rPr>
                <w:rFonts w:ascii="Times New Roman" w:hAnsi="Times New Roman"/>
                <w:color w:val="auto"/>
                <w:kern w:val="2"/>
                <w:vertAlign w:val="subscript"/>
              </w:rPr>
              <w:t>p(r)</w:t>
            </w:r>
            <w:r>
              <w:rPr>
                <w:rFonts w:ascii="Times New Roman" w:hAnsi="Times New Roman"/>
                <w:color w:val="auto"/>
                <w:kern w:val="2"/>
              </w:rPr>
              <w:t>—</w:t>
            </w:r>
            <w:r>
              <w:rPr>
                <w:rFonts w:ascii="Times New Roman" w:hAnsi="宋体"/>
                <w:color w:val="auto"/>
                <w:kern w:val="2"/>
              </w:rPr>
              <w:t>在距离声源</w:t>
            </w:r>
            <w:r>
              <w:rPr>
                <w:rFonts w:ascii="Times New Roman" w:hAnsi="Times New Roman"/>
                <w:color w:val="auto"/>
                <w:kern w:val="2"/>
              </w:rPr>
              <w:t>r</w:t>
            </w:r>
            <w:r>
              <w:rPr>
                <w:rFonts w:ascii="Times New Roman" w:hAnsi="宋体"/>
                <w:color w:val="auto"/>
                <w:kern w:val="2"/>
              </w:rPr>
              <w:t>米处的声级，</w:t>
            </w:r>
            <w:r>
              <w:rPr>
                <w:rFonts w:ascii="Times New Roman" w:hAnsi="Times New Roman"/>
                <w:color w:val="auto"/>
                <w:kern w:val="2"/>
              </w:rPr>
              <w:t>dB(A)</w:t>
            </w:r>
            <w:r>
              <w:rPr>
                <w:rFonts w:ascii="Times New Roman" w:hAnsi="宋体"/>
                <w:color w:val="auto"/>
                <w:kern w:val="2"/>
              </w:rPr>
              <w:t>；</w:t>
            </w:r>
          </w:p>
          <w:p>
            <w:pPr>
              <w:autoSpaceDE w:val="0"/>
              <w:autoSpaceDN w:val="0"/>
              <w:adjustRightInd w:val="0"/>
              <w:snapToGrid w:val="0"/>
              <w:spacing w:line="360" w:lineRule="auto"/>
              <w:ind w:firstLine="549"/>
              <w:jc w:val="left"/>
              <w:rPr>
                <w:rFonts w:ascii="Times New Roman" w:hAnsi="Times New Roman"/>
                <w:color w:val="auto"/>
                <w:kern w:val="2"/>
              </w:rPr>
            </w:pPr>
            <w:r>
              <w:rPr>
                <w:rFonts w:ascii="Times New Roman" w:hAnsi="Times New Roman"/>
                <w:color w:val="auto"/>
                <w:kern w:val="2"/>
              </w:rPr>
              <w:t xml:space="preserve">      L</w:t>
            </w:r>
            <w:r>
              <w:rPr>
                <w:rFonts w:ascii="Times New Roman" w:hAnsi="Times New Roman"/>
                <w:color w:val="auto"/>
                <w:kern w:val="2"/>
                <w:vertAlign w:val="subscript"/>
              </w:rPr>
              <w:t>p(r0)</w:t>
            </w:r>
            <w:r>
              <w:rPr>
                <w:rFonts w:ascii="Times New Roman" w:hAnsi="Times New Roman"/>
                <w:color w:val="auto"/>
                <w:kern w:val="2"/>
              </w:rPr>
              <w:t>—</w:t>
            </w:r>
            <w:r>
              <w:rPr>
                <w:rFonts w:ascii="Times New Roman" w:hAnsi="宋体"/>
                <w:color w:val="auto"/>
                <w:kern w:val="2"/>
              </w:rPr>
              <w:t>距离声源</w:t>
            </w:r>
            <w:r>
              <w:rPr>
                <w:rFonts w:ascii="Times New Roman" w:hAnsi="Times New Roman"/>
                <w:color w:val="auto"/>
                <w:kern w:val="2"/>
              </w:rPr>
              <w:t>r</w:t>
            </w:r>
            <w:r>
              <w:rPr>
                <w:rFonts w:ascii="Times New Roman" w:hAnsi="Times New Roman"/>
                <w:color w:val="auto"/>
                <w:kern w:val="2"/>
                <w:vertAlign w:val="subscript"/>
              </w:rPr>
              <w:t>0</w:t>
            </w:r>
            <w:r>
              <w:rPr>
                <w:rFonts w:ascii="Times New Roman" w:hAnsi="宋体"/>
                <w:color w:val="auto"/>
                <w:kern w:val="2"/>
              </w:rPr>
              <w:t>米处的声级，</w:t>
            </w:r>
            <w:r>
              <w:rPr>
                <w:rFonts w:ascii="Times New Roman" w:hAnsi="Times New Roman"/>
                <w:color w:val="auto"/>
                <w:kern w:val="2"/>
              </w:rPr>
              <w:t>dB(A)</w:t>
            </w:r>
            <w:r>
              <w:rPr>
                <w:rFonts w:ascii="Times New Roman" w:hAnsi="宋体"/>
                <w:color w:val="auto"/>
                <w:kern w:val="2"/>
              </w:rPr>
              <w:t>。</w:t>
            </w:r>
          </w:p>
          <w:p>
            <w:pPr>
              <w:autoSpaceDE w:val="0"/>
              <w:autoSpaceDN w:val="0"/>
              <w:adjustRightInd w:val="0"/>
              <w:snapToGrid w:val="0"/>
              <w:spacing w:line="360" w:lineRule="auto"/>
              <w:ind w:firstLine="550"/>
              <w:rPr>
                <w:rFonts w:ascii="Times New Roman" w:hAnsi="Times New Roman"/>
                <w:color w:val="auto"/>
                <w:kern w:val="2"/>
              </w:rPr>
            </w:pPr>
            <w:r>
              <w:rPr>
                <w:rFonts w:hint="eastAsia" w:ascii="Times New Roman" w:hAnsi="宋体"/>
                <w:color w:val="auto"/>
                <w:kern w:val="2"/>
              </w:rPr>
              <w:t>③</w:t>
            </w:r>
            <w:r>
              <w:rPr>
                <w:rFonts w:ascii="Times New Roman" w:hAnsi="宋体"/>
                <w:color w:val="auto"/>
                <w:kern w:val="2"/>
              </w:rPr>
              <w:t>噪声贡献值计算</w:t>
            </w:r>
          </w:p>
          <w:p>
            <w:pPr>
              <w:autoSpaceDE w:val="0"/>
              <w:autoSpaceDN w:val="0"/>
              <w:adjustRightInd w:val="0"/>
              <w:snapToGrid w:val="0"/>
              <w:spacing w:line="360" w:lineRule="auto"/>
              <w:ind w:firstLine="550"/>
              <w:rPr>
                <w:rFonts w:ascii="Times New Roman" w:hAnsi="Times New Roman"/>
                <w:color w:val="auto"/>
                <w:kern w:val="2"/>
              </w:rPr>
            </w:pPr>
            <w:r>
              <w:rPr>
                <w:rFonts w:ascii="Times New Roman" w:hAnsi="宋体"/>
                <w:color w:val="auto"/>
                <w:kern w:val="2"/>
              </w:rPr>
              <w:t>本项目噪声源较多，有室内声源，也有室外声源。根据《环境影响评价技术导则</w:t>
            </w:r>
            <w:r>
              <w:rPr>
                <w:rFonts w:ascii="Times New Roman" w:hAnsi="Times New Roman"/>
                <w:color w:val="auto"/>
                <w:kern w:val="2"/>
              </w:rPr>
              <w:t xml:space="preserve">  </w:t>
            </w:r>
            <w:r>
              <w:rPr>
                <w:rFonts w:ascii="Times New Roman" w:hAnsi="宋体"/>
                <w:color w:val="auto"/>
                <w:kern w:val="2"/>
              </w:rPr>
              <w:t>声环境》（</w:t>
            </w:r>
            <w:r>
              <w:rPr>
                <w:rFonts w:ascii="Times New Roman" w:hAnsi="Times New Roman"/>
                <w:color w:val="auto"/>
                <w:kern w:val="2"/>
              </w:rPr>
              <w:t>HJ2.4-2009</w:t>
            </w:r>
            <w:r>
              <w:rPr>
                <w:rFonts w:ascii="Times New Roman" w:hAnsi="宋体"/>
                <w:color w:val="auto"/>
                <w:kern w:val="2"/>
              </w:rPr>
              <w:t>）的规定，设第</w:t>
            </w:r>
            <w:r>
              <w:rPr>
                <w:rFonts w:ascii="Times New Roman" w:hAnsi="Times New Roman"/>
                <w:color w:val="auto"/>
                <w:kern w:val="2"/>
              </w:rPr>
              <w:t>i</w:t>
            </w:r>
            <w:r>
              <w:rPr>
                <w:rFonts w:ascii="Times New Roman" w:hAnsi="宋体"/>
                <w:color w:val="auto"/>
                <w:kern w:val="2"/>
              </w:rPr>
              <w:t>个室外声源在预测点产生的</w:t>
            </w:r>
            <w:r>
              <w:rPr>
                <w:rFonts w:ascii="Times New Roman" w:hAnsi="Times New Roman"/>
                <w:color w:val="auto"/>
                <w:kern w:val="2"/>
              </w:rPr>
              <w:t>A</w:t>
            </w:r>
            <w:r>
              <w:rPr>
                <w:rFonts w:ascii="Times New Roman" w:hAnsi="宋体"/>
                <w:color w:val="auto"/>
                <w:kern w:val="2"/>
              </w:rPr>
              <w:t>声级为</w:t>
            </w:r>
            <w:r>
              <w:rPr>
                <w:rFonts w:ascii="Times New Roman" w:hAnsi="Times New Roman"/>
                <w:color w:val="auto"/>
                <w:kern w:val="2"/>
              </w:rPr>
              <w:t>L</w:t>
            </w:r>
            <w:r>
              <w:rPr>
                <w:rFonts w:ascii="Times New Roman" w:hAnsi="Times New Roman"/>
                <w:color w:val="auto"/>
                <w:kern w:val="2"/>
                <w:vertAlign w:val="subscript"/>
              </w:rPr>
              <w:t>Ai</w:t>
            </w:r>
            <w:r>
              <w:rPr>
                <w:rFonts w:ascii="Times New Roman" w:hAnsi="宋体"/>
                <w:color w:val="auto"/>
                <w:kern w:val="2"/>
              </w:rPr>
              <w:t>，在</w:t>
            </w:r>
            <w:r>
              <w:rPr>
                <w:rFonts w:ascii="Times New Roman" w:hAnsi="Times New Roman"/>
                <w:color w:val="auto"/>
                <w:kern w:val="2"/>
              </w:rPr>
              <w:t>T</w:t>
            </w:r>
            <w:r>
              <w:rPr>
                <w:rFonts w:ascii="Times New Roman" w:hAnsi="宋体"/>
                <w:color w:val="auto"/>
                <w:kern w:val="2"/>
              </w:rPr>
              <w:t>时间内该声源工作时间为</w:t>
            </w:r>
            <w:r>
              <w:rPr>
                <w:rFonts w:ascii="Times New Roman" w:hAnsi="Times New Roman"/>
                <w:color w:val="auto"/>
                <w:kern w:val="2"/>
              </w:rPr>
              <w:t>ti</w:t>
            </w:r>
            <w:r>
              <w:rPr>
                <w:rFonts w:ascii="Times New Roman" w:hAnsi="宋体"/>
                <w:color w:val="auto"/>
                <w:kern w:val="2"/>
              </w:rPr>
              <w:t>；第</w:t>
            </w:r>
            <w:r>
              <w:rPr>
                <w:rFonts w:ascii="Times New Roman" w:hAnsi="Times New Roman"/>
                <w:color w:val="auto"/>
                <w:kern w:val="2"/>
              </w:rPr>
              <w:t>j</w:t>
            </w:r>
            <w:r>
              <w:rPr>
                <w:rFonts w:ascii="Times New Roman" w:hAnsi="宋体"/>
                <w:color w:val="auto"/>
                <w:kern w:val="2"/>
              </w:rPr>
              <w:t>个等效室外声源在预测点产生的</w:t>
            </w:r>
            <w:r>
              <w:rPr>
                <w:rFonts w:ascii="Times New Roman" w:hAnsi="Times New Roman"/>
                <w:color w:val="auto"/>
                <w:kern w:val="2"/>
              </w:rPr>
              <w:t>A</w:t>
            </w:r>
            <w:r>
              <w:rPr>
                <w:rFonts w:ascii="Times New Roman" w:hAnsi="宋体"/>
                <w:color w:val="auto"/>
                <w:kern w:val="2"/>
              </w:rPr>
              <w:t>声级为</w:t>
            </w:r>
            <w:r>
              <w:rPr>
                <w:rFonts w:ascii="Times New Roman" w:hAnsi="Times New Roman"/>
                <w:color w:val="auto"/>
                <w:kern w:val="2"/>
              </w:rPr>
              <w:t>L</w:t>
            </w:r>
            <w:r>
              <w:rPr>
                <w:rFonts w:ascii="Times New Roman" w:hAnsi="Times New Roman"/>
                <w:color w:val="auto"/>
                <w:kern w:val="2"/>
                <w:vertAlign w:val="subscript"/>
              </w:rPr>
              <w:t>Aj</w:t>
            </w:r>
            <w:r>
              <w:rPr>
                <w:rFonts w:ascii="Times New Roman" w:hAnsi="宋体"/>
                <w:color w:val="auto"/>
                <w:kern w:val="2"/>
              </w:rPr>
              <w:t>，在</w:t>
            </w:r>
            <w:r>
              <w:rPr>
                <w:rFonts w:ascii="Times New Roman" w:hAnsi="Times New Roman"/>
                <w:color w:val="auto"/>
                <w:kern w:val="2"/>
              </w:rPr>
              <w:t>T</w:t>
            </w:r>
            <w:r>
              <w:rPr>
                <w:rFonts w:ascii="Times New Roman" w:hAnsi="宋体"/>
                <w:color w:val="auto"/>
                <w:kern w:val="2"/>
              </w:rPr>
              <w:t>时间内该声源工作时间为</w:t>
            </w:r>
            <w:r>
              <w:rPr>
                <w:rFonts w:ascii="Times New Roman" w:hAnsi="Times New Roman"/>
                <w:color w:val="auto"/>
                <w:kern w:val="2"/>
              </w:rPr>
              <w:t>tj</w:t>
            </w:r>
            <w:r>
              <w:rPr>
                <w:rFonts w:ascii="Times New Roman" w:hAnsi="宋体"/>
                <w:color w:val="auto"/>
                <w:kern w:val="2"/>
              </w:rPr>
              <w:t>，在拟建工程声源对预测点产生的贡献值（</w:t>
            </w:r>
            <w:r>
              <w:rPr>
                <w:rFonts w:ascii="Times New Roman" w:hAnsi="Times New Roman"/>
                <w:color w:val="auto"/>
                <w:kern w:val="2"/>
              </w:rPr>
              <w:t>Leqg</w:t>
            </w:r>
            <w:r>
              <w:rPr>
                <w:rFonts w:ascii="Times New Roman" w:hAnsi="宋体"/>
                <w:color w:val="auto"/>
                <w:kern w:val="2"/>
              </w:rPr>
              <w:t>）为：</w:t>
            </w:r>
          </w:p>
          <w:p>
            <w:pPr>
              <w:autoSpaceDE w:val="0"/>
              <w:autoSpaceDN w:val="0"/>
              <w:adjustRightInd w:val="0"/>
              <w:snapToGrid w:val="0"/>
              <w:spacing w:line="360" w:lineRule="auto"/>
              <w:jc w:val="center"/>
              <w:rPr>
                <w:rFonts w:ascii="Times New Roman" w:hAnsi="Times New Roman"/>
                <w:color w:val="auto"/>
                <w:kern w:val="2"/>
              </w:rPr>
            </w:pPr>
            <w:r>
              <w:rPr>
                <w:rFonts w:ascii="Times New Roman" w:hAnsi="Times New Roman"/>
                <w:color w:val="auto"/>
                <w:kern w:val="2"/>
                <w:position w:val="-34"/>
              </w:rPr>
              <w:object>
                <v:shape id="_x0000_i1060" o:spt="75" type="#_x0000_t75" style="height:40.5pt;width:216pt;" o:ole="t" filled="f" o:preferrelative="t" stroked="f" coordsize="21600,21600">
                  <v:path/>
                  <v:fill on="f" focussize="0,0"/>
                  <v:stroke on="f" joinstyle="miter"/>
                  <v:imagedata r:id="rId83" o:title=""/>
                  <o:lock v:ext="edit" aspectratio="t"/>
                  <w10:wrap type="none"/>
                  <w10:anchorlock/>
                </v:shape>
                <o:OLEObject Type="Embed" ProgID="Equation.3" ShapeID="_x0000_i1060" DrawAspect="Content" ObjectID="_1468075760" r:id="rId82">
                  <o:LockedField>false</o:LockedField>
                </o:OLEObject>
              </w:object>
            </w:r>
          </w:p>
          <w:p>
            <w:pPr>
              <w:autoSpaceDE w:val="0"/>
              <w:autoSpaceDN w:val="0"/>
              <w:adjustRightInd w:val="0"/>
              <w:snapToGrid w:val="0"/>
              <w:spacing w:line="360" w:lineRule="auto"/>
              <w:ind w:firstLine="549"/>
              <w:jc w:val="left"/>
              <w:rPr>
                <w:rFonts w:ascii="Times New Roman" w:hAnsi="Times New Roman"/>
                <w:color w:val="auto"/>
                <w:kern w:val="2"/>
              </w:rPr>
            </w:pPr>
            <w:r>
              <w:rPr>
                <w:rFonts w:ascii="Times New Roman" w:hAnsi="宋体"/>
                <w:color w:val="auto"/>
                <w:kern w:val="2"/>
              </w:rPr>
              <w:t>式中，</w:t>
            </w:r>
            <w:r>
              <w:rPr>
                <w:rFonts w:ascii="Times New Roman" w:hAnsi="Times New Roman"/>
                <w:color w:val="auto"/>
                <w:kern w:val="2"/>
              </w:rPr>
              <w:t>tj—</w:t>
            </w:r>
            <w:r>
              <w:rPr>
                <w:rFonts w:ascii="Times New Roman" w:hAnsi="宋体"/>
                <w:color w:val="auto"/>
                <w:kern w:val="2"/>
              </w:rPr>
              <w:t>在</w:t>
            </w:r>
            <w:r>
              <w:rPr>
                <w:rFonts w:ascii="Times New Roman" w:hAnsi="Times New Roman"/>
                <w:color w:val="auto"/>
                <w:kern w:val="2"/>
              </w:rPr>
              <w:t>T</w:t>
            </w:r>
            <w:r>
              <w:rPr>
                <w:rFonts w:ascii="Times New Roman" w:hAnsi="宋体"/>
                <w:color w:val="auto"/>
                <w:kern w:val="2"/>
              </w:rPr>
              <w:t>时间内</w:t>
            </w:r>
            <w:r>
              <w:rPr>
                <w:rFonts w:ascii="Times New Roman" w:hAnsi="Times New Roman"/>
                <w:color w:val="auto"/>
                <w:kern w:val="2"/>
              </w:rPr>
              <w:t>j</w:t>
            </w:r>
            <w:r>
              <w:rPr>
                <w:rFonts w:ascii="Times New Roman" w:hAnsi="宋体"/>
                <w:color w:val="auto"/>
                <w:kern w:val="2"/>
              </w:rPr>
              <w:t>声源工作时间，</w:t>
            </w:r>
            <w:r>
              <w:rPr>
                <w:rFonts w:ascii="Times New Roman" w:hAnsi="Times New Roman"/>
                <w:color w:val="auto"/>
                <w:kern w:val="2"/>
              </w:rPr>
              <w:t>s</w:t>
            </w:r>
            <w:r>
              <w:rPr>
                <w:rFonts w:ascii="Times New Roman" w:hAnsi="宋体"/>
                <w:color w:val="auto"/>
                <w:kern w:val="2"/>
              </w:rPr>
              <w:t>；</w:t>
            </w:r>
          </w:p>
          <w:p>
            <w:pPr>
              <w:autoSpaceDE w:val="0"/>
              <w:autoSpaceDN w:val="0"/>
              <w:adjustRightInd w:val="0"/>
              <w:snapToGrid w:val="0"/>
              <w:spacing w:line="360" w:lineRule="auto"/>
              <w:ind w:firstLine="549"/>
              <w:jc w:val="left"/>
              <w:rPr>
                <w:rFonts w:ascii="Times New Roman" w:hAnsi="Times New Roman"/>
                <w:color w:val="auto"/>
                <w:kern w:val="2"/>
              </w:rPr>
            </w:pPr>
            <w:r>
              <w:rPr>
                <w:rFonts w:ascii="Times New Roman" w:hAnsi="Times New Roman"/>
                <w:color w:val="auto"/>
                <w:kern w:val="2"/>
              </w:rPr>
              <w:t xml:space="preserve">      ti—</w:t>
            </w:r>
            <w:r>
              <w:rPr>
                <w:rFonts w:ascii="Times New Roman" w:hAnsi="宋体"/>
                <w:color w:val="auto"/>
                <w:kern w:val="2"/>
              </w:rPr>
              <w:t>在</w:t>
            </w:r>
            <w:r>
              <w:rPr>
                <w:rFonts w:ascii="Times New Roman" w:hAnsi="Times New Roman"/>
                <w:color w:val="auto"/>
                <w:kern w:val="2"/>
              </w:rPr>
              <w:t>T</w:t>
            </w:r>
            <w:r>
              <w:rPr>
                <w:rFonts w:ascii="Times New Roman" w:hAnsi="宋体"/>
                <w:color w:val="auto"/>
                <w:kern w:val="2"/>
              </w:rPr>
              <w:t>时间内</w:t>
            </w:r>
            <w:r>
              <w:rPr>
                <w:rFonts w:ascii="Times New Roman" w:hAnsi="Times New Roman"/>
                <w:color w:val="auto"/>
                <w:kern w:val="2"/>
              </w:rPr>
              <w:t>i</w:t>
            </w:r>
            <w:r>
              <w:rPr>
                <w:rFonts w:ascii="Times New Roman" w:hAnsi="宋体"/>
                <w:color w:val="auto"/>
                <w:kern w:val="2"/>
              </w:rPr>
              <w:t>声源工作时间，</w:t>
            </w:r>
            <w:r>
              <w:rPr>
                <w:rFonts w:ascii="Times New Roman" w:hAnsi="Times New Roman"/>
                <w:color w:val="auto"/>
                <w:kern w:val="2"/>
              </w:rPr>
              <w:t>s</w:t>
            </w:r>
            <w:r>
              <w:rPr>
                <w:rFonts w:ascii="Times New Roman" w:hAnsi="宋体"/>
                <w:color w:val="auto"/>
                <w:kern w:val="2"/>
              </w:rPr>
              <w:t>；</w:t>
            </w:r>
          </w:p>
          <w:p>
            <w:pPr>
              <w:autoSpaceDE w:val="0"/>
              <w:autoSpaceDN w:val="0"/>
              <w:adjustRightInd w:val="0"/>
              <w:snapToGrid w:val="0"/>
              <w:spacing w:line="360" w:lineRule="auto"/>
              <w:ind w:firstLine="549"/>
              <w:jc w:val="left"/>
              <w:rPr>
                <w:rFonts w:ascii="Times New Roman" w:hAnsi="Times New Roman"/>
                <w:color w:val="auto"/>
                <w:kern w:val="2"/>
              </w:rPr>
            </w:pPr>
            <w:r>
              <w:rPr>
                <w:rFonts w:ascii="Times New Roman" w:hAnsi="Times New Roman"/>
                <w:color w:val="auto"/>
                <w:kern w:val="2"/>
              </w:rPr>
              <w:t xml:space="preserve">      T --</w:t>
            </w:r>
            <w:r>
              <w:rPr>
                <w:rFonts w:ascii="Times New Roman" w:hAnsi="宋体"/>
                <w:color w:val="auto"/>
                <w:kern w:val="2"/>
              </w:rPr>
              <w:t>用于计算等效声级的时间，</w:t>
            </w:r>
            <w:r>
              <w:rPr>
                <w:rFonts w:ascii="Times New Roman" w:hAnsi="Times New Roman"/>
                <w:color w:val="auto"/>
                <w:kern w:val="2"/>
              </w:rPr>
              <w:t>s</w:t>
            </w:r>
            <w:r>
              <w:rPr>
                <w:rFonts w:ascii="Times New Roman" w:hAnsi="宋体"/>
                <w:color w:val="auto"/>
                <w:kern w:val="2"/>
              </w:rPr>
              <w:t>；</w:t>
            </w:r>
          </w:p>
          <w:p>
            <w:pPr>
              <w:autoSpaceDE w:val="0"/>
              <w:autoSpaceDN w:val="0"/>
              <w:adjustRightInd w:val="0"/>
              <w:snapToGrid w:val="0"/>
              <w:spacing w:line="360" w:lineRule="auto"/>
              <w:ind w:firstLine="1264" w:firstLineChars="527"/>
              <w:jc w:val="left"/>
              <w:rPr>
                <w:rFonts w:ascii="Times New Roman" w:hAnsi="Times New Roman"/>
                <w:color w:val="auto"/>
                <w:kern w:val="2"/>
              </w:rPr>
            </w:pPr>
            <w:r>
              <w:rPr>
                <w:rFonts w:ascii="Times New Roman" w:hAnsi="Times New Roman"/>
                <w:color w:val="auto"/>
                <w:kern w:val="2"/>
              </w:rPr>
              <w:t>N --</w:t>
            </w:r>
            <w:r>
              <w:rPr>
                <w:rFonts w:ascii="Times New Roman" w:hAnsi="宋体"/>
                <w:color w:val="auto"/>
                <w:kern w:val="2"/>
              </w:rPr>
              <w:t>室外声源个数；</w:t>
            </w:r>
          </w:p>
          <w:p>
            <w:pPr>
              <w:autoSpaceDE w:val="0"/>
              <w:autoSpaceDN w:val="0"/>
              <w:adjustRightInd w:val="0"/>
              <w:snapToGrid w:val="0"/>
              <w:spacing w:line="360" w:lineRule="auto"/>
              <w:ind w:firstLine="1264" w:firstLineChars="527"/>
              <w:jc w:val="left"/>
              <w:rPr>
                <w:rFonts w:ascii="Times New Roman" w:hAnsi="宋体"/>
                <w:color w:val="auto"/>
                <w:kern w:val="2"/>
              </w:rPr>
            </w:pPr>
            <w:r>
              <w:rPr>
                <w:rFonts w:ascii="Times New Roman" w:hAnsi="Times New Roman"/>
                <w:color w:val="auto"/>
                <w:kern w:val="2"/>
              </w:rPr>
              <w:t>M –</w:t>
            </w:r>
            <w:r>
              <w:rPr>
                <w:rFonts w:ascii="Times New Roman" w:hAnsi="宋体"/>
                <w:color w:val="auto"/>
                <w:kern w:val="2"/>
              </w:rPr>
              <w:t>等效室外声源个数。</w:t>
            </w:r>
          </w:p>
          <w:p>
            <w:pPr>
              <w:numPr>
                <w:ilvl w:val="0"/>
                <w:numId w:val="7"/>
              </w:numPr>
              <w:overflowPunct w:val="0"/>
              <w:topLinePunct/>
              <w:adjustRightInd w:val="0"/>
              <w:snapToGrid w:val="0"/>
              <w:spacing w:before="163" w:beforeLines="50" w:line="360" w:lineRule="auto"/>
              <w:textAlignment w:val="baseline"/>
              <w:rPr>
                <w:rFonts w:ascii="Times New Roman" w:hAnsi="Times New Roman"/>
                <w:b/>
                <w:bCs/>
                <w:color w:val="auto"/>
                <w:kern w:val="0"/>
                <w:szCs w:val="20"/>
              </w:rPr>
            </w:pPr>
            <w:r>
              <w:rPr>
                <w:rFonts w:ascii="Times New Roman" w:hAnsi="Times New Roman"/>
                <w:b/>
                <w:bCs/>
                <w:color w:val="auto"/>
                <w:kern w:val="0"/>
                <w:szCs w:val="20"/>
              </w:rPr>
              <w:t>预测点</w:t>
            </w:r>
          </w:p>
          <w:p>
            <w:pPr>
              <w:adjustRightInd w:val="0"/>
              <w:snapToGrid w:val="0"/>
              <w:spacing w:line="360" w:lineRule="auto"/>
              <w:ind w:firstLine="480"/>
              <w:rPr>
                <w:rFonts w:ascii="Times New Roman" w:hAnsi="宋体"/>
                <w:color w:val="auto"/>
                <w:kern w:val="2"/>
              </w:rPr>
            </w:pPr>
            <w:r>
              <w:rPr>
                <w:rFonts w:ascii="Times New Roman" w:hAnsi="宋体"/>
                <w:color w:val="auto"/>
                <w:kern w:val="2"/>
              </w:rPr>
              <w:t>预测主网格布置如表7-4。</w:t>
            </w:r>
          </w:p>
          <w:p>
            <w:pPr>
              <w:autoSpaceDE w:val="0"/>
              <w:autoSpaceDN w:val="0"/>
              <w:adjustRightInd w:val="0"/>
              <w:snapToGrid w:val="0"/>
              <w:spacing w:line="240" w:lineRule="atLeast"/>
              <w:jc w:val="center"/>
              <w:rPr>
                <w:rFonts w:ascii="Times New Roman" w:hAnsi="宋体"/>
                <w:b/>
                <w:color w:val="auto"/>
                <w:kern w:val="0"/>
                <w:sz w:val="21"/>
                <w:szCs w:val="21"/>
              </w:rPr>
            </w:pPr>
            <w:r>
              <w:rPr>
                <w:rFonts w:ascii="Times New Roman" w:hAnsi="宋体"/>
                <w:b/>
                <w:color w:val="auto"/>
                <w:kern w:val="0"/>
                <w:sz w:val="21"/>
                <w:szCs w:val="21"/>
              </w:rPr>
              <w:t>表7-4     主网格信息</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374"/>
              <w:gridCol w:w="1498"/>
              <w:gridCol w:w="1130"/>
              <w:gridCol w:w="1991"/>
              <w:gridCol w:w="1991"/>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54" w:type="pct"/>
                  <w:vAlign w:val="center"/>
                </w:tcPr>
                <w:p>
                  <w:pPr>
                    <w:widowControl/>
                    <w:autoSpaceDE w:val="0"/>
                    <w:autoSpaceDN w:val="0"/>
                    <w:adjustRightInd w:val="0"/>
                    <w:snapToGrid w:val="0"/>
                    <w:spacing w:line="25" w:lineRule="atLeast"/>
                    <w:jc w:val="center"/>
                    <w:rPr>
                      <w:rFonts w:ascii="Times New Roman" w:hAnsi="Times New Roman"/>
                      <w:color w:val="auto"/>
                      <w:kern w:val="0"/>
                      <w:sz w:val="21"/>
                      <w:szCs w:val="21"/>
                    </w:rPr>
                  </w:pPr>
                  <w:r>
                    <w:rPr>
                      <w:rFonts w:ascii="Times New Roman" w:hAnsi="宋体"/>
                      <w:color w:val="auto"/>
                      <w:kern w:val="0"/>
                      <w:sz w:val="21"/>
                      <w:szCs w:val="21"/>
                    </w:rPr>
                    <w:t>主网格名称</w:t>
                  </w:r>
                </w:p>
              </w:tc>
              <w:tc>
                <w:tcPr>
                  <w:tcW w:w="822" w:type="pct"/>
                  <w:vAlign w:val="center"/>
                </w:tcPr>
                <w:p>
                  <w:pPr>
                    <w:widowControl/>
                    <w:autoSpaceDE w:val="0"/>
                    <w:autoSpaceDN w:val="0"/>
                    <w:adjustRightInd w:val="0"/>
                    <w:snapToGrid w:val="0"/>
                    <w:spacing w:line="25" w:lineRule="atLeast"/>
                    <w:jc w:val="center"/>
                    <w:rPr>
                      <w:rFonts w:ascii="Times New Roman" w:hAnsi="Times New Roman"/>
                      <w:color w:val="auto"/>
                      <w:kern w:val="0"/>
                      <w:sz w:val="21"/>
                      <w:szCs w:val="21"/>
                    </w:rPr>
                  </w:pPr>
                  <w:r>
                    <w:rPr>
                      <w:rFonts w:ascii="Times New Roman" w:hAnsi="宋体"/>
                      <w:color w:val="auto"/>
                      <w:kern w:val="0"/>
                      <w:sz w:val="21"/>
                      <w:szCs w:val="21"/>
                    </w:rPr>
                    <w:t>起点坐标</w:t>
                  </w:r>
                </w:p>
              </w:tc>
              <w:tc>
                <w:tcPr>
                  <w:tcW w:w="620" w:type="pct"/>
                  <w:vAlign w:val="center"/>
                </w:tcPr>
                <w:p>
                  <w:pPr>
                    <w:widowControl/>
                    <w:autoSpaceDE w:val="0"/>
                    <w:autoSpaceDN w:val="0"/>
                    <w:adjustRightInd w:val="0"/>
                    <w:snapToGrid w:val="0"/>
                    <w:spacing w:line="25" w:lineRule="atLeast"/>
                    <w:jc w:val="center"/>
                    <w:rPr>
                      <w:rFonts w:ascii="Times New Roman" w:hAnsi="Times New Roman"/>
                      <w:color w:val="auto"/>
                      <w:kern w:val="0"/>
                      <w:sz w:val="21"/>
                      <w:szCs w:val="21"/>
                    </w:rPr>
                  </w:pPr>
                  <w:r>
                    <w:rPr>
                      <w:rFonts w:ascii="Times New Roman" w:hAnsi="宋体"/>
                      <w:color w:val="auto"/>
                      <w:kern w:val="0"/>
                      <w:sz w:val="21"/>
                      <w:szCs w:val="21"/>
                    </w:rPr>
                    <w:t>离地高度</w:t>
                  </w:r>
                </w:p>
              </w:tc>
              <w:tc>
                <w:tcPr>
                  <w:tcW w:w="1093" w:type="pct"/>
                  <w:vAlign w:val="center"/>
                </w:tcPr>
                <w:p>
                  <w:pPr>
                    <w:widowControl/>
                    <w:autoSpaceDE w:val="0"/>
                    <w:autoSpaceDN w:val="0"/>
                    <w:adjustRightInd w:val="0"/>
                    <w:snapToGrid w:val="0"/>
                    <w:spacing w:line="25" w:lineRule="atLeast"/>
                    <w:jc w:val="center"/>
                    <w:rPr>
                      <w:rFonts w:ascii="Times New Roman" w:hAnsi="Times New Roman"/>
                      <w:color w:val="auto"/>
                      <w:kern w:val="0"/>
                      <w:sz w:val="21"/>
                      <w:szCs w:val="21"/>
                    </w:rPr>
                  </w:pPr>
                  <w:r>
                    <w:rPr>
                      <w:rFonts w:ascii="Times New Roman" w:hAnsi="宋体"/>
                      <w:color w:val="auto"/>
                      <w:kern w:val="0"/>
                      <w:sz w:val="21"/>
                      <w:szCs w:val="21"/>
                    </w:rPr>
                    <w:t>水平格点数</w:t>
                  </w:r>
                  <w:r>
                    <w:rPr>
                      <w:rFonts w:ascii="Times New Roman" w:hAnsi="Times New Roman"/>
                      <w:color w:val="auto"/>
                      <w:kern w:val="0"/>
                      <w:sz w:val="21"/>
                      <w:szCs w:val="21"/>
                    </w:rPr>
                    <w:t>/</w:t>
                  </w:r>
                  <w:r>
                    <w:rPr>
                      <w:rFonts w:ascii="Times New Roman" w:hAnsi="宋体"/>
                      <w:color w:val="auto"/>
                      <w:kern w:val="0"/>
                      <w:sz w:val="21"/>
                      <w:szCs w:val="21"/>
                    </w:rPr>
                    <w:t>步长（</w:t>
                  </w:r>
                  <w:r>
                    <w:rPr>
                      <w:rFonts w:ascii="Times New Roman" w:hAnsi="Times New Roman"/>
                      <w:color w:val="auto"/>
                      <w:kern w:val="0"/>
                      <w:sz w:val="21"/>
                      <w:szCs w:val="21"/>
                    </w:rPr>
                    <w:t>m</w:t>
                  </w:r>
                  <w:r>
                    <w:rPr>
                      <w:rFonts w:ascii="Times New Roman" w:hAnsi="宋体"/>
                      <w:color w:val="auto"/>
                      <w:kern w:val="0"/>
                      <w:sz w:val="21"/>
                      <w:szCs w:val="21"/>
                    </w:rPr>
                    <w:t>）</w:t>
                  </w:r>
                </w:p>
              </w:tc>
              <w:tc>
                <w:tcPr>
                  <w:tcW w:w="1093" w:type="pct"/>
                  <w:vAlign w:val="center"/>
                </w:tcPr>
                <w:p>
                  <w:pPr>
                    <w:widowControl/>
                    <w:autoSpaceDE w:val="0"/>
                    <w:autoSpaceDN w:val="0"/>
                    <w:adjustRightInd w:val="0"/>
                    <w:snapToGrid w:val="0"/>
                    <w:spacing w:line="25" w:lineRule="atLeast"/>
                    <w:jc w:val="center"/>
                    <w:rPr>
                      <w:rFonts w:ascii="Times New Roman" w:hAnsi="Times New Roman"/>
                      <w:color w:val="auto"/>
                      <w:kern w:val="0"/>
                      <w:sz w:val="21"/>
                      <w:szCs w:val="21"/>
                    </w:rPr>
                  </w:pPr>
                  <w:r>
                    <w:rPr>
                      <w:rFonts w:ascii="Times New Roman" w:hAnsi="宋体"/>
                      <w:color w:val="auto"/>
                      <w:kern w:val="0"/>
                      <w:sz w:val="21"/>
                      <w:szCs w:val="21"/>
                    </w:rPr>
                    <w:t>垂向格点数</w:t>
                  </w:r>
                  <w:r>
                    <w:rPr>
                      <w:rFonts w:ascii="Times New Roman" w:hAnsi="Times New Roman"/>
                      <w:color w:val="auto"/>
                      <w:kern w:val="0"/>
                      <w:sz w:val="21"/>
                      <w:szCs w:val="21"/>
                    </w:rPr>
                    <w:t>/</w:t>
                  </w:r>
                  <w:r>
                    <w:rPr>
                      <w:rFonts w:ascii="Times New Roman" w:hAnsi="宋体"/>
                      <w:color w:val="auto"/>
                      <w:kern w:val="0"/>
                      <w:sz w:val="21"/>
                      <w:szCs w:val="21"/>
                    </w:rPr>
                    <w:t>步长（</w:t>
                  </w:r>
                  <w:r>
                    <w:rPr>
                      <w:rFonts w:ascii="Times New Roman" w:hAnsi="Times New Roman"/>
                      <w:color w:val="auto"/>
                      <w:kern w:val="0"/>
                      <w:sz w:val="21"/>
                      <w:szCs w:val="21"/>
                    </w:rPr>
                    <w:t>m</w:t>
                  </w:r>
                  <w:r>
                    <w:rPr>
                      <w:rFonts w:ascii="Times New Roman" w:hAnsi="宋体"/>
                      <w:color w:val="auto"/>
                      <w:kern w:val="0"/>
                      <w:sz w:val="21"/>
                      <w:szCs w:val="21"/>
                    </w:rPr>
                    <w:t>）</w:t>
                  </w:r>
                </w:p>
              </w:tc>
              <w:tc>
                <w:tcPr>
                  <w:tcW w:w="618" w:type="pct"/>
                  <w:vAlign w:val="center"/>
                </w:tcPr>
                <w:p>
                  <w:pPr>
                    <w:widowControl/>
                    <w:autoSpaceDE w:val="0"/>
                    <w:autoSpaceDN w:val="0"/>
                    <w:adjustRightInd w:val="0"/>
                    <w:snapToGrid w:val="0"/>
                    <w:spacing w:line="25" w:lineRule="atLeast"/>
                    <w:jc w:val="center"/>
                    <w:rPr>
                      <w:rFonts w:ascii="Times New Roman" w:hAnsi="Times New Roman"/>
                      <w:color w:val="auto"/>
                      <w:kern w:val="0"/>
                      <w:sz w:val="21"/>
                      <w:szCs w:val="21"/>
                    </w:rPr>
                  </w:pPr>
                  <w:r>
                    <w:rPr>
                      <w:rFonts w:ascii="Times New Roman" w:hAnsi="宋体"/>
                      <w:color w:val="auto"/>
                      <w:kern w:val="0"/>
                      <w:sz w:val="21"/>
                      <w:szCs w:val="21"/>
                    </w:rPr>
                    <w:t>总网格数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54" w:type="pct"/>
                  <w:vAlign w:val="center"/>
                </w:tcPr>
                <w:p>
                  <w:pPr>
                    <w:widowControl/>
                    <w:autoSpaceDE w:val="0"/>
                    <w:autoSpaceDN w:val="0"/>
                    <w:adjustRightInd w:val="0"/>
                    <w:snapToGrid w:val="0"/>
                    <w:spacing w:line="25" w:lineRule="atLeast"/>
                    <w:jc w:val="center"/>
                    <w:rPr>
                      <w:rFonts w:ascii="Times New Roman" w:hAnsi="Times New Roman"/>
                      <w:color w:val="auto"/>
                      <w:kern w:val="0"/>
                      <w:sz w:val="21"/>
                      <w:szCs w:val="21"/>
                    </w:rPr>
                  </w:pPr>
                  <w:r>
                    <w:rPr>
                      <w:rFonts w:ascii="Times New Roman" w:hAnsi="宋体"/>
                      <w:color w:val="auto"/>
                      <w:kern w:val="0"/>
                      <w:sz w:val="21"/>
                      <w:szCs w:val="21"/>
                    </w:rPr>
                    <w:t>网格</w:t>
                  </w:r>
                </w:p>
              </w:tc>
              <w:tc>
                <w:tcPr>
                  <w:tcW w:w="822" w:type="pct"/>
                  <w:vAlign w:val="center"/>
                </w:tcPr>
                <w:p>
                  <w:pPr>
                    <w:widowControl/>
                    <w:adjustRightInd w:val="0"/>
                    <w:snapToGrid w:val="0"/>
                    <w:spacing w:line="25" w:lineRule="atLeast"/>
                    <w:jc w:val="center"/>
                    <w:rPr>
                      <w:rFonts w:ascii="Times New Roman" w:hAnsi="Times New Roman"/>
                      <w:color w:val="auto"/>
                      <w:kern w:val="0"/>
                      <w:sz w:val="21"/>
                      <w:szCs w:val="21"/>
                    </w:rPr>
                  </w:pPr>
                  <w:r>
                    <w:rPr>
                      <w:rFonts w:ascii="Times New Roman" w:hAnsi="Times New Roman"/>
                      <w:color w:val="auto"/>
                      <w:kern w:val="0"/>
                      <w:sz w:val="21"/>
                      <w:szCs w:val="21"/>
                    </w:rPr>
                    <w:t>-200，-200</w:t>
                  </w:r>
                </w:p>
              </w:tc>
              <w:tc>
                <w:tcPr>
                  <w:tcW w:w="620" w:type="pct"/>
                  <w:vAlign w:val="center"/>
                </w:tcPr>
                <w:p>
                  <w:pPr>
                    <w:widowControl/>
                    <w:adjustRightInd w:val="0"/>
                    <w:snapToGrid w:val="0"/>
                    <w:spacing w:line="25" w:lineRule="atLeast"/>
                    <w:jc w:val="center"/>
                    <w:rPr>
                      <w:rFonts w:ascii="Times New Roman" w:hAnsi="Times New Roman"/>
                      <w:color w:val="auto"/>
                      <w:kern w:val="0"/>
                      <w:sz w:val="21"/>
                      <w:szCs w:val="21"/>
                    </w:rPr>
                  </w:pPr>
                  <w:r>
                    <w:rPr>
                      <w:rFonts w:ascii="Times New Roman" w:hAnsi="Times New Roman"/>
                      <w:color w:val="auto"/>
                      <w:kern w:val="0"/>
                      <w:sz w:val="21"/>
                      <w:szCs w:val="21"/>
                    </w:rPr>
                    <w:t>1.0</w:t>
                  </w:r>
                </w:p>
              </w:tc>
              <w:tc>
                <w:tcPr>
                  <w:tcW w:w="1093" w:type="pct"/>
                  <w:vAlign w:val="center"/>
                </w:tcPr>
                <w:p>
                  <w:pPr>
                    <w:widowControl/>
                    <w:adjustRightInd w:val="0"/>
                    <w:snapToGrid w:val="0"/>
                    <w:spacing w:line="25" w:lineRule="atLeast"/>
                    <w:jc w:val="center"/>
                    <w:rPr>
                      <w:rFonts w:ascii="Times New Roman" w:hAnsi="Times New Roman"/>
                      <w:color w:val="auto"/>
                      <w:kern w:val="0"/>
                      <w:sz w:val="21"/>
                      <w:szCs w:val="21"/>
                    </w:rPr>
                  </w:pPr>
                  <w:r>
                    <w:rPr>
                      <w:rFonts w:ascii="Times New Roman" w:hAnsi="Times New Roman"/>
                      <w:color w:val="auto"/>
                      <w:kern w:val="0"/>
                      <w:sz w:val="21"/>
                      <w:szCs w:val="21"/>
                    </w:rPr>
                    <w:t>21/10</w:t>
                  </w:r>
                </w:p>
              </w:tc>
              <w:tc>
                <w:tcPr>
                  <w:tcW w:w="1093" w:type="pct"/>
                  <w:vAlign w:val="center"/>
                </w:tcPr>
                <w:p>
                  <w:pPr>
                    <w:widowControl/>
                    <w:adjustRightInd w:val="0"/>
                    <w:snapToGrid w:val="0"/>
                    <w:spacing w:line="25" w:lineRule="atLeast"/>
                    <w:jc w:val="center"/>
                    <w:rPr>
                      <w:rFonts w:ascii="Times New Roman" w:hAnsi="Times New Roman"/>
                      <w:color w:val="auto"/>
                      <w:kern w:val="0"/>
                      <w:sz w:val="21"/>
                      <w:szCs w:val="21"/>
                    </w:rPr>
                  </w:pPr>
                  <w:r>
                    <w:rPr>
                      <w:rFonts w:ascii="Times New Roman" w:hAnsi="Times New Roman"/>
                      <w:color w:val="auto"/>
                      <w:kern w:val="0"/>
                      <w:sz w:val="21"/>
                      <w:szCs w:val="21"/>
                    </w:rPr>
                    <w:t>21/10</w:t>
                  </w:r>
                </w:p>
              </w:tc>
              <w:tc>
                <w:tcPr>
                  <w:tcW w:w="618" w:type="pct"/>
                  <w:vAlign w:val="center"/>
                </w:tcPr>
                <w:p>
                  <w:pPr>
                    <w:widowControl/>
                    <w:adjustRightInd w:val="0"/>
                    <w:snapToGrid w:val="0"/>
                    <w:spacing w:line="25" w:lineRule="atLeast"/>
                    <w:jc w:val="center"/>
                    <w:rPr>
                      <w:rFonts w:ascii="Times New Roman" w:hAnsi="Times New Roman"/>
                      <w:color w:val="auto"/>
                      <w:kern w:val="0"/>
                      <w:sz w:val="21"/>
                      <w:szCs w:val="21"/>
                    </w:rPr>
                  </w:pPr>
                  <w:r>
                    <w:rPr>
                      <w:rFonts w:ascii="Times New Roman" w:hAnsi="Times New Roman"/>
                      <w:color w:val="auto"/>
                      <w:kern w:val="0"/>
                      <w:sz w:val="21"/>
                      <w:szCs w:val="21"/>
                    </w:rPr>
                    <w:t>441</w:t>
                  </w:r>
                </w:p>
              </w:tc>
            </w:tr>
          </w:tbl>
          <w:p>
            <w:pPr>
              <w:adjustRightInd w:val="0"/>
              <w:snapToGrid w:val="0"/>
              <w:spacing w:before="163" w:beforeLines="50" w:line="360" w:lineRule="auto"/>
              <w:ind w:firstLine="482"/>
              <w:rPr>
                <w:rFonts w:ascii="Times New Roman" w:hAnsi="宋体"/>
                <w:color w:val="auto"/>
                <w:kern w:val="2"/>
              </w:rPr>
            </w:pPr>
            <w:r>
              <w:rPr>
                <w:rFonts w:hint="eastAsia" w:ascii="Times New Roman" w:hAnsi="宋体"/>
                <w:color w:val="auto"/>
                <w:kern w:val="2"/>
              </w:rPr>
              <w:t>建设项目</w:t>
            </w:r>
            <w:r>
              <w:rPr>
                <w:rFonts w:ascii="Times New Roman" w:hAnsi="宋体"/>
                <w:color w:val="auto"/>
                <w:kern w:val="2"/>
              </w:rPr>
              <w:t>噪声评价范围内</w:t>
            </w:r>
            <w:r>
              <w:rPr>
                <w:rFonts w:hint="eastAsia" w:ascii="Times New Roman" w:hAnsi="宋体"/>
                <w:color w:val="auto"/>
                <w:kern w:val="2"/>
              </w:rPr>
              <w:t>有1个</w:t>
            </w:r>
            <w:r>
              <w:rPr>
                <w:rFonts w:ascii="Times New Roman" w:hAnsi="宋体"/>
                <w:color w:val="auto"/>
                <w:kern w:val="2"/>
              </w:rPr>
              <w:t>环境敏感点，则建设项目噪声预测点</w:t>
            </w:r>
            <w:r>
              <w:rPr>
                <w:rFonts w:hint="eastAsia" w:ascii="Times New Roman" w:hAnsi="宋体"/>
                <w:color w:val="auto"/>
                <w:kern w:val="2"/>
              </w:rPr>
              <w:t>设置</w:t>
            </w:r>
            <w:r>
              <w:rPr>
                <w:rFonts w:ascii="Times New Roman" w:hAnsi="宋体"/>
                <w:color w:val="auto"/>
                <w:kern w:val="2"/>
              </w:rPr>
              <w:t>为</w:t>
            </w:r>
            <w:r>
              <w:rPr>
                <w:rFonts w:hint="eastAsia" w:ascii="Times New Roman" w:hAnsi="宋体"/>
                <w:color w:val="auto"/>
                <w:kern w:val="2"/>
              </w:rPr>
              <w:t>项目东南</w:t>
            </w:r>
            <w:r>
              <w:rPr>
                <w:rFonts w:ascii="Times New Roman" w:hAnsi="宋体"/>
                <w:color w:val="auto"/>
                <w:kern w:val="2"/>
              </w:rPr>
              <w:t>西北厂界</w:t>
            </w:r>
            <w:r>
              <w:rPr>
                <w:rFonts w:hint="eastAsia" w:ascii="Times New Roman" w:hAnsi="宋体"/>
                <w:color w:val="auto"/>
                <w:kern w:val="2"/>
              </w:rPr>
              <w:t>和环境敏感点，具体</w:t>
            </w:r>
            <w:r>
              <w:rPr>
                <w:rFonts w:ascii="Times New Roman" w:hAnsi="宋体"/>
                <w:color w:val="auto"/>
                <w:kern w:val="2"/>
              </w:rPr>
              <w:t>见表7-5</w:t>
            </w:r>
            <w:r>
              <w:rPr>
                <w:rFonts w:hint="eastAsia" w:ascii="Times New Roman" w:hAnsi="宋体"/>
                <w:color w:val="auto"/>
                <w:kern w:val="2"/>
              </w:rPr>
              <w:t>。坐标原点设为鼓风机所在位置（</w:t>
            </w:r>
            <w:r>
              <w:rPr>
                <w:rFonts w:ascii="Times New Roman" w:hAnsi="宋体"/>
                <w:color w:val="auto"/>
                <w:kern w:val="2"/>
              </w:rPr>
              <w:t>103.157</w:t>
            </w:r>
            <w:r>
              <w:rPr>
                <w:rFonts w:ascii="Times New Roman" w:hAnsi="Times New Roman"/>
                <w:color w:val="auto"/>
                <w:kern w:val="2"/>
              </w:rPr>
              <w:t>19929°E，24.96664738°N</w:t>
            </w:r>
            <w:r>
              <w:rPr>
                <w:rFonts w:hint="eastAsia" w:ascii="Times New Roman" w:hAnsi="宋体"/>
                <w:color w:val="auto"/>
                <w:kern w:val="2"/>
              </w:rPr>
              <w:t>）。</w:t>
            </w:r>
          </w:p>
          <w:p>
            <w:pPr>
              <w:autoSpaceDE w:val="0"/>
              <w:autoSpaceDN w:val="0"/>
              <w:adjustRightInd w:val="0"/>
              <w:snapToGrid w:val="0"/>
              <w:spacing w:line="240" w:lineRule="atLeast"/>
              <w:jc w:val="center"/>
              <w:rPr>
                <w:rFonts w:ascii="Times New Roman" w:hAnsi="Times New Roman"/>
                <w:b/>
                <w:color w:val="auto"/>
                <w:kern w:val="0"/>
                <w:sz w:val="21"/>
                <w:szCs w:val="21"/>
              </w:rPr>
            </w:pPr>
            <w:r>
              <w:rPr>
                <w:rFonts w:ascii="Times New Roman" w:hAnsi="宋体"/>
                <w:b/>
                <w:color w:val="auto"/>
                <w:kern w:val="0"/>
                <w:sz w:val="21"/>
                <w:szCs w:val="21"/>
              </w:rPr>
              <w:t>表</w:t>
            </w:r>
            <w:r>
              <w:rPr>
                <w:rFonts w:ascii="Times New Roman" w:hAnsi="Times New Roman"/>
                <w:b/>
                <w:color w:val="auto"/>
                <w:kern w:val="0"/>
                <w:sz w:val="21"/>
                <w:szCs w:val="21"/>
              </w:rPr>
              <w:t xml:space="preserve">7-5   </w:t>
            </w:r>
            <w:r>
              <w:rPr>
                <w:rFonts w:ascii="Times New Roman" w:hAnsi="宋体"/>
                <w:b/>
                <w:color w:val="auto"/>
                <w:kern w:val="0"/>
                <w:sz w:val="21"/>
                <w:szCs w:val="21"/>
              </w:rPr>
              <w:t>项目</w:t>
            </w:r>
            <w:r>
              <w:rPr>
                <w:rFonts w:hint="eastAsia" w:ascii="Times New Roman" w:hAnsi="宋体"/>
                <w:b/>
                <w:color w:val="auto"/>
                <w:kern w:val="0"/>
                <w:sz w:val="21"/>
                <w:szCs w:val="21"/>
              </w:rPr>
              <w:t>噪声预测离散点</w:t>
            </w:r>
            <w:r>
              <w:rPr>
                <w:rFonts w:ascii="Times New Roman" w:hAnsi="宋体"/>
                <w:b/>
                <w:color w:val="auto"/>
                <w:kern w:val="0"/>
                <w:sz w:val="21"/>
                <w:szCs w:val="21"/>
              </w:rPr>
              <w:t>参数表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2290"/>
              <w:gridCol w:w="1864"/>
              <w:gridCol w:w="1864"/>
              <w:gridCol w:w="2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序号</w:t>
                  </w:r>
                </w:p>
              </w:tc>
              <w:tc>
                <w:tcPr>
                  <w:tcW w:w="1257"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预测点</w:t>
                  </w:r>
                  <w:r>
                    <w:rPr>
                      <w:rFonts w:ascii="Times New Roman" w:hAnsi="Times New Roman"/>
                      <w:color w:val="auto"/>
                      <w:kern w:val="0"/>
                      <w:sz w:val="21"/>
                      <w:szCs w:val="21"/>
                    </w:rPr>
                    <w:t>名称</w:t>
                  </w:r>
                </w:p>
              </w:tc>
              <w:tc>
                <w:tcPr>
                  <w:tcW w:w="10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X</w:t>
                  </w:r>
                  <w:r>
                    <w:rPr>
                      <w:rFonts w:ascii="Times New Roman" w:hAnsi="Times New Roman"/>
                      <w:color w:val="auto"/>
                      <w:kern w:val="0"/>
                      <w:sz w:val="21"/>
                      <w:szCs w:val="21"/>
                    </w:rPr>
                    <w:t>坐标（</w:t>
                  </w:r>
                  <w:r>
                    <w:rPr>
                      <w:rFonts w:hint="eastAsia" w:ascii="Times New Roman" w:hAnsi="Times New Roman"/>
                      <w:color w:val="auto"/>
                      <w:kern w:val="0"/>
                      <w:sz w:val="21"/>
                      <w:szCs w:val="21"/>
                    </w:rPr>
                    <w:t>m</w:t>
                  </w:r>
                  <w:r>
                    <w:rPr>
                      <w:rFonts w:ascii="Times New Roman" w:hAnsi="Times New Roman"/>
                      <w:color w:val="auto"/>
                      <w:kern w:val="0"/>
                      <w:sz w:val="21"/>
                      <w:szCs w:val="21"/>
                    </w:rPr>
                    <w:t>）</w:t>
                  </w:r>
                </w:p>
              </w:tc>
              <w:tc>
                <w:tcPr>
                  <w:tcW w:w="10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Y</w:t>
                  </w:r>
                  <w:r>
                    <w:rPr>
                      <w:rFonts w:ascii="Times New Roman" w:hAnsi="Times New Roman"/>
                      <w:color w:val="auto"/>
                      <w:kern w:val="0"/>
                      <w:sz w:val="21"/>
                      <w:szCs w:val="21"/>
                    </w:rPr>
                    <w:t>坐标（</w:t>
                  </w:r>
                  <w:r>
                    <w:rPr>
                      <w:rFonts w:hint="eastAsia" w:ascii="Times New Roman" w:hAnsi="Times New Roman"/>
                      <w:color w:val="auto"/>
                      <w:kern w:val="0"/>
                      <w:sz w:val="21"/>
                      <w:szCs w:val="21"/>
                    </w:rPr>
                    <w:t>m</w:t>
                  </w:r>
                  <w:r>
                    <w:rPr>
                      <w:rFonts w:ascii="Times New Roman" w:hAnsi="Times New Roman"/>
                      <w:color w:val="auto"/>
                      <w:kern w:val="0"/>
                      <w:sz w:val="21"/>
                      <w:szCs w:val="21"/>
                    </w:rPr>
                    <w:t>）</w:t>
                  </w:r>
                </w:p>
              </w:tc>
              <w:tc>
                <w:tcPr>
                  <w:tcW w:w="12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离地高度</w:t>
                  </w:r>
                  <w:r>
                    <w:rPr>
                      <w:rFonts w:ascii="Times New Roman" w:hAnsi="Times New Roman"/>
                      <w:color w:val="auto"/>
                      <w:kern w:val="0"/>
                      <w:sz w:val="21"/>
                      <w:szCs w:val="21"/>
                    </w:rPr>
                    <w:t>（</w:t>
                  </w:r>
                  <w:r>
                    <w:rPr>
                      <w:rFonts w:hint="eastAsia" w:ascii="Times New Roman" w:hAnsi="Times New Roman"/>
                      <w:color w:val="auto"/>
                      <w:kern w:val="0"/>
                      <w:sz w:val="21"/>
                      <w:szCs w:val="21"/>
                    </w:rPr>
                    <w:t>m</w:t>
                  </w:r>
                  <w:r>
                    <w:rPr>
                      <w:rFonts w:ascii="Times New Roman" w:hAnsi="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w:t>
                  </w:r>
                </w:p>
              </w:tc>
              <w:tc>
                <w:tcPr>
                  <w:tcW w:w="1257"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东厂界</w:t>
                  </w:r>
                </w:p>
              </w:tc>
              <w:tc>
                <w:tcPr>
                  <w:tcW w:w="10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41.35</w:t>
                  </w:r>
                </w:p>
              </w:tc>
              <w:tc>
                <w:tcPr>
                  <w:tcW w:w="10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22.75</w:t>
                  </w:r>
                </w:p>
              </w:tc>
              <w:tc>
                <w:tcPr>
                  <w:tcW w:w="12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w:t>
                  </w:r>
                  <w:r>
                    <w:rPr>
                      <w:rFonts w:ascii="Times New Roman" w:hAnsi="Times New Roman"/>
                      <w:color w:val="auto"/>
                      <w:kern w:val="0"/>
                      <w:sz w:val="21"/>
                      <w:szCs w:val="21"/>
                    </w:rPr>
                    <w:t>.</w:t>
                  </w:r>
                  <w:r>
                    <w:rPr>
                      <w:rFonts w:hint="eastAsia" w:ascii="Times New Roman" w:hAnsi="Times New Roman"/>
                      <w:color w:val="auto"/>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2</w:t>
                  </w:r>
                </w:p>
              </w:tc>
              <w:tc>
                <w:tcPr>
                  <w:tcW w:w="1257"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南厂界</w:t>
                  </w:r>
                </w:p>
              </w:tc>
              <w:tc>
                <w:tcPr>
                  <w:tcW w:w="10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8.37</w:t>
                  </w:r>
                </w:p>
              </w:tc>
              <w:tc>
                <w:tcPr>
                  <w:tcW w:w="10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-44.51</w:t>
                  </w:r>
                </w:p>
              </w:tc>
              <w:tc>
                <w:tcPr>
                  <w:tcW w:w="12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w:t>
                  </w:r>
                  <w:r>
                    <w:rPr>
                      <w:rFonts w:ascii="Times New Roman" w:hAnsi="Times New Roman"/>
                      <w:color w:val="auto"/>
                      <w:kern w:val="0"/>
                      <w:sz w:val="21"/>
                      <w:szCs w:val="21"/>
                    </w:rPr>
                    <w:t>.</w:t>
                  </w:r>
                  <w:r>
                    <w:rPr>
                      <w:rFonts w:hint="eastAsia" w:ascii="Times New Roman" w:hAnsi="Times New Roman"/>
                      <w:color w:val="auto"/>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3</w:t>
                  </w:r>
                </w:p>
              </w:tc>
              <w:tc>
                <w:tcPr>
                  <w:tcW w:w="1257"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北厂界</w:t>
                  </w:r>
                </w:p>
              </w:tc>
              <w:tc>
                <w:tcPr>
                  <w:tcW w:w="10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10.67</w:t>
                  </w:r>
                </w:p>
              </w:tc>
              <w:tc>
                <w:tcPr>
                  <w:tcW w:w="10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50.37</w:t>
                  </w:r>
                </w:p>
              </w:tc>
              <w:tc>
                <w:tcPr>
                  <w:tcW w:w="12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w:t>
                  </w:r>
                  <w:r>
                    <w:rPr>
                      <w:rFonts w:ascii="Times New Roman" w:hAnsi="Times New Roman"/>
                      <w:color w:val="auto"/>
                      <w:kern w:val="0"/>
                      <w:sz w:val="21"/>
                      <w:szCs w:val="21"/>
                    </w:rPr>
                    <w:t>.</w:t>
                  </w:r>
                  <w:r>
                    <w:rPr>
                      <w:rFonts w:hint="eastAsia" w:ascii="Times New Roman" w:hAnsi="Times New Roman"/>
                      <w:color w:val="auto"/>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4</w:t>
                  </w:r>
                </w:p>
              </w:tc>
              <w:tc>
                <w:tcPr>
                  <w:tcW w:w="1257"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西厂界</w:t>
                  </w:r>
                </w:p>
              </w:tc>
              <w:tc>
                <w:tcPr>
                  <w:tcW w:w="10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-19.73</w:t>
                  </w:r>
                </w:p>
              </w:tc>
              <w:tc>
                <w:tcPr>
                  <w:tcW w:w="10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-26.55</w:t>
                  </w:r>
                </w:p>
              </w:tc>
              <w:tc>
                <w:tcPr>
                  <w:tcW w:w="12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w:t>
                  </w:r>
                  <w:r>
                    <w:rPr>
                      <w:rFonts w:ascii="Times New Roman" w:hAnsi="Times New Roman"/>
                      <w:color w:val="auto"/>
                      <w:kern w:val="0"/>
                      <w:sz w:val="21"/>
                      <w:szCs w:val="21"/>
                    </w:rPr>
                    <w:t>.</w:t>
                  </w:r>
                  <w:r>
                    <w:rPr>
                      <w:rFonts w:hint="eastAsia" w:ascii="Times New Roman" w:hAnsi="Times New Roman"/>
                      <w:color w:val="auto"/>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5</w:t>
                  </w:r>
                </w:p>
              </w:tc>
              <w:tc>
                <w:tcPr>
                  <w:tcW w:w="1257"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小唐营散户</w:t>
                  </w:r>
                </w:p>
              </w:tc>
              <w:tc>
                <w:tcPr>
                  <w:tcW w:w="10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-107.85</w:t>
                  </w:r>
                </w:p>
              </w:tc>
              <w:tc>
                <w:tcPr>
                  <w:tcW w:w="10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-13.72</w:t>
                  </w:r>
                </w:p>
              </w:tc>
              <w:tc>
                <w:tcPr>
                  <w:tcW w:w="1223"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w:t>
                  </w:r>
                  <w:r>
                    <w:rPr>
                      <w:rFonts w:ascii="Times New Roman" w:hAnsi="Times New Roman"/>
                      <w:color w:val="auto"/>
                      <w:kern w:val="0"/>
                      <w:sz w:val="21"/>
                      <w:szCs w:val="21"/>
                    </w:rPr>
                    <w:t>.2</w:t>
                  </w:r>
                </w:p>
              </w:tc>
            </w:tr>
          </w:tbl>
          <w:p>
            <w:pPr>
              <w:numPr>
                <w:ilvl w:val="0"/>
                <w:numId w:val="7"/>
              </w:numPr>
              <w:overflowPunct w:val="0"/>
              <w:topLinePunct/>
              <w:adjustRightInd w:val="0"/>
              <w:snapToGrid w:val="0"/>
              <w:spacing w:before="163" w:beforeLines="50" w:line="360" w:lineRule="auto"/>
              <w:textAlignment w:val="baseline"/>
              <w:rPr>
                <w:rFonts w:ascii="Times New Roman" w:hAnsi="Times New Roman"/>
                <w:b/>
                <w:bCs/>
                <w:color w:val="auto"/>
                <w:kern w:val="0"/>
                <w:szCs w:val="20"/>
              </w:rPr>
            </w:pPr>
            <w:r>
              <w:rPr>
                <w:rFonts w:hint="eastAsia" w:ascii="Times New Roman" w:hAnsi="Times New Roman"/>
                <w:b/>
                <w:bCs/>
                <w:color w:val="auto"/>
                <w:kern w:val="0"/>
                <w:szCs w:val="20"/>
              </w:rPr>
              <w:t>背景值选取</w:t>
            </w:r>
          </w:p>
          <w:p>
            <w:pPr>
              <w:adjustRightInd w:val="0"/>
              <w:snapToGrid w:val="0"/>
              <w:spacing w:line="360" w:lineRule="auto"/>
              <w:ind w:firstLine="480"/>
              <w:rPr>
                <w:rFonts w:ascii="Times New Roman" w:hAnsi="宋体"/>
                <w:color w:val="auto"/>
                <w:kern w:val="2"/>
              </w:rPr>
            </w:pPr>
            <w:r>
              <w:rPr>
                <w:rFonts w:hint="eastAsia" w:ascii="Times New Roman" w:hAnsi="宋体"/>
                <w:color w:val="auto"/>
                <w:kern w:val="2"/>
              </w:rPr>
              <w:t>因</w:t>
            </w:r>
            <w:r>
              <w:rPr>
                <w:rFonts w:hint="eastAsia" w:ascii="Times New Roman" w:hAnsi="Times New Roman"/>
                <w:color w:val="auto"/>
              </w:rPr>
              <w:t>明丰造纸厂现有项目目前处于正常生产运行中，</w:t>
            </w:r>
            <w:r>
              <w:rPr>
                <w:rFonts w:hint="eastAsia" w:ascii="Times New Roman" w:hAnsi="宋体"/>
                <w:color w:val="auto"/>
                <w:kern w:val="2"/>
              </w:rPr>
              <w:t>技改项目厂界噪声预测值叠加现有项目厂界噪声现状监测值的最大值，敏感点处的噪声预测值叠加现状监测值的最大值。</w:t>
            </w:r>
          </w:p>
          <w:p>
            <w:pPr>
              <w:numPr>
                <w:ilvl w:val="0"/>
                <w:numId w:val="7"/>
              </w:numPr>
              <w:overflowPunct w:val="0"/>
              <w:topLinePunct/>
              <w:adjustRightInd w:val="0"/>
              <w:snapToGrid w:val="0"/>
              <w:spacing w:before="163" w:beforeLines="50" w:line="360" w:lineRule="auto"/>
              <w:textAlignment w:val="baseline"/>
              <w:rPr>
                <w:rFonts w:ascii="Times New Roman" w:hAnsi="Times New Roman"/>
                <w:b/>
                <w:bCs/>
                <w:color w:val="auto"/>
                <w:kern w:val="0"/>
                <w:szCs w:val="20"/>
              </w:rPr>
            </w:pPr>
            <w:r>
              <w:rPr>
                <w:rFonts w:ascii="Times New Roman" w:hAnsi="Times New Roman"/>
                <w:b/>
                <w:bCs/>
                <w:color w:val="auto"/>
                <w:kern w:val="0"/>
                <w:szCs w:val="20"/>
              </w:rPr>
              <w:t>预测结果及评价</w:t>
            </w:r>
          </w:p>
          <w:p>
            <w:pPr>
              <w:adjustRightInd w:val="0"/>
              <w:snapToGrid w:val="0"/>
              <w:spacing w:line="360" w:lineRule="auto"/>
              <w:ind w:firstLine="480"/>
              <w:rPr>
                <w:rFonts w:ascii="Times New Roman" w:hAnsi="宋体"/>
                <w:color w:val="auto"/>
                <w:kern w:val="2"/>
              </w:rPr>
            </w:pPr>
            <w:r>
              <w:rPr>
                <w:rFonts w:ascii="Times New Roman" w:hAnsi="宋体"/>
                <w:color w:val="auto"/>
                <w:kern w:val="2"/>
              </w:rPr>
              <w:t>经过预测，项目建成后，噪声预测结果见表</w:t>
            </w:r>
            <w:r>
              <w:rPr>
                <w:rFonts w:ascii="Times New Roman" w:hAnsi="Times New Roman"/>
                <w:color w:val="auto"/>
                <w:kern w:val="2"/>
              </w:rPr>
              <w:t>7-6</w:t>
            </w:r>
            <w:r>
              <w:rPr>
                <w:rFonts w:ascii="Times New Roman" w:hAnsi="宋体"/>
                <w:color w:val="auto"/>
                <w:kern w:val="2"/>
              </w:rPr>
              <w:t>。</w:t>
            </w:r>
          </w:p>
          <w:p>
            <w:pPr>
              <w:autoSpaceDE w:val="0"/>
              <w:autoSpaceDN w:val="0"/>
              <w:adjustRightInd w:val="0"/>
              <w:snapToGrid w:val="0"/>
              <w:spacing w:line="240" w:lineRule="atLeast"/>
              <w:jc w:val="center"/>
              <w:rPr>
                <w:rFonts w:ascii="Times New Roman" w:hAnsi="宋体"/>
                <w:b/>
                <w:color w:val="auto"/>
                <w:kern w:val="0"/>
                <w:sz w:val="21"/>
                <w:szCs w:val="21"/>
              </w:rPr>
            </w:pPr>
            <w:r>
              <w:rPr>
                <w:rFonts w:ascii="Times New Roman" w:hAnsi="宋体"/>
                <w:b/>
                <w:color w:val="auto"/>
                <w:kern w:val="0"/>
                <w:sz w:val="21"/>
                <w:szCs w:val="21"/>
              </w:rPr>
              <w:t>表7-6   项目</w:t>
            </w:r>
            <w:r>
              <w:rPr>
                <w:rFonts w:hint="eastAsia" w:ascii="Times New Roman" w:hAnsi="宋体"/>
                <w:b/>
                <w:color w:val="auto"/>
                <w:kern w:val="0"/>
                <w:sz w:val="21"/>
                <w:szCs w:val="21"/>
              </w:rPr>
              <w:t>运营期厂界</w:t>
            </w:r>
            <w:r>
              <w:rPr>
                <w:rFonts w:ascii="Times New Roman" w:hAnsi="宋体"/>
                <w:b/>
                <w:color w:val="auto"/>
                <w:kern w:val="0"/>
                <w:sz w:val="21"/>
                <w:szCs w:val="21"/>
              </w:rPr>
              <w:t>噪声预测值</w:t>
            </w:r>
            <w:r>
              <w:rPr>
                <w:rFonts w:hint="eastAsia" w:ascii="Times New Roman" w:hAnsi="宋体"/>
                <w:b/>
                <w:color w:val="auto"/>
                <w:kern w:val="0"/>
                <w:sz w:val="21"/>
                <w:szCs w:val="21"/>
              </w:rPr>
              <w:t>（</w:t>
            </w:r>
            <w:r>
              <w:rPr>
                <w:rFonts w:ascii="Times New Roman" w:hAnsi="宋体"/>
                <w:b/>
                <w:color w:val="auto"/>
                <w:kern w:val="0"/>
                <w:sz w:val="21"/>
                <w:szCs w:val="21"/>
              </w:rPr>
              <w:t>单位：dB(A)</w:t>
            </w:r>
            <w:r>
              <w:rPr>
                <w:rFonts w:hint="eastAsia" w:ascii="Times New Roman" w:hAnsi="宋体"/>
                <w:b/>
                <w:color w:val="auto"/>
                <w:kern w:val="0"/>
                <w:sz w:val="21"/>
                <w:szCs w:val="21"/>
              </w:rPr>
              <w:t>）</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2275"/>
              <w:gridCol w:w="1141"/>
              <w:gridCol w:w="1139"/>
              <w:gridCol w:w="1139"/>
              <w:gridCol w:w="1139"/>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时段</w:t>
                  </w:r>
                </w:p>
              </w:tc>
              <w:tc>
                <w:tcPr>
                  <w:tcW w:w="1249"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预测点</w:t>
                  </w:r>
                  <w:r>
                    <w:rPr>
                      <w:rFonts w:ascii="Times New Roman" w:hAnsi="Times New Roman"/>
                      <w:color w:val="auto"/>
                      <w:kern w:val="0"/>
                      <w:sz w:val="21"/>
                      <w:szCs w:val="21"/>
                    </w:rPr>
                    <w:t>名称</w:t>
                  </w:r>
                </w:p>
              </w:tc>
              <w:tc>
                <w:tcPr>
                  <w:tcW w:w="626"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贡献值</w:t>
                  </w:r>
                </w:p>
              </w:tc>
              <w:tc>
                <w:tcPr>
                  <w:tcW w:w="62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背景值</w:t>
                  </w:r>
                </w:p>
              </w:tc>
              <w:tc>
                <w:tcPr>
                  <w:tcW w:w="62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预测值</w:t>
                  </w:r>
                </w:p>
              </w:tc>
              <w:tc>
                <w:tcPr>
                  <w:tcW w:w="62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标准限</w:t>
                  </w:r>
                  <w:r>
                    <w:rPr>
                      <w:rFonts w:ascii="Times New Roman" w:hAnsi="Times New Roman"/>
                      <w:color w:val="auto"/>
                      <w:kern w:val="0"/>
                      <w:sz w:val="21"/>
                      <w:szCs w:val="21"/>
                    </w:rPr>
                    <w:t>值</w:t>
                  </w:r>
                </w:p>
              </w:tc>
              <w:tc>
                <w:tcPr>
                  <w:tcW w:w="778"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达标</w:t>
                  </w:r>
                  <w:r>
                    <w:rPr>
                      <w:rFonts w:ascii="Times New Roman" w:hAnsi="Times New Roman"/>
                      <w:color w:val="auto"/>
                      <w:kern w:val="0"/>
                      <w:sz w:val="21"/>
                      <w:szCs w:val="21"/>
                    </w:rPr>
                    <w:t>评述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restar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昼间</w:t>
                  </w:r>
                </w:p>
              </w:tc>
              <w:tc>
                <w:tcPr>
                  <w:tcW w:w="1249"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东厂界</w:t>
                  </w:r>
                </w:p>
              </w:tc>
              <w:tc>
                <w:tcPr>
                  <w:tcW w:w="626"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46.03</w:t>
                  </w:r>
                </w:p>
              </w:tc>
              <w:tc>
                <w:tcPr>
                  <w:tcW w:w="625"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58.0</w:t>
                  </w:r>
                </w:p>
              </w:tc>
              <w:tc>
                <w:tcPr>
                  <w:tcW w:w="625"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58.27</w:t>
                  </w:r>
                </w:p>
              </w:tc>
              <w:tc>
                <w:tcPr>
                  <w:tcW w:w="62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60</w:t>
                  </w:r>
                </w:p>
              </w:tc>
              <w:tc>
                <w:tcPr>
                  <w:tcW w:w="778"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2" w:type="pct"/>
                  <w:vMerge w:val="continue"/>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p>
              </w:tc>
              <w:tc>
                <w:tcPr>
                  <w:tcW w:w="1249"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南厂界</w:t>
                  </w:r>
                </w:p>
              </w:tc>
              <w:tc>
                <w:tcPr>
                  <w:tcW w:w="626"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46.67</w:t>
                  </w:r>
                </w:p>
              </w:tc>
              <w:tc>
                <w:tcPr>
                  <w:tcW w:w="625"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57.4</w:t>
                  </w:r>
                </w:p>
              </w:tc>
              <w:tc>
                <w:tcPr>
                  <w:tcW w:w="625"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57.75</w:t>
                  </w:r>
                </w:p>
              </w:tc>
              <w:tc>
                <w:tcPr>
                  <w:tcW w:w="62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60</w:t>
                  </w:r>
                </w:p>
              </w:tc>
              <w:tc>
                <w:tcPr>
                  <w:tcW w:w="778"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p>
              </w:tc>
              <w:tc>
                <w:tcPr>
                  <w:tcW w:w="1249"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北厂界</w:t>
                  </w:r>
                </w:p>
              </w:tc>
              <w:tc>
                <w:tcPr>
                  <w:tcW w:w="626"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46.91</w:t>
                  </w:r>
                </w:p>
              </w:tc>
              <w:tc>
                <w:tcPr>
                  <w:tcW w:w="625"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58.0</w:t>
                  </w:r>
                </w:p>
              </w:tc>
              <w:tc>
                <w:tcPr>
                  <w:tcW w:w="625"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58.33</w:t>
                  </w:r>
                </w:p>
              </w:tc>
              <w:tc>
                <w:tcPr>
                  <w:tcW w:w="62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70</w:t>
                  </w:r>
                </w:p>
              </w:tc>
              <w:tc>
                <w:tcPr>
                  <w:tcW w:w="778"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p>
              </w:tc>
              <w:tc>
                <w:tcPr>
                  <w:tcW w:w="1249"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西厂界</w:t>
                  </w:r>
                </w:p>
              </w:tc>
              <w:tc>
                <w:tcPr>
                  <w:tcW w:w="626"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54.15</w:t>
                  </w:r>
                </w:p>
              </w:tc>
              <w:tc>
                <w:tcPr>
                  <w:tcW w:w="62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56.5</w:t>
                  </w:r>
                </w:p>
              </w:tc>
              <w:tc>
                <w:tcPr>
                  <w:tcW w:w="62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58.49</w:t>
                  </w:r>
                </w:p>
              </w:tc>
              <w:tc>
                <w:tcPr>
                  <w:tcW w:w="62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7</w:t>
                  </w:r>
                  <w:r>
                    <w:rPr>
                      <w:rFonts w:ascii="Times New Roman" w:hAnsi="Times New Roman"/>
                      <w:color w:val="auto"/>
                      <w:kern w:val="0"/>
                      <w:sz w:val="21"/>
                      <w:szCs w:val="21"/>
                    </w:rPr>
                    <w:t>0</w:t>
                  </w:r>
                </w:p>
              </w:tc>
              <w:tc>
                <w:tcPr>
                  <w:tcW w:w="778"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2" w:type="pct"/>
                  <w:vMerge w:val="restar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夜间</w:t>
                  </w:r>
                </w:p>
              </w:tc>
              <w:tc>
                <w:tcPr>
                  <w:tcW w:w="1249"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东厂界</w:t>
                  </w:r>
                </w:p>
              </w:tc>
              <w:tc>
                <w:tcPr>
                  <w:tcW w:w="626"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46.03</w:t>
                  </w:r>
                </w:p>
              </w:tc>
              <w:tc>
                <w:tcPr>
                  <w:tcW w:w="625"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47.6</w:t>
                  </w:r>
                </w:p>
              </w:tc>
              <w:tc>
                <w:tcPr>
                  <w:tcW w:w="625"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49.90</w:t>
                  </w:r>
                </w:p>
              </w:tc>
              <w:tc>
                <w:tcPr>
                  <w:tcW w:w="62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5</w:t>
                  </w:r>
                  <w:r>
                    <w:rPr>
                      <w:rFonts w:ascii="Times New Roman" w:hAnsi="Times New Roman"/>
                      <w:color w:val="auto"/>
                      <w:kern w:val="0"/>
                      <w:sz w:val="21"/>
                      <w:szCs w:val="21"/>
                    </w:rPr>
                    <w:t>0</w:t>
                  </w:r>
                </w:p>
              </w:tc>
              <w:tc>
                <w:tcPr>
                  <w:tcW w:w="778"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p>
              </w:tc>
              <w:tc>
                <w:tcPr>
                  <w:tcW w:w="1249"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南厂界</w:t>
                  </w:r>
                </w:p>
              </w:tc>
              <w:tc>
                <w:tcPr>
                  <w:tcW w:w="626"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46.67</w:t>
                  </w:r>
                </w:p>
              </w:tc>
              <w:tc>
                <w:tcPr>
                  <w:tcW w:w="625"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46.4</w:t>
                  </w:r>
                </w:p>
              </w:tc>
              <w:tc>
                <w:tcPr>
                  <w:tcW w:w="625"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49.55</w:t>
                  </w:r>
                </w:p>
              </w:tc>
              <w:tc>
                <w:tcPr>
                  <w:tcW w:w="62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5</w:t>
                  </w:r>
                  <w:r>
                    <w:rPr>
                      <w:rFonts w:ascii="Times New Roman" w:hAnsi="Times New Roman"/>
                      <w:color w:val="auto"/>
                      <w:kern w:val="0"/>
                      <w:sz w:val="21"/>
                      <w:szCs w:val="21"/>
                    </w:rPr>
                    <w:t>0</w:t>
                  </w:r>
                </w:p>
              </w:tc>
              <w:tc>
                <w:tcPr>
                  <w:tcW w:w="778"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p>
              </w:tc>
              <w:tc>
                <w:tcPr>
                  <w:tcW w:w="1249"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北厂界</w:t>
                  </w:r>
                </w:p>
              </w:tc>
              <w:tc>
                <w:tcPr>
                  <w:tcW w:w="626"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46.91</w:t>
                  </w:r>
                </w:p>
              </w:tc>
              <w:tc>
                <w:tcPr>
                  <w:tcW w:w="625"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46.4</w:t>
                  </w:r>
                </w:p>
              </w:tc>
              <w:tc>
                <w:tcPr>
                  <w:tcW w:w="625"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49.67</w:t>
                  </w:r>
                </w:p>
              </w:tc>
              <w:tc>
                <w:tcPr>
                  <w:tcW w:w="62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5</w:t>
                  </w:r>
                  <w:r>
                    <w:rPr>
                      <w:rFonts w:ascii="Times New Roman" w:hAnsi="Times New Roman"/>
                      <w:color w:val="auto"/>
                      <w:kern w:val="0"/>
                      <w:sz w:val="21"/>
                      <w:szCs w:val="21"/>
                    </w:rPr>
                    <w:t>5</w:t>
                  </w:r>
                </w:p>
              </w:tc>
              <w:tc>
                <w:tcPr>
                  <w:tcW w:w="778"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2" w:type="pct"/>
                  <w:vMerge w:val="continue"/>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p>
              </w:tc>
              <w:tc>
                <w:tcPr>
                  <w:tcW w:w="1249"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西厂界</w:t>
                  </w:r>
                </w:p>
              </w:tc>
              <w:tc>
                <w:tcPr>
                  <w:tcW w:w="626"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54.15</w:t>
                  </w:r>
                </w:p>
              </w:tc>
              <w:tc>
                <w:tcPr>
                  <w:tcW w:w="625"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46.3</w:t>
                  </w:r>
                </w:p>
              </w:tc>
              <w:tc>
                <w:tcPr>
                  <w:tcW w:w="625"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54.81</w:t>
                  </w:r>
                </w:p>
              </w:tc>
              <w:tc>
                <w:tcPr>
                  <w:tcW w:w="62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5</w:t>
                  </w:r>
                  <w:r>
                    <w:rPr>
                      <w:rFonts w:ascii="Times New Roman" w:hAnsi="Times New Roman"/>
                      <w:color w:val="auto"/>
                      <w:kern w:val="0"/>
                      <w:sz w:val="21"/>
                      <w:szCs w:val="21"/>
                    </w:rPr>
                    <w:t>5</w:t>
                  </w:r>
                </w:p>
              </w:tc>
              <w:tc>
                <w:tcPr>
                  <w:tcW w:w="778"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达标</w:t>
                  </w:r>
                </w:p>
              </w:tc>
            </w:tr>
          </w:tbl>
          <w:p>
            <w:pPr>
              <w:adjustRightInd w:val="0"/>
              <w:snapToGrid w:val="0"/>
              <w:spacing w:before="163" w:beforeLines="50" w:line="360" w:lineRule="auto"/>
              <w:ind w:firstLine="480" w:firstLineChars="200"/>
              <w:rPr>
                <w:rFonts w:ascii="Times New Roman" w:hAnsi="宋体"/>
                <w:bCs/>
                <w:color w:val="auto"/>
                <w:kern w:val="2"/>
              </w:rPr>
            </w:pPr>
            <w:r>
              <w:rPr>
                <w:rFonts w:hint="eastAsia" w:ascii="Times New Roman" w:hAnsi="宋体"/>
                <w:color w:val="auto"/>
                <w:kern w:val="2"/>
              </w:rPr>
              <w:t>根据</w:t>
            </w:r>
            <w:r>
              <w:rPr>
                <w:rFonts w:ascii="Times New Roman" w:hAnsi="宋体"/>
                <w:color w:val="auto"/>
                <w:kern w:val="2"/>
              </w:rPr>
              <w:t>预测结果</w:t>
            </w:r>
            <w:r>
              <w:rPr>
                <w:rFonts w:hint="eastAsia" w:ascii="Times New Roman" w:hAnsi="宋体"/>
                <w:color w:val="auto"/>
                <w:kern w:val="2"/>
              </w:rPr>
              <w:t>，</w:t>
            </w:r>
            <w:r>
              <w:rPr>
                <w:rFonts w:ascii="Times New Roman" w:hAnsi="宋体"/>
                <w:color w:val="auto"/>
                <w:kern w:val="2"/>
              </w:rPr>
              <w:t>建设项目</w:t>
            </w:r>
            <w:r>
              <w:rPr>
                <w:rFonts w:hint="eastAsia" w:ascii="Times New Roman" w:hAnsi="宋体"/>
                <w:color w:val="auto"/>
                <w:kern w:val="2"/>
              </w:rPr>
              <w:t>东、南</w:t>
            </w:r>
            <w:r>
              <w:rPr>
                <w:rFonts w:ascii="Times New Roman" w:hAnsi="宋体"/>
                <w:color w:val="auto"/>
                <w:kern w:val="2"/>
              </w:rPr>
              <w:t>厂界噪声</w:t>
            </w:r>
            <w:r>
              <w:rPr>
                <w:rFonts w:hint="eastAsia" w:ascii="Times New Roman" w:hAnsi="宋体"/>
                <w:color w:val="auto"/>
                <w:kern w:val="2"/>
              </w:rPr>
              <w:t>预测值</w:t>
            </w:r>
            <w:r>
              <w:rPr>
                <w:rFonts w:ascii="Times New Roman" w:hAnsi="宋体"/>
                <w:color w:val="auto"/>
                <w:kern w:val="2"/>
              </w:rPr>
              <w:t>均满足</w:t>
            </w:r>
            <w:r>
              <w:rPr>
                <w:rFonts w:ascii="Times New Roman" w:hAnsi="Times New Roman"/>
                <w:bCs/>
                <w:color w:val="auto"/>
                <w:kern w:val="2"/>
              </w:rPr>
              <w:t>GB12348-2008</w:t>
            </w:r>
            <w:r>
              <w:rPr>
                <w:rFonts w:ascii="Times New Roman" w:hAnsi="宋体"/>
                <w:bCs/>
                <w:color w:val="auto"/>
                <w:kern w:val="2"/>
              </w:rPr>
              <w:t>《工业企业厂界环境噪声排放标准》</w:t>
            </w:r>
            <w:r>
              <w:rPr>
                <w:rFonts w:ascii="Times New Roman" w:hAnsi="Times New Roman"/>
                <w:bCs/>
                <w:color w:val="auto"/>
                <w:kern w:val="2"/>
              </w:rPr>
              <w:t>2</w:t>
            </w:r>
            <w:r>
              <w:rPr>
                <w:rFonts w:ascii="Times New Roman" w:hAnsi="宋体"/>
                <w:bCs/>
                <w:color w:val="auto"/>
                <w:kern w:val="2"/>
              </w:rPr>
              <w:t>类标准</w:t>
            </w:r>
            <w:r>
              <w:rPr>
                <w:rFonts w:hint="eastAsia" w:ascii="Times New Roman" w:hAnsi="宋体"/>
                <w:bCs/>
                <w:color w:val="auto"/>
                <w:kern w:val="2"/>
              </w:rPr>
              <w:t>要求；</w:t>
            </w:r>
            <w:r>
              <w:rPr>
                <w:rFonts w:ascii="Times New Roman" w:hAnsi="宋体"/>
                <w:color w:val="auto"/>
                <w:kern w:val="2"/>
              </w:rPr>
              <w:t>建设项目</w:t>
            </w:r>
            <w:r>
              <w:rPr>
                <w:rFonts w:hint="eastAsia" w:ascii="Times New Roman" w:hAnsi="宋体"/>
                <w:color w:val="auto"/>
                <w:kern w:val="2"/>
              </w:rPr>
              <w:t>北、西</w:t>
            </w:r>
            <w:r>
              <w:rPr>
                <w:rFonts w:ascii="Times New Roman" w:hAnsi="宋体"/>
                <w:color w:val="auto"/>
                <w:kern w:val="2"/>
              </w:rPr>
              <w:t>厂界噪声</w:t>
            </w:r>
            <w:r>
              <w:rPr>
                <w:rFonts w:hint="eastAsia" w:ascii="Times New Roman" w:hAnsi="宋体"/>
                <w:color w:val="auto"/>
                <w:kern w:val="2"/>
              </w:rPr>
              <w:t>预测值均</w:t>
            </w:r>
            <w:r>
              <w:rPr>
                <w:rFonts w:ascii="Times New Roman" w:hAnsi="宋体"/>
                <w:color w:val="auto"/>
                <w:kern w:val="2"/>
              </w:rPr>
              <w:t>满足</w:t>
            </w:r>
            <w:r>
              <w:rPr>
                <w:rFonts w:ascii="Times New Roman" w:hAnsi="Times New Roman"/>
                <w:bCs/>
                <w:color w:val="auto"/>
                <w:kern w:val="2"/>
              </w:rPr>
              <w:t>GB12348-2008</w:t>
            </w:r>
            <w:r>
              <w:rPr>
                <w:rFonts w:ascii="Times New Roman" w:hAnsi="宋体"/>
                <w:bCs/>
                <w:color w:val="auto"/>
                <w:kern w:val="2"/>
              </w:rPr>
              <w:t>《工业企业厂界环境噪声排放标准》</w:t>
            </w:r>
            <w:r>
              <w:rPr>
                <w:rFonts w:ascii="Times New Roman" w:hAnsi="Times New Roman"/>
                <w:bCs/>
                <w:color w:val="auto"/>
                <w:kern w:val="2"/>
              </w:rPr>
              <w:t>4a</w:t>
            </w:r>
            <w:r>
              <w:rPr>
                <w:rFonts w:ascii="Times New Roman" w:hAnsi="宋体"/>
                <w:bCs/>
                <w:color w:val="auto"/>
                <w:kern w:val="2"/>
              </w:rPr>
              <w:t>类标准</w:t>
            </w:r>
            <w:r>
              <w:rPr>
                <w:rFonts w:hint="eastAsia" w:ascii="Times New Roman" w:hAnsi="宋体"/>
                <w:bCs/>
                <w:color w:val="auto"/>
                <w:kern w:val="2"/>
              </w:rPr>
              <w:t>要求。</w:t>
            </w:r>
          </w:p>
          <w:p>
            <w:pPr>
              <w:autoSpaceDE w:val="0"/>
              <w:autoSpaceDN w:val="0"/>
              <w:adjustRightInd w:val="0"/>
              <w:snapToGrid w:val="0"/>
              <w:spacing w:line="240" w:lineRule="atLeast"/>
              <w:jc w:val="center"/>
              <w:rPr>
                <w:rFonts w:ascii="Times New Roman" w:hAnsi="宋体"/>
                <w:b/>
                <w:color w:val="auto"/>
                <w:kern w:val="0"/>
                <w:sz w:val="21"/>
                <w:szCs w:val="21"/>
              </w:rPr>
            </w:pPr>
            <w:r>
              <w:rPr>
                <w:rFonts w:ascii="Times New Roman" w:hAnsi="宋体"/>
                <w:b/>
                <w:color w:val="auto"/>
                <w:kern w:val="0"/>
                <w:sz w:val="21"/>
                <w:szCs w:val="21"/>
              </w:rPr>
              <w:t>表7-7   项目</w:t>
            </w:r>
            <w:r>
              <w:rPr>
                <w:rFonts w:hint="eastAsia" w:ascii="Times New Roman" w:hAnsi="宋体"/>
                <w:b/>
                <w:color w:val="auto"/>
                <w:kern w:val="0"/>
                <w:sz w:val="21"/>
                <w:szCs w:val="21"/>
              </w:rPr>
              <w:t>运营期敏感点处</w:t>
            </w:r>
            <w:r>
              <w:rPr>
                <w:rFonts w:ascii="Times New Roman" w:hAnsi="宋体"/>
                <w:b/>
                <w:color w:val="auto"/>
                <w:kern w:val="0"/>
                <w:sz w:val="21"/>
                <w:szCs w:val="21"/>
              </w:rPr>
              <w:t>噪声预测值</w:t>
            </w:r>
            <w:r>
              <w:rPr>
                <w:rFonts w:hint="eastAsia" w:ascii="Times New Roman" w:hAnsi="宋体"/>
                <w:b/>
                <w:color w:val="auto"/>
                <w:kern w:val="0"/>
                <w:sz w:val="21"/>
                <w:szCs w:val="21"/>
              </w:rPr>
              <w:t>（</w:t>
            </w:r>
            <w:r>
              <w:rPr>
                <w:rFonts w:ascii="Times New Roman" w:hAnsi="宋体"/>
                <w:b/>
                <w:color w:val="auto"/>
                <w:kern w:val="0"/>
                <w:sz w:val="21"/>
                <w:szCs w:val="21"/>
              </w:rPr>
              <w:t>单位：dB(A)</w:t>
            </w:r>
            <w:r>
              <w:rPr>
                <w:rFonts w:hint="eastAsia" w:ascii="Times New Roman" w:hAnsi="宋体"/>
                <w:b/>
                <w:color w:val="auto"/>
                <w:kern w:val="0"/>
                <w:sz w:val="21"/>
                <w:szCs w:val="21"/>
              </w:rPr>
              <w:t>）</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884"/>
              <w:gridCol w:w="1177"/>
              <w:gridCol w:w="1177"/>
              <w:gridCol w:w="1177"/>
              <w:gridCol w:w="1469"/>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6"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预测点</w:t>
                  </w:r>
                  <w:r>
                    <w:rPr>
                      <w:rFonts w:ascii="Times New Roman" w:hAnsi="Times New Roman"/>
                      <w:color w:val="auto"/>
                      <w:kern w:val="0"/>
                      <w:sz w:val="21"/>
                      <w:szCs w:val="21"/>
                    </w:rPr>
                    <w:t>名称</w:t>
                  </w:r>
                </w:p>
              </w:tc>
              <w:tc>
                <w:tcPr>
                  <w:tcW w:w="48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时段</w:t>
                  </w:r>
                </w:p>
              </w:tc>
              <w:tc>
                <w:tcPr>
                  <w:tcW w:w="646"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贡献值</w:t>
                  </w:r>
                </w:p>
              </w:tc>
              <w:tc>
                <w:tcPr>
                  <w:tcW w:w="646"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背景值</w:t>
                  </w:r>
                </w:p>
              </w:tc>
              <w:tc>
                <w:tcPr>
                  <w:tcW w:w="646"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预测值</w:t>
                  </w:r>
                </w:p>
              </w:tc>
              <w:tc>
                <w:tcPr>
                  <w:tcW w:w="806"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标准限</w:t>
                  </w:r>
                  <w:r>
                    <w:rPr>
                      <w:rFonts w:ascii="Times New Roman" w:hAnsi="Times New Roman"/>
                      <w:color w:val="auto"/>
                      <w:kern w:val="0"/>
                      <w:sz w:val="21"/>
                      <w:szCs w:val="21"/>
                    </w:rPr>
                    <w:t>值</w:t>
                  </w:r>
                </w:p>
              </w:tc>
              <w:tc>
                <w:tcPr>
                  <w:tcW w:w="80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达标</w:t>
                  </w:r>
                  <w:r>
                    <w:rPr>
                      <w:rFonts w:ascii="Times New Roman" w:hAnsi="Times New Roman"/>
                      <w:color w:val="auto"/>
                      <w:kern w:val="0"/>
                      <w:sz w:val="21"/>
                      <w:szCs w:val="21"/>
                    </w:rPr>
                    <w:t>评述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6" w:type="pct"/>
                  <w:vMerge w:val="restar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小唐营散户</w:t>
                  </w:r>
                </w:p>
              </w:tc>
              <w:tc>
                <w:tcPr>
                  <w:tcW w:w="48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昼间</w:t>
                  </w:r>
                </w:p>
              </w:tc>
              <w:tc>
                <w:tcPr>
                  <w:tcW w:w="646"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38.23</w:t>
                  </w:r>
                </w:p>
              </w:tc>
              <w:tc>
                <w:tcPr>
                  <w:tcW w:w="646"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67.2</w:t>
                  </w:r>
                </w:p>
              </w:tc>
              <w:tc>
                <w:tcPr>
                  <w:tcW w:w="646"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67.21</w:t>
                  </w:r>
                </w:p>
              </w:tc>
              <w:tc>
                <w:tcPr>
                  <w:tcW w:w="806"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70</w:t>
                  </w:r>
                </w:p>
              </w:tc>
              <w:tc>
                <w:tcPr>
                  <w:tcW w:w="80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6" w:type="pct"/>
                  <w:vMerge w:val="continue"/>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p>
              </w:tc>
              <w:tc>
                <w:tcPr>
                  <w:tcW w:w="48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夜间</w:t>
                  </w:r>
                </w:p>
              </w:tc>
              <w:tc>
                <w:tcPr>
                  <w:tcW w:w="646"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38.23</w:t>
                  </w:r>
                </w:p>
              </w:tc>
              <w:tc>
                <w:tcPr>
                  <w:tcW w:w="646"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48.1</w:t>
                  </w:r>
                </w:p>
              </w:tc>
              <w:tc>
                <w:tcPr>
                  <w:tcW w:w="646" w:type="pct"/>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ascii="Times New Roman" w:hAnsi="Times New Roman"/>
                      <w:color w:val="auto"/>
                      <w:kern w:val="0"/>
                      <w:sz w:val="21"/>
                      <w:szCs w:val="21"/>
                    </w:rPr>
                    <w:t>48.53</w:t>
                  </w:r>
                </w:p>
              </w:tc>
              <w:tc>
                <w:tcPr>
                  <w:tcW w:w="806"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5</w:t>
                  </w:r>
                  <w:r>
                    <w:rPr>
                      <w:rFonts w:ascii="Times New Roman" w:hAnsi="Times New Roman"/>
                      <w:color w:val="auto"/>
                      <w:kern w:val="0"/>
                      <w:sz w:val="21"/>
                      <w:szCs w:val="21"/>
                    </w:rPr>
                    <w:t>5</w:t>
                  </w:r>
                </w:p>
              </w:tc>
              <w:tc>
                <w:tcPr>
                  <w:tcW w:w="805" w:type="pct"/>
                  <w:vAlign w:val="center"/>
                </w:tcPr>
                <w:p>
                  <w:pPr>
                    <w:widowControl/>
                    <w:autoSpaceDE w:val="0"/>
                    <w:autoSpaceDN w:val="0"/>
                    <w:adjustRightInd w:val="0"/>
                    <w:snapToGrid w:val="0"/>
                    <w:spacing w:line="276"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达标</w:t>
                  </w:r>
                </w:p>
              </w:tc>
            </w:tr>
          </w:tbl>
          <w:p>
            <w:pPr>
              <w:adjustRightInd w:val="0"/>
              <w:snapToGrid w:val="0"/>
              <w:spacing w:before="163" w:beforeLines="50" w:line="360" w:lineRule="auto"/>
              <w:ind w:firstLine="480" w:firstLineChars="200"/>
              <w:rPr>
                <w:rFonts w:ascii="Times New Roman" w:hAnsi="宋体"/>
                <w:color w:val="auto"/>
                <w:kern w:val="2"/>
              </w:rPr>
            </w:pPr>
            <w:r>
              <w:rPr>
                <w:rFonts w:hint="eastAsia" w:ascii="Times New Roman" w:hAnsi="宋体"/>
                <w:color w:val="auto"/>
                <w:kern w:val="2"/>
              </w:rPr>
              <w:t>根据</w:t>
            </w:r>
            <w:r>
              <w:rPr>
                <w:rFonts w:ascii="Times New Roman" w:hAnsi="宋体"/>
                <w:color w:val="auto"/>
                <w:kern w:val="2"/>
              </w:rPr>
              <w:t>预测结果</w:t>
            </w:r>
            <w:r>
              <w:rPr>
                <w:rFonts w:hint="eastAsia" w:ascii="Times New Roman" w:hAnsi="宋体"/>
                <w:color w:val="auto"/>
                <w:kern w:val="2"/>
              </w:rPr>
              <w:t>，</w:t>
            </w:r>
            <w:r>
              <w:rPr>
                <w:rFonts w:ascii="Times New Roman" w:hAnsi="宋体"/>
                <w:color w:val="auto"/>
                <w:kern w:val="2"/>
              </w:rPr>
              <w:t>建设项目</w:t>
            </w:r>
            <w:r>
              <w:rPr>
                <w:rFonts w:hint="eastAsia" w:ascii="Times New Roman" w:hAnsi="宋体"/>
                <w:color w:val="auto"/>
                <w:kern w:val="2"/>
              </w:rPr>
              <w:t>西南侧的噪声敏感点小唐营散户处的</w:t>
            </w:r>
            <w:r>
              <w:rPr>
                <w:rFonts w:ascii="Times New Roman" w:hAnsi="宋体"/>
                <w:color w:val="auto"/>
                <w:kern w:val="2"/>
              </w:rPr>
              <w:t>噪声</w:t>
            </w:r>
            <w:r>
              <w:rPr>
                <w:rFonts w:hint="eastAsia" w:ascii="Times New Roman" w:hAnsi="宋体"/>
                <w:color w:val="auto"/>
                <w:kern w:val="2"/>
              </w:rPr>
              <w:t>预测值</w:t>
            </w:r>
            <w:r>
              <w:rPr>
                <w:rFonts w:ascii="Times New Roman" w:hAnsi="宋体"/>
                <w:color w:val="auto"/>
                <w:kern w:val="2"/>
              </w:rPr>
              <w:t>均满足《声环境质量标准》（GB3096-2008）4a类标准</w:t>
            </w:r>
            <w:r>
              <w:rPr>
                <w:rFonts w:hint="eastAsia" w:ascii="Times New Roman" w:hAnsi="宋体"/>
                <w:color w:val="auto"/>
                <w:kern w:val="2"/>
              </w:rPr>
              <w:t>要求。</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通过</w:t>
            </w:r>
            <w:r>
              <w:rPr>
                <w:rFonts w:ascii="Times New Roman" w:hAnsi="Times New Roman"/>
                <w:color w:val="auto"/>
              </w:rPr>
              <w:t>本评价预测</w:t>
            </w:r>
            <w:r>
              <w:rPr>
                <w:rFonts w:hint="eastAsia" w:ascii="Times New Roman" w:hAnsi="Times New Roman"/>
                <w:color w:val="auto"/>
              </w:rPr>
              <w:t>得出，</w:t>
            </w:r>
            <w:r>
              <w:rPr>
                <w:rFonts w:ascii="Times New Roman" w:hAnsi="Times New Roman"/>
                <w:color w:val="auto"/>
              </w:rPr>
              <w:t>项厂界噪声达标</w:t>
            </w:r>
            <w:r>
              <w:rPr>
                <w:rFonts w:ascii="Times New Roman" w:hAnsi="Times New Roman"/>
                <w:color w:val="auto"/>
              </w:rPr>
              <w:t>。经过厂房隔声、</w:t>
            </w:r>
            <w:r>
              <w:rPr>
                <w:rFonts w:hint="eastAsia" w:ascii="Times New Roman" w:hAnsi="Times New Roman"/>
                <w:color w:val="auto"/>
              </w:rPr>
              <w:t>加装消声器、</w:t>
            </w:r>
            <w:r>
              <w:rPr>
                <w:rFonts w:ascii="Times New Roman" w:hAnsi="Times New Roman"/>
                <w:color w:val="auto"/>
              </w:rPr>
              <w:t>距离衰减，项目的噪声</w:t>
            </w:r>
            <w:r>
              <w:rPr>
                <w:rFonts w:hint="eastAsia" w:ascii="Times New Roman" w:hAnsi="宋体"/>
                <w:bCs/>
                <w:color w:val="auto"/>
                <w:kern w:val="2"/>
              </w:rPr>
              <w:t>对周围声环境的影响可以接受</w:t>
            </w:r>
            <w:r>
              <w:rPr>
                <w:rFonts w:ascii="Times New Roman" w:hAnsi="宋体"/>
                <w:bCs/>
                <w:color w:val="auto"/>
                <w:kern w:val="2"/>
              </w:rPr>
              <w:t>。</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项目运营期噪声防治应采取以下措施，尽可能减小噪声对环境的影响。</w:t>
            </w:r>
          </w:p>
          <w:p>
            <w:pPr>
              <w:adjustRightInd w:val="0"/>
              <w:snapToGrid w:val="0"/>
              <w:spacing w:line="360" w:lineRule="auto"/>
              <w:ind w:firstLine="480" w:firstLineChars="200"/>
              <w:rPr>
                <w:rFonts w:ascii="宋体" w:hAnsi="宋体" w:cs="宋体"/>
                <w:color w:val="auto"/>
              </w:rPr>
            </w:pPr>
            <w:r>
              <w:rPr>
                <w:rFonts w:hint="eastAsia" w:ascii="宋体" w:hAnsi="宋体" w:cs="宋体"/>
                <w:color w:val="auto"/>
              </w:rPr>
              <w:t>①</w:t>
            </w:r>
            <w:r>
              <w:rPr>
                <w:rFonts w:hint="eastAsia"/>
                <w:color w:val="auto"/>
              </w:rPr>
              <w:t>鼓风机尽量</w:t>
            </w:r>
            <w:r>
              <w:rPr>
                <w:rFonts w:hint="eastAsia" w:ascii="宋体" w:hAnsi="宋体" w:cs="宋体"/>
                <w:color w:val="auto"/>
              </w:rPr>
              <w:t>选用低噪声设备。</w:t>
            </w:r>
          </w:p>
          <w:p>
            <w:pPr>
              <w:pStyle w:val="37"/>
              <w:adjustRightInd w:val="0"/>
              <w:snapToGrid w:val="0"/>
              <w:spacing w:line="360" w:lineRule="auto"/>
              <w:ind w:firstLine="480"/>
              <w:rPr>
                <w:color w:val="auto"/>
              </w:rPr>
            </w:pPr>
            <w:r>
              <w:rPr>
                <w:rFonts w:hint="eastAsia"/>
                <w:color w:val="auto"/>
              </w:rPr>
              <w:t>②鼓风机布置于室内，进出气口安装消声器。</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③</w:t>
            </w:r>
            <w:r>
              <w:rPr>
                <w:rFonts w:ascii="Times New Roman" w:hAnsi="Times New Roman"/>
                <w:color w:val="auto"/>
              </w:rPr>
              <w:t>定期检查</w:t>
            </w:r>
            <w:r>
              <w:rPr>
                <w:rFonts w:hint="eastAsia" w:ascii="Times New Roman" w:hAnsi="Times New Roman"/>
                <w:color w:val="auto"/>
              </w:rPr>
              <w:t>鼓风机和消声器</w:t>
            </w:r>
            <w:r>
              <w:rPr>
                <w:rFonts w:ascii="Times New Roman" w:hAnsi="Times New Roman"/>
                <w:color w:val="auto"/>
              </w:rPr>
              <w:t>，</w:t>
            </w:r>
            <w:r>
              <w:rPr>
                <w:rFonts w:hint="eastAsia" w:ascii="Times New Roman" w:hAnsi="Times New Roman"/>
                <w:color w:val="auto"/>
              </w:rPr>
              <w:t>保证其正常运行。</w:t>
            </w:r>
          </w:p>
          <w:p>
            <w:pPr>
              <w:adjustRightInd w:val="0"/>
              <w:snapToGrid w:val="0"/>
              <w:spacing w:line="360" w:lineRule="auto"/>
              <w:rPr>
                <w:rFonts w:ascii="Times New Roman" w:hAnsi="Times New Roman"/>
                <w:b/>
                <w:bCs/>
                <w:color w:val="auto"/>
                <w:szCs w:val="22"/>
              </w:rPr>
            </w:pPr>
            <w:r>
              <w:rPr>
                <w:rFonts w:ascii="Times New Roman" w:hAnsi="Times New Roman"/>
                <w:b/>
                <w:bCs/>
                <w:color w:val="auto"/>
                <w:szCs w:val="22"/>
              </w:rPr>
              <w:t>4、固废</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项目产生的固废主要为</w:t>
            </w:r>
            <w:r>
              <w:rPr>
                <w:rFonts w:hint="eastAsia" w:ascii="Times New Roman" w:hAnsi="Times New Roman"/>
                <w:color w:val="auto"/>
                <w:kern w:val="0"/>
              </w:rPr>
              <w:t>生物质</w:t>
            </w:r>
            <w:r>
              <w:rPr>
                <w:rFonts w:ascii="Times New Roman" w:hAnsi="Times New Roman"/>
                <w:color w:val="auto"/>
                <w:kern w:val="0"/>
              </w:rPr>
              <w:t>锅炉</w:t>
            </w:r>
            <w:r>
              <w:rPr>
                <w:rFonts w:hint="eastAsia" w:ascii="Times New Roman" w:hAnsi="Times New Roman"/>
                <w:color w:val="auto"/>
                <w:kern w:val="0"/>
              </w:rPr>
              <w:t>炉渣、除尘灰</w:t>
            </w:r>
            <w:r>
              <w:rPr>
                <w:rFonts w:ascii="Times New Roman" w:hAnsi="Times New Roman"/>
                <w:color w:val="auto"/>
              </w:rPr>
              <w:t>及废离子交换树脂。</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技改项目使用的</w:t>
            </w:r>
            <w:r>
              <w:rPr>
                <w:rFonts w:ascii="Times New Roman" w:hAnsi="Times New Roman"/>
                <w:color w:val="auto"/>
              </w:rPr>
              <w:t>生物质</w:t>
            </w:r>
            <w:r>
              <w:rPr>
                <w:rFonts w:hint="eastAsia" w:ascii="Times New Roman" w:hAnsi="Times New Roman"/>
                <w:color w:val="auto"/>
              </w:rPr>
              <w:t>成型</w:t>
            </w:r>
            <w:r>
              <w:rPr>
                <w:rFonts w:ascii="Times New Roman" w:hAnsi="Times New Roman"/>
                <w:color w:val="auto"/>
              </w:rPr>
              <w:t>燃料</w:t>
            </w:r>
            <w:r>
              <w:rPr>
                <w:rFonts w:hint="eastAsia" w:ascii="Times New Roman" w:hAnsi="Times New Roman"/>
                <w:color w:val="auto"/>
              </w:rPr>
              <w:t>为</w:t>
            </w:r>
            <w:r>
              <w:rPr>
                <w:rFonts w:ascii="Times New Roman" w:hAnsi="Times New Roman"/>
                <w:color w:val="auto"/>
              </w:rPr>
              <w:t>玉米杆、高粱杆等农作物干燥后压块制成</w:t>
            </w:r>
            <w:r>
              <w:rPr>
                <w:rFonts w:ascii="Times New Roman" w:hAnsi="Times New Roman"/>
                <w:color w:val="auto"/>
              </w:rPr>
              <w:t>，</w:t>
            </w:r>
            <w:r>
              <w:rPr>
                <w:rFonts w:hint="eastAsia" w:ascii="Times New Roman" w:hAnsi="Times New Roman"/>
                <w:color w:val="auto"/>
              </w:rPr>
              <w:t>基本不含有汞等有害物质，燃烧产生的颗粒物和炉渣也不含有有害物质，属于</w:t>
            </w:r>
            <w:r>
              <w:rPr>
                <w:rFonts w:ascii="Times New Roman" w:hAnsi="Times New Roman"/>
                <w:color w:val="auto"/>
              </w:rPr>
              <w:t>一般工业固废</w:t>
            </w:r>
            <w:r>
              <w:rPr>
                <w:rFonts w:hint="eastAsia" w:ascii="Times New Roman" w:hAnsi="Times New Roman"/>
                <w:color w:val="auto"/>
              </w:rPr>
              <w:t>。</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炉渣的</w:t>
            </w:r>
            <w:r>
              <w:rPr>
                <w:rFonts w:hint="eastAsia" w:ascii="Times New Roman" w:hAnsi="Times New Roman"/>
                <w:color w:val="auto"/>
              </w:rPr>
              <w:t>主要成分为</w:t>
            </w:r>
            <w:r>
              <w:rPr>
                <w:rFonts w:ascii="Times New Roman" w:hAnsi="Times New Roman"/>
                <w:color w:val="auto"/>
              </w:rPr>
              <w:t>草木灰，</w:t>
            </w:r>
            <w:r>
              <w:rPr>
                <w:rFonts w:hint="eastAsia" w:ascii="Times New Roman" w:hAnsi="Times New Roman"/>
                <w:color w:val="auto"/>
              </w:rPr>
              <w:t>属于</w:t>
            </w:r>
            <w:r>
              <w:rPr>
                <w:rFonts w:ascii="Times New Roman" w:hAnsi="Times New Roman"/>
                <w:color w:val="auto"/>
              </w:rPr>
              <w:t>传统的农田肥料</w:t>
            </w:r>
            <w:r>
              <w:rPr>
                <w:rFonts w:ascii="Times New Roman" w:hAnsi="Times New Roman"/>
                <w:color w:val="auto"/>
              </w:rPr>
              <w:t>，</w:t>
            </w:r>
            <w:r>
              <w:rPr>
                <w:rFonts w:hint="eastAsia" w:ascii="Times New Roman" w:hAnsi="Times New Roman"/>
                <w:color w:val="auto"/>
              </w:rPr>
              <w:t>统一</w:t>
            </w:r>
            <w:r>
              <w:rPr>
                <w:rFonts w:ascii="Times New Roman" w:hAnsi="Times New Roman"/>
                <w:color w:val="auto"/>
                <w:kern w:val="0"/>
              </w:rPr>
              <w:t>收集后</w:t>
            </w:r>
            <w:r>
              <w:rPr>
                <w:rFonts w:hint="eastAsia" w:ascii="Times New Roman" w:hAnsi="Times New Roman"/>
                <w:color w:val="auto"/>
                <w:kern w:val="0"/>
              </w:rPr>
              <w:t>暂存在生物质燃料棚的渣棚中，</w:t>
            </w:r>
            <w:r>
              <w:rPr>
                <w:rFonts w:ascii="Times New Roman" w:hAnsi="Times New Roman"/>
                <w:color w:val="auto"/>
                <w:kern w:val="0"/>
              </w:rPr>
              <w:t>部分作为肥料回用于周边农田，</w:t>
            </w:r>
            <w:r>
              <w:rPr>
                <w:rFonts w:hint="eastAsia" w:ascii="Times New Roman" w:hAnsi="Times New Roman"/>
                <w:color w:val="auto"/>
                <w:kern w:val="0"/>
              </w:rPr>
              <w:t>剩余</w:t>
            </w:r>
            <w:r>
              <w:rPr>
                <w:rFonts w:ascii="Times New Roman" w:hAnsi="Times New Roman"/>
                <w:color w:val="auto"/>
                <w:kern w:val="0"/>
              </w:rPr>
              <w:t>部分</w:t>
            </w:r>
            <w:r>
              <w:rPr>
                <w:rFonts w:hint="eastAsia" w:ascii="Times New Roman" w:hAnsi="Times New Roman"/>
                <w:color w:val="auto"/>
                <w:kern w:val="0"/>
              </w:rPr>
              <w:t>委托</w:t>
            </w:r>
            <w:r>
              <w:rPr>
                <w:rFonts w:ascii="Times New Roman" w:hAnsi="Times New Roman"/>
                <w:color w:val="auto"/>
                <w:kern w:val="0"/>
              </w:rPr>
              <w:t>环卫</w:t>
            </w:r>
            <w:r>
              <w:rPr>
                <w:rFonts w:hint="eastAsia" w:ascii="Times New Roman" w:hAnsi="Times New Roman"/>
                <w:color w:val="auto"/>
                <w:kern w:val="0"/>
              </w:rPr>
              <w:t>部门清运处置，不外排</w:t>
            </w:r>
            <w:r>
              <w:rPr>
                <w:rFonts w:ascii="Times New Roman" w:hAnsi="Times New Roman"/>
                <w:color w:val="auto"/>
                <w:kern w:val="0"/>
              </w:rPr>
              <w:t>。</w:t>
            </w:r>
            <w:r>
              <w:rPr>
                <w:rFonts w:hint="eastAsia" w:ascii="Times New Roman" w:hAnsi="Times New Roman"/>
                <w:color w:val="auto"/>
                <w:kern w:val="0"/>
              </w:rPr>
              <w:t>技改项目新增的袋式除尘器将产生的收尘灰，与生物质炉渣一同存放在渣棚中，委托环卫部门清运处置，不外排。</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软水处理产生的</w:t>
            </w:r>
            <w:r>
              <w:rPr>
                <w:rFonts w:ascii="Times New Roman" w:hAnsi="Times New Roman"/>
                <w:color w:val="auto"/>
              </w:rPr>
              <w:t>废离子交换树脂为一般工业固废，</w:t>
            </w:r>
            <w:r>
              <w:rPr>
                <w:rFonts w:hint="eastAsia" w:ascii="Times New Roman" w:hAnsi="Times New Roman"/>
                <w:color w:val="auto"/>
              </w:rPr>
              <w:t>由</w:t>
            </w:r>
            <w:r>
              <w:rPr>
                <w:rFonts w:ascii="Times New Roman" w:hAnsi="Times New Roman"/>
                <w:color w:val="auto"/>
              </w:rPr>
              <w:t>交厂家回收</w:t>
            </w:r>
            <w:r>
              <w:rPr>
                <w:rFonts w:hint="eastAsia" w:ascii="Times New Roman" w:hAnsi="Times New Roman"/>
                <w:color w:val="auto"/>
              </w:rPr>
              <w:t>处置，不外排</w:t>
            </w:r>
            <w:r>
              <w:rPr>
                <w:rFonts w:ascii="Times New Roman" w:hAnsi="Times New Roman"/>
                <w:color w:val="auto"/>
              </w:rPr>
              <w:t>。</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综上，技改</w:t>
            </w:r>
            <w:r>
              <w:rPr>
                <w:rFonts w:ascii="Times New Roman" w:hAnsi="Times New Roman"/>
                <w:color w:val="auto"/>
              </w:rPr>
              <w:t>项目固废</w:t>
            </w:r>
            <w:r>
              <w:rPr>
                <w:rFonts w:hint="eastAsia" w:ascii="Times New Roman" w:hAnsi="Times New Roman"/>
                <w:color w:val="auto"/>
              </w:rPr>
              <w:t>均得到了妥善处置，处置率</w:t>
            </w:r>
            <w:r>
              <w:rPr>
                <w:rFonts w:ascii="Times New Roman" w:hAnsi="Times New Roman"/>
                <w:color w:val="auto"/>
              </w:rPr>
              <w:t>100%</w:t>
            </w:r>
            <w:r>
              <w:rPr>
                <w:rFonts w:hint="eastAsia" w:ascii="Times New Roman" w:hAnsi="Times New Roman"/>
                <w:color w:val="auto"/>
              </w:rPr>
              <w:t>，无固废外排，技改项目产生的固废对周围环境的影响可以接受。</w:t>
            </w:r>
          </w:p>
          <w:p>
            <w:pPr>
              <w:adjustRightInd w:val="0"/>
              <w:snapToGrid w:val="0"/>
              <w:spacing w:line="360" w:lineRule="auto"/>
              <w:rPr>
                <w:rFonts w:ascii="Times New Roman" w:hAnsi="Times New Roman"/>
                <w:b/>
                <w:bCs/>
                <w:color w:val="auto"/>
                <w:szCs w:val="22"/>
              </w:rPr>
            </w:pPr>
            <w:r>
              <w:rPr>
                <w:rFonts w:ascii="Times New Roman" w:hAnsi="Times New Roman"/>
                <w:b/>
                <w:bCs/>
                <w:color w:val="auto"/>
                <w:szCs w:val="22"/>
              </w:rPr>
              <w:t>5、</w:t>
            </w:r>
            <w:r>
              <w:rPr>
                <w:rFonts w:hint="eastAsia" w:ascii="Times New Roman" w:hAnsi="Times New Roman"/>
                <w:b/>
                <w:bCs/>
                <w:color w:val="auto"/>
                <w:szCs w:val="22"/>
              </w:rPr>
              <w:t>生态环境</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本项目</w:t>
            </w:r>
            <w:r>
              <w:rPr>
                <w:rFonts w:hint="eastAsia" w:ascii="Times New Roman" w:hAnsi="Times New Roman"/>
                <w:color w:val="auto"/>
              </w:rPr>
              <w:t>在</w:t>
            </w:r>
            <w:r>
              <w:rPr>
                <w:rFonts w:ascii="Times New Roman" w:hAnsi="Times New Roman"/>
                <w:color w:val="auto"/>
              </w:rPr>
              <w:t>现有厂房</w:t>
            </w:r>
            <w:r>
              <w:rPr>
                <w:rFonts w:hint="eastAsia" w:ascii="Times New Roman" w:hAnsi="Times New Roman"/>
                <w:color w:val="auto"/>
              </w:rPr>
              <w:t>内进行技术改造</w:t>
            </w:r>
            <w:r>
              <w:rPr>
                <w:rFonts w:ascii="Times New Roman" w:hAnsi="Times New Roman"/>
                <w:color w:val="auto"/>
              </w:rPr>
              <w:t>，不</w:t>
            </w:r>
            <w:r>
              <w:rPr>
                <w:rFonts w:hint="eastAsia" w:ascii="Times New Roman" w:hAnsi="Times New Roman"/>
                <w:color w:val="auto"/>
              </w:rPr>
              <w:t>新增</w:t>
            </w:r>
            <w:r>
              <w:rPr>
                <w:rFonts w:ascii="Times New Roman" w:hAnsi="Times New Roman"/>
                <w:color w:val="auto"/>
              </w:rPr>
              <w:t>占地，项目生产均在厂房内进行。评价范围内不涉及特殊或重要生态敏感区，不涉及珍惜濒危野生动植物或地方特有种，不涉及野生动植物破坏，故项目生产对周边生态环境</w:t>
            </w:r>
            <w:r>
              <w:rPr>
                <w:rFonts w:hint="eastAsia" w:ascii="Times New Roman" w:hAnsi="Times New Roman"/>
                <w:color w:val="auto"/>
              </w:rPr>
              <w:t>的</w:t>
            </w:r>
            <w:r>
              <w:rPr>
                <w:rFonts w:ascii="Times New Roman" w:hAnsi="Times New Roman"/>
                <w:color w:val="auto"/>
              </w:rPr>
              <w:t>影响</w:t>
            </w:r>
            <w:r>
              <w:rPr>
                <w:rFonts w:hint="eastAsia" w:ascii="Times New Roman" w:hAnsi="Times New Roman"/>
                <w:color w:val="auto"/>
              </w:rPr>
              <w:t>是可接受的</w:t>
            </w:r>
            <w:r>
              <w:rPr>
                <w:rFonts w:ascii="Times New Roman" w:hAnsi="Times New Roman"/>
                <w:color w:val="auto"/>
              </w:rPr>
              <w:t>。</w:t>
            </w:r>
          </w:p>
          <w:p>
            <w:pPr>
              <w:adjustRightInd w:val="0"/>
              <w:snapToGrid w:val="0"/>
              <w:spacing w:line="360" w:lineRule="auto"/>
              <w:rPr>
                <w:rFonts w:ascii="Times New Roman" w:hAnsi="Times New Roman"/>
                <w:b/>
                <w:bCs/>
                <w:color w:val="auto"/>
                <w:szCs w:val="22"/>
              </w:rPr>
            </w:pPr>
            <w:r>
              <w:rPr>
                <w:rFonts w:ascii="Times New Roman" w:hAnsi="Times New Roman"/>
                <w:b/>
                <w:bCs/>
                <w:color w:val="auto"/>
                <w:szCs w:val="22"/>
              </w:rPr>
              <w:t>三、</w:t>
            </w:r>
            <w:r>
              <w:rPr>
                <w:rFonts w:hint="eastAsia" w:ascii="Times New Roman" w:hAnsi="Times New Roman"/>
                <w:b/>
                <w:bCs/>
                <w:color w:val="auto"/>
                <w:szCs w:val="22"/>
              </w:rPr>
              <w:t>规划、</w:t>
            </w:r>
            <w:r>
              <w:rPr>
                <w:rFonts w:ascii="Times New Roman" w:hAnsi="Times New Roman"/>
                <w:b/>
                <w:bCs/>
                <w:color w:val="auto"/>
                <w:szCs w:val="22"/>
              </w:rPr>
              <w:t>政策相符性分析</w:t>
            </w:r>
          </w:p>
          <w:p>
            <w:pPr>
              <w:pStyle w:val="84"/>
              <w:numPr>
                <w:ilvl w:val="0"/>
                <w:numId w:val="8"/>
              </w:numPr>
              <w:adjustRightInd w:val="0"/>
              <w:snapToGrid w:val="0"/>
              <w:spacing w:line="360" w:lineRule="auto"/>
              <w:ind w:left="22" w:hanging="22"/>
              <w:rPr>
                <w:rFonts w:ascii="Times New Roman" w:hAnsi="Times New Roman"/>
                <w:b/>
                <w:bCs/>
                <w:color w:val="auto"/>
              </w:rPr>
            </w:pPr>
            <w:r>
              <w:rPr>
                <w:rFonts w:ascii="Times New Roman" w:hAnsi="Times New Roman"/>
                <w:b/>
                <w:bCs/>
                <w:color w:val="auto"/>
              </w:rPr>
              <w:t>产业政策符合性分析</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（1）</w:t>
            </w:r>
            <w:r>
              <w:rPr>
                <w:rFonts w:ascii="Times New Roman" w:hAnsi="Times New Roman"/>
                <w:color w:val="auto"/>
              </w:rPr>
              <w:t>与</w:t>
            </w:r>
            <w:bookmarkStart w:id="45" w:name="_Toc307502401"/>
            <w:r>
              <w:rPr>
                <w:rFonts w:ascii="Times New Roman" w:hAnsi="Times New Roman"/>
                <w:color w:val="auto"/>
              </w:rPr>
              <w:t>国家产业政策的符合性</w:t>
            </w:r>
            <w:bookmarkEnd w:id="45"/>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根据中华人民共和国国家发展和改革委员会令（2019年第29号）《产业结构调整指导目录（2019年本）》，建设项目</w:t>
            </w:r>
            <w:r>
              <w:rPr>
                <w:rFonts w:hint="eastAsia" w:ascii="Times New Roman" w:hAnsi="Times New Roman"/>
                <w:color w:val="auto"/>
              </w:rPr>
              <w:t>属于</w:t>
            </w:r>
            <w:r>
              <w:rPr>
                <w:rFonts w:ascii="Times New Roman" w:hAnsi="Times New Roman"/>
                <w:color w:val="auto"/>
              </w:rPr>
              <w:t>指导目录所规定的鼓励类、限制类及淘汰类之列，项目属于允许类。因此，项目的建设符合国家现行的产业政策。</w:t>
            </w:r>
          </w:p>
          <w:p>
            <w:pPr>
              <w:adjustRightInd w:val="0"/>
              <w:snapToGrid w:val="0"/>
              <w:spacing w:line="360" w:lineRule="auto"/>
              <w:ind w:firstLine="480" w:firstLineChars="200"/>
              <w:rPr>
                <w:rFonts w:ascii="Times New Roman" w:hAnsi="Times New Roman"/>
                <w:color w:val="auto"/>
              </w:rPr>
            </w:pPr>
            <w:bookmarkStart w:id="46" w:name="_Toc54886312"/>
            <w:r>
              <w:rPr>
                <w:rFonts w:hint="eastAsia" w:ascii="Times New Roman" w:hAnsi="Times New Roman"/>
                <w:color w:val="auto"/>
              </w:rPr>
              <w:t>（2）</w:t>
            </w:r>
            <w:r>
              <w:rPr>
                <w:rFonts w:ascii="Times New Roman" w:hAnsi="Times New Roman"/>
                <w:color w:val="auto"/>
              </w:rPr>
              <w:t>与云南省产业政策的符合性</w:t>
            </w:r>
            <w:bookmarkEnd w:id="46"/>
          </w:p>
          <w:p>
            <w:pPr>
              <w:adjustRightInd w:val="0"/>
              <w:snapToGrid w:val="0"/>
              <w:spacing w:line="360" w:lineRule="auto"/>
              <w:ind w:firstLine="480" w:firstLineChars="200"/>
              <w:rPr>
                <w:rFonts w:ascii="Times New Roman" w:hAnsi="Times New Roman"/>
                <w:b/>
                <w:bCs/>
                <w:color w:val="auto"/>
                <w:szCs w:val="22"/>
              </w:rPr>
            </w:pPr>
            <w:r>
              <w:rPr>
                <w:rFonts w:ascii="Times New Roman" w:hAnsi="Times New Roman"/>
                <w:color w:val="auto"/>
              </w:rPr>
              <w:t>对照《云南省工业产业</w:t>
            </w:r>
            <w:r>
              <w:rPr>
                <w:rFonts w:hint="eastAsia" w:ascii="Times New Roman" w:hAnsi="Times New Roman"/>
                <w:color w:val="auto"/>
              </w:rPr>
              <w:t>转型升级</w:t>
            </w:r>
            <w:r>
              <w:rPr>
                <w:rFonts w:ascii="Times New Roman" w:hAnsi="Times New Roman"/>
                <w:color w:val="auto"/>
              </w:rPr>
              <w:t>指导目录</w:t>
            </w:r>
            <w:r>
              <w:rPr>
                <w:rFonts w:hint="eastAsia" w:ascii="Times New Roman" w:hAnsi="Times New Roman"/>
                <w:color w:val="auto"/>
              </w:rPr>
              <w:t>（2014年</w:t>
            </w:r>
            <w:r>
              <w:rPr>
                <w:rFonts w:ascii="Times New Roman" w:hAnsi="Times New Roman"/>
                <w:color w:val="auto"/>
              </w:rPr>
              <w:t>本</w:t>
            </w:r>
            <w:r>
              <w:rPr>
                <w:rFonts w:hint="eastAsia" w:ascii="Times New Roman" w:hAnsi="Times New Roman"/>
                <w:color w:val="auto"/>
              </w:rPr>
              <w:t>）</w:t>
            </w:r>
            <w:r>
              <w:rPr>
                <w:rFonts w:ascii="Times New Roman" w:hAnsi="Times New Roman"/>
                <w:color w:val="auto"/>
              </w:rPr>
              <w:t>》内容，</w:t>
            </w:r>
            <w:r>
              <w:rPr>
                <w:rFonts w:hint="eastAsia" w:ascii="Times New Roman" w:hAnsi="Times New Roman"/>
                <w:color w:val="auto"/>
              </w:rPr>
              <w:t>建设项目</w:t>
            </w:r>
            <w:r>
              <w:rPr>
                <w:rFonts w:ascii="Times New Roman" w:hAnsi="Times New Roman"/>
                <w:color w:val="auto"/>
              </w:rPr>
              <w:t>不属于该指导目录中的限制类、淘汰类项目，项目属于允许类。因此，项目的建设符合云南省现行的产业政策。</w:t>
            </w:r>
          </w:p>
          <w:p>
            <w:pPr>
              <w:pStyle w:val="84"/>
              <w:numPr>
                <w:ilvl w:val="0"/>
                <w:numId w:val="8"/>
              </w:numPr>
              <w:adjustRightInd w:val="0"/>
              <w:snapToGrid w:val="0"/>
              <w:spacing w:line="360" w:lineRule="auto"/>
              <w:ind w:left="22" w:hanging="22"/>
              <w:rPr>
                <w:rFonts w:ascii="Times New Roman" w:hAnsi="Times New Roman"/>
                <w:b/>
                <w:bCs/>
                <w:color w:val="auto"/>
              </w:rPr>
            </w:pPr>
            <w:r>
              <w:rPr>
                <w:rFonts w:ascii="Times New Roman" w:hAnsi="Times New Roman"/>
                <w:b/>
                <w:bCs/>
                <w:color w:val="auto"/>
              </w:rPr>
              <w:t>与大气污染防治相关政策的符合性分析</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根据国务院2018年6月部署的《打赢蓝天保卫战三年行动计划》，要求县级及以上城市建成区基本淘汰每小时10蒸吨及以下燃煤锅炉，重点区域每小时65蒸吨及以上燃煤锅炉全部完成节能和超低排放改造；加快淘汰中小型煤气发生炉。</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根据《云南省大气污染防治行动实施方案》（云政发〔2014〕9号），到2017年底，基本淘汰州、市人民政府所在地城市建成区内每小时10蒸吨及以下燃煤锅炉；原则上不再新建、改建、扩建燃煤锅炉，禁止新建每小时20蒸吨以下燃煤锅炉；其他具备天然气供应和使用条件的地区，不再新建每小时10蒸吨以下燃煤锅炉。</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根据《昆明市大气污染防治行动计划实施细则》（昆政发〔2014〕48号），昆明市建成区外区域，具备天然气供应和使用条件的区域，原则上不再新建每小时10蒸吨以下燃煤锅炉。</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根据宜良县人民政府印发的《2018年宜良大气污染防治工作实施方案》（宜政发〔2018〕3号），宜良县应加大清洁能源推广使用力度，积极开发以生物柴油、生物质固体成型燃料为主的生物质能。加强工业企业厂区扬尘控制。工业企业厂区有组织排放口必须安装布袋、静电等高校除尘设施，提高除尘效率，确保有组织排放的烟（粉）尘符合排放标准，达标排放。工业企业厂区无组织排放扬尘源点应建设防风抑尘墙、防风抑尘网，并配备喷淋、覆盖和围挡等防风抑尘设施，禁止拆除、闲置防治设备，保证各类设施完好运行。</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本项目位于宜良县匡远街道办事处左营村，不属于城市建成区，属于规划城市区域，无集中供热或天然气供应设施。本项目实施后，全厂共设有2台</w:t>
            </w:r>
            <w:r>
              <w:rPr>
                <w:rFonts w:hint="eastAsia" w:ascii="Times New Roman" w:hAnsi="Times New Roman"/>
                <w:color w:val="auto"/>
              </w:rPr>
              <w:t>1</w:t>
            </w:r>
            <w:r>
              <w:rPr>
                <w:rFonts w:ascii="Times New Roman" w:hAnsi="Times New Roman"/>
                <w:color w:val="auto"/>
              </w:rPr>
              <w:t>5t/h</w:t>
            </w:r>
            <w:r>
              <w:rPr>
                <w:rFonts w:ascii="Times New Roman" w:hAnsi="Times New Roman"/>
                <w:color w:val="auto"/>
              </w:rPr>
              <w:t>生物质蒸汽锅炉，</w:t>
            </w:r>
            <w:r>
              <w:rPr>
                <w:rFonts w:hint="eastAsia" w:ascii="Times New Roman" w:hAnsi="Times New Roman"/>
                <w:color w:val="auto"/>
              </w:rPr>
              <w:t>使用</w:t>
            </w:r>
            <w:r>
              <w:rPr>
                <w:rFonts w:ascii="Times New Roman" w:hAnsi="Times New Roman"/>
                <w:color w:val="auto"/>
              </w:rPr>
              <w:t>生物质固体成型燃料</w:t>
            </w:r>
            <w:r>
              <w:rPr>
                <w:rFonts w:hint="eastAsia" w:ascii="Times New Roman" w:hAnsi="Times New Roman"/>
                <w:color w:val="auto"/>
              </w:rPr>
              <w:t>。根据预测，</w:t>
            </w:r>
            <w:r>
              <w:rPr>
                <w:rFonts w:ascii="Times New Roman" w:hAnsi="Times New Roman"/>
                <w:color w:val="auto"/>
              </w:rPr>
              <w:t>本项目</w:t>
            </w:r>
            <w:r>
              <w:rPr>
                <w:rFonts w:hint="eastAsia" w:ascii="Times New Roman" w:hAnsi="Times New Roman"/>
                <w:color w:val="auto"/>
              </w:rPr>
              <w:t>产生的</w:t>
            </w:r>
            <w:r>
              <w:rPr>
                <w:rFonts w:ascii="Times New Roman" w:hAnsi="Times New Roman"/>
                <w:color w:val="auto"/>
              </w:rPr>
              <w:t>锅炉烟气</w:t>
            </w:r>
            <w:r>
              <w:rPr>
                <w:rFonts w:hint="eastAsia" w:ascii="Times New Roman" w:hAnsi="Times New Roman"/>
                <w:color w:val="auto"/>
              </w:rPr>
              <w:t>经</w:t>
            </w:r>
            <w:r>
              <w:rPr>
                <w:rFonts w:ascii="Times New Roman" w:hAnsi="Times New Roman"/>
                <w:color w:val="auto"/>
              </w:rPr>
              <w:t>袋式除尘器</w:t>
            </w:r>
            <w:r>
              <w:rPr>
                <w:rFonts w:hint="eastAsia" w:ascii="Times New Roman" w:hAnsi="Times New Roman"/>
                <w:color w:val="auto"/>
              </w:rPr>
              <w:t>处理后</w:t>
            </w:r>
            <w:r>
              <w:rPr>
                <w:rFonts w:ascii="Times New Roman" w:hAnsi="Times New Roman"/>
                <w:color w:val="auto"/>
              </w:rPr>
              <w:t>，锅炉烟气排放满足《锅炉大气污染物排放标准》（GB13271-2014）中的表2中燃煤锅炉排放标准要求</w:t>
            </w:r>
            <w:r>
              <w:rPr>
                <w:rFonts w:hint="eastAsia" w:ascii="Times New Roman" w:hAnsi="Times New Roman"/>
                <w:color w:val="auto"/>
              </w:rPr>
              <w:t>和烟囱高度要求</w:t>
            </w:r>
            <w:r>
              <w:rPr>
                <w:rFonts w:ascii="Times New Roman" w:hAnsi="Times New Roman"/>
                <w:color w:val="auto"/>
              </w:rPr>
              <w:t>；本项目原辅材料</w:t>
            </w:r>
            <w:r>
              <w:rPr>
                <w:rFonts w:hint="eastAsia" w:ascii="Times New Roman" w:hAnsi="Times New Roman"/>
                <w:color w:val="auto"/>
              </w:rPr>
              <w:t>和炉渣、收尘灰</w:t>
            </w:r>
            <w:r>
              <w:rPr>
                <w:rFonts w:ascii="Times New Roman" w:hAnsi="Times New Roman"/>
                <w:color w:val="auto"/>
              </w:rPr>
              <w:t>贮存在堆棚和仓库内，堆棚有围挡</w:t>
            </w:r>
            <w:r>
              <w:rPr>
                <w:rFonts w:hint="eastAsia" w:ascii="Times New Roman" w:hAnsi="Times New Roman"/>
                <w:color w:val="auto"/>
              </w:rPr>
              <w:t>，</w:t>
            </w:r>
            <w:r>
              <w:rPr>
                <w:rFonts w:hint="eastAsia" w:ascii="Times New Roman" w:hAnsi="Times New Roman"/>
                <w:color w:val="auto"/>
              </w:rPr>
              <w:t>根据预测</w:t>
            </w:r>
            <w:r>
              <w:rPr>
                <w:rFonts w:ascii="Times New Roman" w:hAnsi="Times New Roman"/>
                <w:color w:val="auto"/>
              </w:rPr>
              <w:t>，</w:t>
            </w:r>
            <w:r>
              <w:rPr>
                <w:rFonts w:ascii="Times New Roman" w:hAnsi="Times New Roman"/>
                <w:color w:val="auto"/>
              </w:rPr>
              <w:t>无组织粉尘排放满足《大气污染物综合排放标准》（GB16297-1996）中的表2标准要求。</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综上，</w:t>
            </w:r>
            <w:r>
              <w:rPr>
                <w:rFonts w:ascii="Times New Roman" w:hAnsi="Times New Roman"/>
                <w:color w:val="auto"/>
              </w:rPr>
              <w:t>项目改建锅炉符合《打赢蓝天保卫战三年行动计划》《云南省大气污染防治行动实施方案》（云政发〔2014〕9号）、《昆明市大气污染防治行动计划实施细则》（昆政发〔2014〕48号）及《2018年宜良大气污染防治工作实施方案》（宜政发〔2018〕3号）的要求。</w:t>
            </w:r>
          </w:p>
          <w:p>
            <w:pPr>
              <w:pStyle w:val="84"/>
              <w:numPr>
                <w:ilvl w:val="0"/>
                <w:numId w:val="8"/>
              </w:numPr>
              <w:adjustRightInd w:val="0"/>
              <w:snapToGrid w:val="0"/>
              <w:spacing w:line="360" w:lineRule="auto"/>
              <w:ind w:left="22" w:firstLine="5"/>
              <w:rPr>
                <w:rFonts w:ascii="Times New Roman" w:hAnsi="Times New Roman"/>
                <w:b/>
                <w:bCs/>
                <w:color w:val="auto"/>
              </w:rPr>
            </w:pPr>
            <w:r>
              <w:rPr>
                <w:rFonts w:ascii="Times New Roman" w:hAnsi="Times New Roman"/>
                <w:b/>
                <w:bCs/>
                <w:color w:val="auto"/>
              </w:rPr>
              <w:t>与《重点流域水污染防治规划（2016-2020年）》的符合性分析</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本项目东侧距离</w:t>
            </w:r>
            <w:r>
              <w:rPr>
                <w:rFonts w:ascii="Times New Roman" w:hAnsi="Times New Roman"/>
                <w:color w:val="auto"/>
              </w:rPr>
              <w:t>100m</w:t>
            </w:r>
            <w:r>
              <w:rPr>
                <w:rFonts w:ascii="Times New Roman" w:hAnsi="Times New Roman"/>
                <w:color w:val="auto"/>
              </w:rPr>
              <w:t>处有南盘江老河道，东侧距离</w:t>
            </w:r>
            <w:r>
              <w:rPr>
                <w:rFonts w:ascii="Times New Roman" w:hAnsi="Times New Roman"/>
                <w:color w:val="auto"/>
              </w:rPr>
              <w:t>1950m</w:t>
            </w:r>
            <w:r>
              <w:rPr>
                <w:rFonts w:ascii="Times New Roman" w:hAnsi="Times New Roman"/>
                <w:color w:val="auto"/>
              </w:rPr>
              <w:t>处有南盘江主河道，属于珠江流域范围，本项目与《重点流域水污染防治规划（2016-2020年）》（环水体[2017]142号）的符合性情况见下表。</w:t>
            </w:r>
          </w:p>
          <w:p>
            <w:pPr>
              <w:pStyle w:val="37"/>
              <w:ind w:firstLine="480"/>
              <w:rPr>
                <w:rFonts w:hint="eastAsia"/>
                <w:color w:val="auto"/>
              </w:rPr>
            </w:pPr>
          </w:p>
          <w:p>
            <w:pPr>
              <w:adjustRightInd w:val="0"/>
              <w:snapToGrid w:val="0"/>
              <w:jc w:val="center"/>
              <w:rPr>
                <w:rFonts w:ascii="Times New Roman" w:hAnsi="Times New Roman"/>
                <w:b/>
                <w:bCs/>
                <w:color w:val="auto"/>
                <w:kern w:val="0"/>
                <w:sz w:val="21"/>
                <w:szCs w:val="21"/>
                <w:lang w:bidi="ar"/>
              </w:rPr>
            </w:pPr>
          </w:p>
          <w:p>
            <w:pPr>
              <w:adjustRightInd w:val="0"/>
              <w:snapToGrid w:val="0"/>
              <w:jc w:val="center"/>
              <w:rPr>
                <w:rFonts w:ascii="Times New Roman" w:hAnsi="Times New Roman"/>
                <w:b/>
                <w:bCs/>
                <w:color w:val="auto"/>
                <w:kern w:val="0"/>
                <w:sz w:val="21"/>
                <w:szCs w:val="21"/>
                <w:lang w:bidi="ar"/>
              </w:rPr>
            </w:pPr>
          </w:p>
          <w:p>
            <w:pPr>
              <w:adjustRightInd w:val="0"/>
              <w:snapToGrid w:val="0"/>
              <w:jc w:val="center"/>
              <w:rPr>
                <w:rFonts w:ascii="Times New Roman" w:hAnsi="Times New Roman"/>
                <w:b/>
                <w:bCs/>
                <w:color w:val="auto"/>
                <w:kern w:val="0"/>
                <w:szCs w:val="21"/>
                <w:lang w:bidi="ar"/>
              </w:rPr>
            </w:pPr>
            <w:r>
              <w:rPr>
                <w:rFonts w:ascii="Times New Roman" w:hAnsi="Times New Roman"/>
                <w:b/>
                <w:bCs/>
                <w:color w:val="auto"/>
                <w:kern w:val="0"/>
                <w:sz w:val="21"/>
                <w:szCs w:val="21"/>
                <w:lang w:bidi="ar"/>
              </w:rPr>
              <w:t>表7-8   项目与《重点流域水污染防治规划（2016-2020年）》符合性分析一览表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4924"/>
              <w:gridCol w:w="2255"/>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2" w:type="dxa"/>
                  <w:gridSpan w:val="2"/>
                  <w:vAlign w:val="center"/>
                </w:tcPr>
                <w:p>
                  <w:pPr>
                    <w:adjustRightInd w:val="0"/>
                    <w:snapToGri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规划要求</w:t>
                  </w:r>
                </w:p>
              </w:tc>
              <w:tc>
                <w:tcPr>
                  <w:tcW w:w="2255" w:type="dxa"/>
                  <w:vAlign w:val="center"/>
                </w:tcPr>
                <w:p>
                  <w:pPr>
                    <w:adjustRightInd w:val="0"/>
                    <w:snapToGri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改扩建项目情况</w:t>
                  </w:r>
                </w:p>
              </w:tc>
              <w:tc>
                <w:tcPr>
                  <w:tcW w:w="0" w:type="auto"/>
                  <w:vAlign w:val="center"/>
                </w:tcPr>
                <w:p>
                  <w:pPr>
                    <w:adjustRightInd w:val="0"/>
                    <w:snapToGrid w:val="0"/>
                    <w:spacing w:line="276" w:lineRule="auto"/>
                    <w:jc w:val="center"/>
                    <w:rPr>
                      <w:rFonts w:ascii="Times New Roman" w:hAnsi="Times New Roman"/>
                      <w:b/>
                      <w:bCs/>
                      <w:color w:val="auto"/>
                      <w:sz w:val="21"/>
                      <w:szCs w:val="21"/>
                    </w:rPr>
                  </w:pPr>
                  <w:r>
                    <w:rPr>
                      <w:rFonts w:ascii="Times New Roman" w:hAnsi="Times New Roman"/>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促进产业转型发展</w:t>
                  </w:r>
                </w:p>
              </w:tc>
              <w:tc>
                <w:tcPr>
                  <w:tcW w:w="4924" w:type="dxa"/>
                  <w:vAlign w:val="center"/>
                </w:tcPr>
                <w:p>
                  <w:pPr>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严格环境准入。根据控制单元水质目标和主体功能区规划要求，细化功能分区，实施差别化环境准入政策。江苏太湖流域停止审批增加氮磷污染物排放的新建工业项目，沿江地区严格限制新建高污染化工项目，沿海地区严格控制新建医药、农药和染料中间体项目；提高贵州乌江、清水江流域新建磷化工项目磷石膏综合利用率；福建闽江水口电站以上流域范围禁止新建、扩建制革项目，严控新建、扩建植物制浆、印染项目，九龙江北溪江东北引桥闸以上、西溪桥闸以上流域范围禁止新建、扩建造纸、制革、电镀、漂染行业工业项目。</w:t>
                  </w:r>
                </w:p>
              </w:tc>
              <w:tc>
                <w:tcPr>
                  <w:tcW w:w="2255" w:type="dxa"/>
                  <w:vAlign w:val="center"/>
                </w:tcPr>
                <w:p>
                  <w:pPr>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本项目位于宜良县匡远街道办事处左营村宜马公路旁，不在上述区域内。</w:t>
                  </w:r>
                </w:p>
              </w:tc>
              <w:tc>
                <w:tcPr>
                  <w:tcW w:w="0" w:type="auto"/>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adjustRightInd w:val="0"/>
                    <w:snapToGrid w:val="0"/>
                    <w:spacing w:line="276" w:lineRule="auto"/>
                    <w:jc w:val="center"/>
                    <w:rPr>
                      <w:rFonts w:ascii="Times New Roman" w:hAnsi="Times New Roman"/>
                      <w:color w:val="auto"/>
                      <w:sz w:val="21"/>
                      <w:szCs w:val="21"/>
                    </w:rPr>
                  </w:pPr>
                </w:p>
              </w:tc>
              <w:tc>
                <w:tcPr>
                  <w:tcW w:w="4924" w:type="dxa"/>
                  <w:vAlign w:val="center"/>
                </w:tcPr>
                <w:p>
                  <w:pPr>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优化空间布局。新建企业原则上均应建在工业集聚区。推进企业向依法合规设立、环保设施齐全、符合规划环评要求的工业集聚区集中，并实施工业集聚区生态化改造。七大重点流域干流及一级支流沿岸，切实开展石油加工、化学原料和化学品制造、医药制造、化学纤维制造、有色金属冶炼、纺织印染等重点行业企业的空间分布优化，合理布局生产装置及危险化学品仓储等设施。造纸、印染等重点行业主要分布区域新建、改建、扩建该行业项目要实行污染物排放减量置换。有序推进产业梯度转移，强化承接产业转移区域的环境监管。完善工业园区污水集中处理设施。实行“清污分流、雨污分流”，实现废水分类收集、分质处理，入园企业应在达到国家或地方规定的排放标准后接入集中式污水处理设施处理，园区集中式污水处理设施总排口应安装自动监控系统、视频监控系统，并与环境保护主管部门联网。</w:t>
                  </w:r>
                </w:p>
              </w:tc>
              <w:tc>
                <w:tcPr>
                  <w:tcW w:w="2255" w:type="dxa"/>
                  <w:vAlign w:val="center"/>
                </w:tcPr>
                <w:p>
                  <w:pPr>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本项目为锅炉技改项目，</w:t>
                  </w:r>
                  <w:r>
                    <w:rPr>
                      <w:rFonts w:ascii="Times New Roman" w:hAnsi="Times New Roman"/>
                      <w:color w:val="auto"/>
                      <w:sz w:val="21"/>
                      <w:szCs w:val="21"/>
                    </w:rPr>
                    <w:t>项目建成后有利于区域</w:t>
                  </w:r>
                  <w:r>
                    <w:rPr>
                      <w:rFonts w:hint="eastAsia" w:ascii="Times New Roman" w:hAnsi="Times New Roman"/>
                      <w:color w:val="auto"/>
                      <w:sz w:val="21"/>
                      <w:szCs w:val="21"/>
                    </w:rPr>
                    <w:t>污染源削减</w:t>
                  </w:r>
                  <w:r>
                    <w:rPr>
                      <w:rFonts w:ascii="Times New Roman" w:hAnsi="Times New Roman"/>
                      <w:color w:val="auto"/>
                      <w:sz w:val="21"/>
                      <w:szCs w:val="21"/>
                    </w:rPr>
                    <w:t>。</w:t>
                  </w:r>
                </w:p>
                <w:p>
                  <w:pPr>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本项目实行“雨污分流”，</w:t>
                  </w:r>
                  <w:r>
                    <w:rPr>
                      <w:rFonts w:ascii="Times New Roman" w:hAnsi="Times New Roman"/>
                      <w:color w:val="auto"/>
                      <w:sz w:val="21"/>
                      <w:szCs w:val="21"/>
                    </w:rPr>
                    <w:t>本项目</w:t>
                  </w:r>
                  <w:r>
                    <w:rPr>
                      <w:rFonts w:hint="eastAsia" w:ascii="Times New Roman" w:hAnsi="Times New Roman"/>
                      <w:color w:val="auto"/>
                      <w:sz w:val="21"/>
                      <w:szCs w:val="21"/>
                    </w:rPr>
                    <w:t>产生的</w:t>
                  </w:r>
                  <w:r>
                    <w:rPr>
                      <w:rFonts w:ascii="Times New Roman" w:hAnsi="Times New Roman"/>
                      <w:color w:val="auto"/>
                      <w:sz w:val="21"/>
                      <w:szCs w:val="21"/>
                    </w:rPr>
                    <w:t>废水</w:t>
                  </w:r>
                  <w:r>
                    <w:rPr>
                      <w:rFonts w:hint="eastAsia" w:ascii="Times New Roman" w:hAnsi="Times New Roman"/>
                      <w:color w:val="auto"/>
                      <w:sz w:val="21"/>
                      <w:szCs w:val="21"/>
                    </w:rPr>
                    <w:t>仅有锅炉废水，</w:t>
                  </w:r>
                  <w:r>
                    <w:rPr>
                      <w:rFonts w:ascii="Times New Roman" w:hAnsi="Times New Roman"/>
                      <w:color w:val="auto"/>
                      <w:sz w:val="21"/>
                      <w:szCs w:val="21"/>
                    </w:rPr>
                    <w:t>全部回用</w:t>
                  </w:r>
                  <w:r>
                    <w:rPr>
                      <w:rFonts w:hint="eastAsia" w:ascii="Times New Roman" w:hAnsi="Times New Roman"/>
                      <w:color w:val="auto"/>
                      <w:sz w:val="21"/>
                      <w:szCs w:val="21"/>
                    </w:rPr>
                    <w:t>于现有项目造纸工段，不外排</w:t>
                  </w:r>
                  <w:r>
                    <w:rPr>
                      <w:rFonts w:ascii="Times New Roman" w:hAnsi="Times New Roman"/>
                      <w:color w:val="auto"/>
                      <w:sz w:val="21"/>
                      <w:szCs w:val="21"/>
                    </w:rPr>
                    <w:t>。</w:t>
                  </w:r>
                </w:p>
              </w:tc>
              <w:tc>
                <w:tcPr>
                  <w:tcW w:w="0" w:type="auto"/>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adjustRightInd w:val="0"/>
                    <w:snapToGrid w:val="0"/>
                    <w:spacing w:line="276" w:lineRule="auto"/>
                    <w:jc w:val="center"/>
                    <w:rPr>
                      <w:rFonts w:ascii="Times New Roman" w:hAnsi="Times New Roman"/>
                      <w:color w:val="auto"/>
                      <w:sz w:val="21"/>
                      <w:szCs w:val="21"/>
                    </w:rPr>
                  </w:pPr>
                </w:p>
              </w:tc>
              <w:tc>
                <w:tcPr>
                  <w:tcW w:w="4924" w:type="dxa"/>
                  <w:vAlign w:val="center"/>
                </w:tcPr>
                <w:p>
                  <w:pPr>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强化水环境承载能力约束作用。建立水环境承载能力监测评价体系，实行承载能力监测预警，已超过承载能力的地区要统筹衔接水污染物排放总量和水功能区限制纳污总量，实施水污染物削减方案，加快调整发展规划和产业结构。现状水质劣于</w:t>
                  </w:r>
                  <w:r>
                    <w:rPr>
                      <w:rFonts w:hint="eastAsia" w:ascii="宋体" w:hAnsi="宋体" w:cs="宋体"/>
                      <w:color w:val="auto"/>
                      <w:sz w:val="21"/>
                      <w:szCs w:val="21"/>
                    </w:rPr>
                    <w:t>Ⅴ</w:t>
                  </w:r>
                  <w:r>
                    <w:rPr>
                      <w:rFonts w:ascii="Times New Roman" w:hAnsi="Times New Roman"/>
                      <w:color w:val="auto"/>
                      <w:sz w:val="21"/>
                      <w:szCs w:val="21"/>
                    </w:rPr>
                    <w:t>类的优先控制单元全部实施行业内新建项目重点污染物排放减量置换。黄河流域湟水河、渭河、汾河等重要支流要控制造纸、煤炭和石油开采、氮肥化工、煤化工及金属冶炼等行业发展速度和经济规模。</w:t>
                  </w:r>
                </w:p>
              </w:tc>
              <w:tc>
                <w:tcPr>
                  <w:tcW w:w="2255" w:type="dxa"/>
                  <w:vAlign w:val="center"/>
                </w:tcPr>
                <w:p>
                  <w:pPr>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本项目所在地地表水环境属于达标区域，本项目废水全部回用不外排。</w:t>
                  </w:r>
                </w:p>
              </w:tc>
              <w:tc>
                <w:tcPr>
                  <w:tcW w:w="0" w:type="auto"/>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adjustRightInd w:val="0"/>
                    <w:snapToGrid w:val="0"/>
                    <w:spacing w:line="276" w:lineRule="auto"/>
                    <w:jc w:val="center"/>
                    <w:rPr>
                      <w:rFonts w:ascii="Times New Roman" w:hAnsi="Times New Roman"/>
                      <w:color w:val="auto"/>
                      <w:sz w:val="21"/>
                      <w:szCs w:val="21"/>
                    </w:rPr>
                  </w:pPr>
                </w:p>
              </w:tc>
              <w:tc>
                <w:tcPr>
                  <w:tcW w:w="4924" w:type="dxa"/>
                  <w:vAlign w:val="center"/>
                </w:tcPr>
                <w:p>
                  <w:pPr>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全面取缔“十小”企业。全面排查装备水平低、环保设施差的小型工业企业。按照水污染防治法律法规要求，以广东省电镀、四川省造纸、河北省制革、山西省炼焦等为重点，全部取缔不符合国家产业政策的小型造纸、制革、印染、染料、炼焦、炼硫、炼砷、炼油、电镀、农药等严重污染水环境的生产项目。</w:t>
                  </w:r>
                </w:p>
              </w:tc>
              <w:tc>
                <w:tcPr>
                  <w:tcW w:w="2255" w:type="dxa"/>
                  <w:vAlign w:val="center"/>
                </w:tcPr>
                <w:p>
                  <w:pPr>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本项目设备、工艺、规模均符合国家和云南省产业政策的要求。</w:t>
                  </w:r>
                </w:p>
              </w:tc>
              <w:tc>
                <w:tcPr>
                  <w:tcW w:w="0" w:type="auto"/>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提升工业清洁生产水平</w:t>
                  </w:r>
                </w:p>
              </w:tc>
              <w:tc>
                <w:tcPr>
                  <w:tcW w:w="4924" w:type="dxa"/>
                  <w:vAlign w:val="center"/>
                </w:tcPr>
                <w:p>
                  <w:pPr>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依法实施强制性清洁生产审核。以区域性特征行业为重点，鼓励污染物排放达到国家或者地方排放标准的企业自愿开展清洁生产审核。2017年底前，造纸行业力争完成纸浆无元素氯漂白改造或采取其他低污染制浆技术，钢铁企业焦炉完成干熄焦技术改造，氮肥行业尿素生产完成工艺冷凝液水解解析技术改造，印染行业实施低排水染整工艺改造，制药（抗生素、维生素）行业实施绿色酶法生产技术改造，制革行业实施铬减量化技术改造。</w:t>
                  </w:r>
                </w:p>
              </w:tc>
              <w:tc>
                <w:tcPr>
                  <w:tcW w:w="2255" w:type="dxa"/>
                  <w:vAlign w:val="center"/>
                </w:tcPr>
                <w:p>
                  <w:pPr>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本项目为锅炉技改</w:t>
                  </w:r>
                  <w:r>
                    <w:rPr>
                      <w:rFonts w:hint="eastAsia" w:ascii="Times New Roman" w:hAnsi="Times New Roman"/>
                      <w:color w:val="auto"/>
                      <w:sz w:val="21"/>
                      <w:szCs w:val="21"/>
                    </w:rPr>
                    <w:t>项目</w:t>
                  </w:r>
                  <w:r>
                    <w:rPr>
                      <w:rFonts w:ascii="Times New Roman" w:hAnsi="Times New Roman"/>
                      <w:color w:val="auto"/>
                      <w:sz w:val="21"/>
                      <w:szCs w:val="21"/>
                    </w:rPr>
                    <w:t>，</w:t>
                  </w:r>
                  <w:r>
                    <w:rPr>
                      <w:rFonts w:hint="eastAsia" w:ascii="Times New Roman" w:hAnsi="Times New Roman"/>
                      <w:color w:val="auto"/>
                      <w:sz w:val="21"/>
                      <w:szCs w:val="21"/>
                    </w:rPr>
                    <w:t>技改完成后，除TSP外，各项污染物量排放均实现了增产减污</w:t>
                  </w:r>
                  <w:r>
                    <w:rPr>
                      <w:rFonts w:ascii="Times New Roman" w:hAnsi="Times New Roman"/>
                      <w:color w:val="auto"/>
                      <w:sz w:val="21"/>
                      <w:szCs w:val="21"/>
                    </w:rPr>
                    <w:t>。</w:t>
                  </w:r>
                </w:p>
              </w:tc>
              <w:tc>
                <w:tcPr>
                  <w:tcW w:w="0" w:type="auto"/>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实施工业污染源全面达标排放计划</w:t>
                  </w:r>
                </w:p>
              </w:tc>
              <w:tc>
                <w:tcPr>
                  <w:tcW w:w="4924" w:type="dxa"/>
                  <w:vAlign w:val="center"/>
                </w:tcPr>
                <w:p>
                  <w:pPr>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加大超标排放整治力度。对超标和超总量的企业予以“黄牌”警示，一律限制生产或停产整治，明确落实整改的措施、责任和时限；对整治仍不能达到要求且情节严重的企业予以“红牌”处罚，依法提请地方人民政府责令限期停业、关闭；对城市建成区内污染超标企业实施有序搬迁改造或依法关闭。持续保持环境执法高压态势，依法严肃查处偷排偷放、数据造假、屡查屡犯的企业；对涉嫌犯罪的人员，依法移送司法机关；及时向社会公布违法企业及其法人和主要责任人名单、违法事实和处罚措施等信息，充分发挥负面典型案例的震慑警示作用。地方各级环保部门根据《关于对环境保护领域失信生产经营单位及其有关人员开展联合惩戒的合作备忘录》（发改财金〔2016〕1580号）的要求，加强与相关部门的协调配合，依法依规对违法排污单位及相关人员实施联合惩戒。“十三五”期间，每年分季度向社会公布“黄牌”和“红牌”企业名单，实施分类管理；加大抽查核查力度，对企业超标现象普遍、超标企业集中地区的地方政府采取公示、挂牌督办、公开约谈、区域限批等措施。</w:t>
                  </w:r>
                </w:p>
              </w:tc>
              <w:tc>
                <w:tcPr>
                  <w:tcW w:w="2255" w:type="dxa"/>
                  <w:vAlign w:val="center"/>
                </w:tcPr>
                <w:p>
                  <w:pPr>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根据影响预测和分析，改扩建项目锅炉烟气净化后可达《锅炉大气污染物排放标准》（GB13271-2014）中的表2中燃煤锅炉排放标准要求；无组织废气的</w:t>
                  </w:r>
                  <w:r>
                    <w:rPr>
                      <w:rFonts w:hint="eastAsia" w:ascii="Times New Roman" w:hAnsi="Times New Roman"/>
                      <w:color w:val="auto"/>
                      <w:sz w:val="21"/>
                      <w:szCs w:val="21"/>
                    </w:rPr>
                    <w:t>排放</w:t>
                  </w:r>
                  <w:r>
                    <w:rPr>
                      <w:rFonts w:ascii="Times New Roman" w:hAnsi="Times New Roman"/>
                      <w:color w:val="auto"/>
                      <w:sz w:val="21"/>
                      <w:szCs w:val="21"/>
                    </w:rPr>
                    <w:t>浓度值均满足《大气污染物综合排放标准》（GB16297-1996）中的表2标准要求；</w:t>
                  </w:r>
                  <w:r>
                    <w:rPr>
                      <w:rFonts w:hint="eastAsia" w:ascii="Times New Roman" w:hAnsi="Times New Roman"/>
                      <w:color w:val="auto"/>
                      <w:sz w:val="21"/>
                      <w:szCs w:val="21"/>
                    </w:rPr>
                    <w:t>锅炉废水</w:t>
                  </w:r>
                  <w:r>
                    <w:rPr>
                      <w:rFonts w:ascii="Times New Roman" w:hAnsi="Times New Roman"/>
                      <w:color w:val="auto"/>
                      <w:sz w:val="21"/>
                      <w:szCs w:val="21"/>
                    </w:rPr>
                    <w:t>回用于</w:t>
                  </w:r>
                  <w:r>
                    <w:rPr>
                      <w:rFonts w:hint="eastAsia" w:ascii="Times New Roman" w:hAnsi="Times New Roman"/>
                      <w:color w:val="auto"/>
                      <w:sz w:val="21"/>
                      <w:szCs w:val="21"/>
                    </w:rPr>
                    <w:t>现有项目造纸工段，</w:t>
                  </w:r>
                  <w:r>
                    <w:rPr>
                      <w:rFonts w:ascii="Times New Roman" w:hAnsi="Times New Roman"/>
                      <w:color w:val="auto"/>
                      <w:sz w:val="21"/>
                      <w:szCs w:val="21"/>
                    </w:rPr>
                    <w:t>不外排；厂界噪声满足《工业企业厂界环境噪声排放标准》（GB12348-2008）中2类</w:t>
                  </w:r>
                  <w:r>
                    <w:rPr>
                      <w:rFonts w:hint="eastAsia" w:ascii="Times New Roman" w:hAnsi="Times New Roman"/>
                      <w:color w:val="auto"/>
                      <w:sz w:val="21"/>
                      <w:szCs w:val="21"/>
                    </w:rPr>
                    <w:t>、4</w:t>
                  </w:r>
                  <w:r>
                    <w:rPr>
                      <w:rFonts w:ascii="Times New Roman" w:hAnsi="Times New Roman"/>
                      <w:color w:val="auto"/>
                      <w:sz w:val="21"/>
                      <w:szCs w:val="21"/>
                    </w:rPr>
                    <w:t>a</w:t>
                  </w:r>
                  <w:r>
                    <w:rPr>
                      <w:rFonts w:hint="eastAsia" w:ascii="Times New Roman" w:hAnsi="Times New Roman"/>
                      <w:color w:val="auto"/>
                      <w:sz w:val="21"/>
                      <w:szCs w:val="21"/>
                    </w:rPr>
                    <w:t>类</w:t>
                  </w:r>
                  <w:r>
                    <w:rPr>
                      <w:rFonts w:ascii="Times New Roman" w:hAnsi="Times New Roman"/>
                      <w:color w:val="auto"/>
                      <w:sz w:val="21"/>
                      <w:szCs w:val="21"/>
                    </w:rPr>
                    <w:t>标准要求；固废处置率100%。</w:t>
                  </w:r>
                </w:p>
              </w:tc>
              <w:tc>
                <w:tcPr>
                  <w:tcW w:w="0" w:type="auto"/>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adjustRightInd w:val="0"/>
                    <w:snapToGrid w:val="0"/>
                    <w:spacing w:line="276" w:lineRule="auto"/>
                    <w:jc w:val="center"/>
                    <w:rPr>
                      <w:rFonts w:ascii="Times New Roman" w:hAnsi="Times New Roman"/>
                      <w:color w:val="auto"/>
                      <w:sz w:val="21"/>
                      <w:szCs w:val="21"/>
                    </w:rPr>
                  </w:pPr>
                </w:p>
              </w:tc>
              <w:tc>
                <w:tcPr>
                  <w:tcW w:w="4924" w:type="dxa"/>
                  <w:vAlign w:val="center"/>
                </w:tcPr>
                <w:p>
                  <w:pPr>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加强企业污染防治指导。完善行业和地方污染物排放标准体系，有序衔接排污许可证发放工作。督促、指导企业按照有关法律法规及技术规范要求严格开展自行监测和信息公开，提高企业的污染防治和环境管理水平。</w:t>
                  </w:r>
                </w:p>
              </w:tc>
              <w:tc>
                <w:tcPr>
                  <w:tcW w:w="2255" w:type="dxa"/>
                  <w:vAlign w:val="center"/>
                </w:tcPr>
                <w:p>
                  <w:pPr>
                    <w:adjustRightInd w:val="0"/>
                    <w:snapToGrid w:val="0"/>
                    <w:spacing w:line="276" w:lineRule="auto"/>
                    <w:rPr>
                      <w:rFonts w:ascii="Times New Roman" w:hAnsi="Times New Roman"/>
                      <w:color w:val="auto"/>
                      <w:sz w:val="21"/>
                      <w:szCs w:val="21"/>
                    </w:rPr>
                  </w:pPr>
                  <w:r>
                    <w:rPr>
                      <w:rFonts w:ascii="Times New Roman" w:hAnsi="Times New Roman"/>
                      <w:color w:val="auto"/>
                      <w:sz w:val="21"/>
                      <w:szCs w:val="21"/>
                    </w:rPr>
                    <w:t>本项目现有项目已依法申请排污许可证，改扩建项目将重新申请排污许可证并持证依法排污。建设单位将按照相关标准规范开展自行监测并做好台账记录</w:t>
                  </w:r>
                  <w:r>
                    <w:rPr>
                      <w:rFonts w:hint="eastAsia" w:ascii="Times New Roman" w:hAnsi="Times New Roman"/>
                      <w:color w:val="auto"/>
                      <w:sz w:val="21"/>
                      <w:szCs w:val="21"/>
                    </w:rPr>
                    <w:t>，</w:t>
                  </w:r>
                  <w:r>
                    <w:rPr>
                      <w:rFonts w:ascii="Times New Roman" w:hAnsi="Times New Roman"/>
                      <w:color w:val="auto"/>
                      <w:sz w:val="21"/>
                      <w:szCs w:val="21"/>
                    </w:rPr>
                    <w:t>按时提交执行报告并及时公开信息。</w:t>
                  </w:r>
                </w:p>
              </w:tc>
              <w:tc>
                <w:tcPr>
                  <w:tcW w:w="0" w:type="auto"/>
                  <w:vAlign w:val="center"/>
                </w:tcPr>
                <w:p>
                  <w:pPr>
                    <w:adjustRightInd w:val="0"/>
                    <w:snapToGrid w:val="0"/>
                    <w:spacing w:line="276" w:lineRule="auto"/>
                    <w:jc w:val="center"/>
                    <w:rPr>
                      <w:rFonts w:ascii="Times New Roman" w:hAnsi="Times New Roman"/>
                      <w:color w:val="auto"/>
                      <w:sz w:val="21"/>
                      <w:szCs w:val="21"/>
                    </w:rPr>
                  </w:pPr>
                  <w:r>
                    <w:rPr>
                      <w:rFonts w:ascii="Times New Roman" w:hAnsi="Times New Roman"/>
                      <w:color w:val="auto"/>
                      <w:sz w:val="21"/>
                      <w:szCs w:val="21"/>
                    </w:rPr>
                    <w:t>符合</w:t>
                  </w:r>
                </w:p>
              </w:tc>
            </w:tr>
          </w:tbl>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综上，本项目符合《重点流域水污染防治规划（2016-2020年）》（环水体[2017]142号）的相关要求。</w:t>
            </w:r>
          </w:p>
          <w:p>
            <w:pPr>
              <w:pStyle w:val="84"/>
              <w:numPr>
                <w:ilvl w:val="0"/>
                <w:numId w:val="8"/>
              </w:numPr>
              <w:adjustRightInd w:val="0"/>
              <w:snapToGrid w:val="0"/>
              <w:spacing w:line="360" w:lineRule="auto"/>
              <w:ind w:left="22" w:hanging="22"/>
              <w:rPr>
                <w:rFonts w:ascii="Times New Roman" w:hAnsi="Times New Roman"/>
                <w:b/>
                <w:bCs/>
                <w:color w:val="auto"/>
              </w:rPr>
            </w:pPr>
            <w:r>
              <w:rPr>
                <w:rFonts w:ascii="Times New Roman" w:hAnsi="Times New Roman"/>
                <w:b/>
                <w:bCs/>
                <w:color w:val="auto"/>
              </w:rPr>
              <w:t>与《云南省主体功能区规划》的符合性分析</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云南省主体功能区规划》将全省国土空间开发按照开发方式分为重点开发区域、限制开发区域和禁止开发区域3类主体功能区。限制开发区主要指关系全省农产品供给安全、生态安全，不应该或不适宜进行大规模、高强度工业化和城镇化开发的农产品主产区和重点生态功能区，限制开发区也可发展符合主体功能定位、当地资源环境可承载的产业。禁止开发区域指依法设立的各级各类自然文化资源保护区域，以及其他禁止进行工业化和城镇化开发、需要特殊保护的重点生态功能区。规划中禁止开发区域包括自然保护区、世界遗产、风景名胜区、森林公园、城市饮用水源保护区、湿地公园等。</w:t>
            </w:r>
          </w:p>
          <w:p>
            <w:pPr>
              <w:adjustRightInd w:val="0"/>
              <w:snapToGrid w:val="0"/>
              <w:spacing w:line="360" w:lineRule="auto"/>
              <w:ind w:firstLine="480" w:firstLineChars="200"/>
              <w:rPr>
                <w:rFonts w:ascii="Times New Roman" w:hAnsi="Times New Roman"/>
                <w:b/>
                <w:bCs/>
                <w:color w:val="auto"/>
                <w:szCs w:val="22"/>
              </w:rPr>
            </w:pPr>
            <w:r>
              <w:rPr>
                <w:rFonts w:ascii="Times New Roman" w:hAnsi="Times New Roman"/>
                <w:color w:val="auto"/>
              </w:rPr>
              <w:t>项目位于宜良县匡远街道办事处左营村宜马公路旁，项目不涉及自然保护区、风景名胜区、饮用水源保护区、风景名胜区、湿地公园等环境敏感区，根据《云南省主体功能区规划》，项目位于《云南主体功能区规划》划定的国家层面重点开发区域，不属于限制开发区域和禁止开发区域，因此项目符合《云南主体功能区规划》的要求。</w:t>
            </w:r>
          </w:p>
          <w:p>
            <w:pPr>
              <w:pStyle w:val="84"/>
              <w:numPr>
                <w:ilvl w:val="0"/>
                <w:numId w:val="8"/>
              </w:numPr>
              <w:adjustRightInd w:val="0"/>
              <w:snapToGrid w:val="0"/>
              <w:spacing w:line="360" w:lineRule="auto"/>
              <w:ind w:left="22" w:hanging="22"/>
              <w:rPr>
                <w:rFonts w:ascii="Times New Roman" w:hAnsi="Times New Roman"/>
                <w:b/>
                <w:bCs/>
                <w:color w:val="auto"/>
              </w:rPr>
            </w:pPr>
            <w:r>
              <w:rPr>
                <w:rFonts w:ascii="Times New Roman" w:hAnsi="Times New Roman"/>
                <w:b/>
                <w:bCs/>
                <w:color w:val="auto"/>
              </w:rPr>
              <w:t>选址合理性分析</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本项目属于改扩建项目，本项目在现有项目厂</w:t>
            </w:r>
            <w:r>
              <w:rPr>
                <w:rFonts w:hint="eastAsia" w:ascii="Times New Roman" w:hAnsi="Times New Roman"/>
                <w:color w:val="auto"/>
              </w:rPr>
              <w:t>区</w:t>
            </w:r>
            <w:r>
              <w:rPr>
                <w:rFonts w:ascii="Times New Roman" w:hAnsi="Times New Roman"/>
                <w:color w:val="auto"/>
              </w:rPr>
              <w:t>内建设，不新增</w:t>
            </w:r>
            <w:r>
              <w:rPr>
                <w:rFonts w:hint="eastAsia" w:ascii="Times New Roman" w:hAnsi="Times New Roman"/>
                <w:color w:val="auto"/>
              </w:rPr>
              <w:t>占</w:t>
            </w:r>
            <w:r>
              <w:rPr>
                <w:rFonts w:ascii="Times New Roman" w:hAnsi="Times New Roman"/>
                <w:color w:val="auto"/>
              </w:rPr>
              <w:t>地。本项目于1996年10月在此建厂以来，已经历经二十余年，根据宜良县人民政府办公室“关于宜良明丰造纸厂废纸回收利用年产5万吨瓦楞纸原纸生产线技改项目不进入宜良工业园区的情况说明”，同意企业在现有厂址内进行该技改项目。</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从项目周边环境情况看，项目不在自然保护区、风景名胜区、饮用水水源保护区和其他需要特别保护的区域范围内，项目周边200m范围内无集中居民点分布，项目周边分布的现有企业主要为废品收购站、汽车销售、保养及维修商铺、宜良·滇中汽车文化产业园，周围1km范围内无食品、药品等加工企业。根据现场踏勘，项目选址不涉及自然保护区、风景名胜区、饮用水源保护区、森林公园、世界自然遗产以及文物保护单位等环境敏感区，选址避开了居民集中区、医院、学校等环境敏感区。</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综上，本项目的选址合理。</w:t>
            </w:r>
          </w:p>
          <w:p>
            <w:pPr>
              <w:pStyle w:val="84"/>
              <w:numPr>
                <w:ilvl w:val="0"/>
                <w:numId w:val="8"/>
              </w:numPr>
              <w:adjustRightInd w:val="0"/>
              <w:snapToGrid w:val="0"/>
              <w:spacing w:line="360" w:lineRule="auto"/>
              <w:ind w:left="22" w:hanging="22"/>
              <w:rPr>
                <w:rFonts w:ascii="Times New Roman" w:hAnsi="Times New Roman"/>
                <w:b/>
                <w:bCs/>
                <w:color w:val="auto"/>
              </w:rPr>
            </w:pPr>
            <w:r>
              <w:rPr>
                <w:rFonts w:ascii="Times New Roman" w:hAnsi="Times New Roman"/>
                <w:b/>
                <w:bCs/>
                <w:color w:val="auto"/>
              </w:rPr>
              <w:t>与“三线一单”相符性分析</w:t>
            </w:r>
          </w:p>
          <w:p>
            <w:pPr>
              <w:adjustRightInd w:val="0"/>
              <w:snapToGrid w:val="0"/>
              <w:spacing w:line="360" w:lineRule="auto"/>
              <w:ind w:firstLine="480" w:firstLineChars="200"/>
              <w:rPr>
                <w:rFonts w:ascii="Times New Roman" w:hAnsi="Times New Roman"/>
                <w:color w:val="auto"/>
                <w:kern w:val="0"/>
              </w:rPr>
            </w:pPr>
            <w:r>
              <w:rPr>
                <w:rFonts w:ascii="Times New Roman" w:hAnsi="Times New Roman"/>
                <w:color w:val="auto"/>
                <w:kern w:val="0"/>
              </w:rPr>
              <w:t>根据《关于以改善环境质量为核心加强环境影响评价管理的通知》（环环评[2016]150号）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环境破坏的作用，加快推进改善环境质量。</w:t>
            </w:r>
          </w:p>
          <w:p>
            <w:pPr>
              <w:adjustRightInd w:val="0"/>
              <w:snapToGrid w:val="0"/>
              <w:spacing w:line="360" w:lineRule="auto"/>
              <w:ind w:firstLine="480" w:firstLineChars="200"/>
              <w:rPr>
                <w:rFonts w:ascii="Times New Roman" w:hAnsi="Times New Roman"/>
                <w:color w:val="auto"/>
                <w:kern w:val="0"/>
              </w:rPr>
            </w:pPr>
            <w:r>
              <w:rPr>
                <w:rFonts w:ascii="Times New Roman" w:hAnsi="Times New Roman"/>
                <w:color w:val="auto"/>
                <w:kern w:val="0"/>
              </w:rPr>
              <w:t>本项目与“三线一单”相符性分析详见下表：</w:t>
            </w:r>
          </w:p>
          <w:p>
            <w:pPr>
              <w:pStyle w:val="10"/>
              <w:adjustRightInd w:val="0"/>
              <w:snapToGrid w:val="0"/>
              <w:spacing w:line="240" w:lineRule="auto"/>
              <w:rPr>
                <w:rFonts w:ascii="Times New Roman" w:hAnsi="Times New Roman"/>
                <w:color w:val="auto"/>
                <w:sz w:val="21"/>
                <w:szCs w:val="21"/>
              </w:rPr>
            </w:pPr>
            <w:r>
              <w:rPr>
                <w:rFonts w:ascii="Times New Roman" w:hAnsi="Times New Roman"/>
                <w:color w:val="auto"/>
                <w:sz w:val="21"/>
                <w:szCs w:val="21"/>
              </w:rPr>
              <w:t>表7</w:t>
            </w:r>
            <w:r>
              <w:rPr>
                <w:rFonts w:ascii="Times New Roman" w:hAnsi="Times New Roman"/>
                <w:color w:val="auto"/>
                <w:sz w:val="21"/>
                <w:szCs w:val="21"/>
              </w:rPr>
              <w:noBreakHyphen/>
            </w:r>
            <w:r>
              <w:rPr>
                <w:rFonts w:ascii="Times New Roman" w:hAnsi="Times New Roman"/>
                <w:color w:val="auto"/>
                <w:sz w:val="21"/>
                <w:szCs w:val="21"/>
              </w:rPr>
              <w:t>9  与环环评〔2016〕150号符合性分析</w:t>
            </w:r>
          </w:p>
          <w:tbl>
            <w:tblPr>
              <w:tblStyle w:val="3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6"/>
              <w:gridCol w:w="720"/>
              <w:gridCol w:w="2165"/>
              <w:gridCol w:w="4763"/>
              <w:gridCol w:w="7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序号</w:t>
                  </w:r>
                </w:p>
              </w:tc>
              <w:tc>
                <w:tcPr>
                  <w:tcW w:w="39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内容</w:t>
                  </w:r>
                </w:p>
              </w:tc>
              <w:tc>
                <w:tcPr>
                  <w:tcW w:w="1188"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要求</w:t>
                  </w:r>
                </w:p>
              </w:tc>
              <w:tc>
                <w:tcPr>
                  <w:tcW w:w="2614"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本项目情况</w:t>
                  </w:r>
                </w:p>
              </w:tc>
              <w:tc>
                <w:tcPr>
                  <w:tcW w:w="38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1</w:t>
                  </w:r>
                </w:p>
              </w:tc>
              <w:tc>
                <w:tcPr>
                  <w:tcW w:w="39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生态保护红线</w:t>
                  </w:r>
                </w:p>
              </w:tc>
              <w:tc>
                <w:tcPr>
                  <w:tcW w:w="1188"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生态保护红线范围内，不得建设工业类项目和矿产开发项目。</w:t>
                  </w:r>
                </w:p>
              </w:tc>
              <w:tc>
                <w:tcPr>
                  <w:tcW w:w="2614"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根据《云南省人民政府关于发布云南省生态保护红线的通知》（云政发[2018]32号），本项目选址不在重要生态功能区、生活饮用水水源保护区、风景名胜区、旅游度假区、森林公园、文物和历史遗迹保护区、自然保护区的核心区及缓冲区等区域，与云南省生态保护红线的相关要求不冲突。</w:t>
                  </w:r>
                </w:p>
              </w:tc>
              <w:tc>
                <w:tcPr>
                  <w:tcW w:w="38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2</w:t>
                  </w:r>
                </w:p>
              </w:tc>
              <w:tc>
                <w:tcPr>
                  <w:tcW w:w="39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环境质量底线</w:t>
                  </w:r>
                </w:p>
              </w:tc>
              <w:tc>
                <w:tcPr>
                  <w:tcW w:w="1188"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环境质量现状超标地区及未达到环境质量目标考核要求的地区上新项目将受到限制。</w:t>
                  </w:r>
                </w:p>
              </w:tc>
              <w:tc>
                <w:tcPr>
                  <w:tcW w:w="2614"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根据对项目区域环境现状调查，项目区域大气环境、地表水环境、声环境均能满足相关环境质量标准要求。</w:t>
                  </w:r>
                </w:p>
              </w:tc>
              <w:tc>
                <w:tcPr>
                  <w:tcW w:w="38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3</w:t>
                  </w:r>
                </w:p>
              </w:tc>
              <w:tc>
                <w:tcPr>
                  <w:tcW w:w="39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资源利用上线</w:t>
                  </w:r>
                </w:p>
              </w:tc>
              <w:tc>
                <w:tcPr>
                  <w:tcW w:w="1188"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各地区能源、水、土地等资源消耗是不得突破的“天花板”。</w:t>
                  </w:r>
                </w:p>
              </w:tc>
              <w:tc>
                <w:tcPr>
                  <w:tcW w:w="2614"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项目为锅炉技改项目，用电均为市政供应，所用原材料均为其他产业废料，项目取水量较小，不存在取土等行为，不会突破区域资料利用上线</w:t>
                  </w:r>
                </w:p>
              </w:tc>
              <w:tc>
                <w:tcPr>
                  <w:tcW w:w="38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4</w:t>
                  </w:r>
                </w:p>
              </w:tc>
              <w:tc>
                <w:tcPr>
                  <w:tcW w:w="39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环境准入负面清单</w:t>
                  </w:r>
                </w:p>
              </w:tc>
              <w:tc>
                <w:tcPr>
                  <w:tcW w:w="1188"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规划环评清单式管理试点的基础上，从布局选址、资源利用效率、资源配置方式等方面入手，制定环境准入负面清单。</w:t>
                  </w:r>
                </w:p>
              </w:tc>
              <w:tc>
                <w:tcPr>
                  <w:tcW w:w="2614"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本项目运行期间产生的废水、固废均经过处置后实现资源化利用，</w:t>
                  </w:r>
                  <w:r>
                    <w:rPr>
                      <w:rFonts w:hint="eastAsia" w:ascii="Times New Roman" w:hAnsi="Times New Roman"/>
                      <w:color w:val="auto"/>
                      <w:sz w:val="21"/>
                      <w:szCs w:val="21"/>
                    </w:rPr>
                    <w:t>本项目的建设符合相关产业政策要求，</w:t>
                  </w:r>
                  <w:r>
                    <w:rPr>
                      <w:rFonts w:ascii="Times New Roman" w:hAnsi="Times New Roman"/>
                      <w:color w:val="auto"/>
                      <w:sz w:val="21"/>
                      <w:szCs w:val="21"/>
                    </w:rPr>
                    <w:t>对照《市场准入负面清单（</w:t>
                  </w:r>
                  <w:r>
                    <w:rPr>
                      <w:rFonts w:ascii="Times New Roman" w:hAnsi="Times New Roman"/>
                      <w:color w:val="auto"/>
                      <w:sz w:val="21"/>
                      <w:szCs w:val="21"/>
                    </w:rPr>
                    <w:t>2020版</w:t>
                  </w:r>
                  <w:r>
                    <w:rPr>
                      <w:rFonts w:ascii="Times New Roman" w:hAnsi="Times New Roman"/>
                      <w:color w:val="auto"/>
                      <w:sz w:val="21"/>
                      <w:szCs w:val="21"/>
                    </w:rPr>
                    <w:t>）》，本项目</w:t>
                  </w:r>
                  <w:r>
                    <w:rPr>
                      <w:rFonts w:hint="eastAsia" w:ascii="Times New Roman" w:hAnsi="Times New Roman"/>
                      <w:color w:val="auto"/>
                      <w:sz w:val="21"/>
                      <w:szCs w:val="21"/>
                    </w:rPr>
                    <w:t>不涉及清单中的禁止准入类或许可准入类，</w:t>
                  </w:r>
                  <w:r>
                    <w:rPr>
                      <w:rFonts w:ascii="Times New Roman" w:hAnsi="Times New Roman"/>
                      <w:color w:val="auto"/>
                      <w:sz w:val="21"/>
                      <w:szCs w:val="21"/>
                    </w:rPr>
                    <w:t>不在负面清单之列。</w:t>
                  </w:r>
                </w:p>
              </w:tc>
              <w:tc>
                <w:tcPr>
                  <w:tcW w:w="38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符合</w:t>
                  </w:r>
                </w:p>
              </w:tc>
            </w:tr>
          </w:tbl>
          <w:p>
            <w:pPr>
              <w:adjustRightInd w:val="0"/>
              <w:snapToGrid w:val="0"/>
              <w:spacing w:line="360" w:lineRule="auto"/>
              <w:ind w:firstLine="480" w:firstLineChars="200"/>
              <w:rPr>
                <w:rFonts w:ascii="Times New Roman" w:hAnsi="Times New Roman"/>
                <w:b/>
                <w:bCs/>
                <w:color w:val="auto"/>
                <w:szCs w:val="22"/>
              </w:rPr>
            </w:pPr>
            <w:r>
              <w:rPr>
                <w:rFonts w:ascii="Times New Roman" w:hAnsi="Times New Roman"/>
                <w:color w:val="auto"/>
              </w:rPr>
              <w:t>本项目对比云南省人民政府发布的《云南省生态保护红线的通知》，项目所在地不在生态红线范围内，本项目建设不涉及是生态保护红线、环境质量底线、资源利用上线，不涉及</w:t>
            </w:r>
            <w:r>
              <w:rPr>
                <w:rFonts w:ascii="Times New Roman" w:hAnsi="Times New Roman"/>
                <w:color w:val="auto"/>
              </w:rPr>
              <w:t>《市场准入负面清单（2020版）》</w:t>
            </w:r>
            <w:r>
              <w:rPr>
                <w:rFonts w:hint="eastAsia" w:ascii="Times New Roman" w:hAnsi="Times New Roman"/>
                <w:color w:val="auto"/>
              </w:rPr>
              <w:t>中的禁止准入类或许可准入类</w:t>
            </w:r>
            <w:r>
              <w:rPr>
                <w:rFonts w:ascii="Times New Roman" w:hAnsi="Times New Roman"/>
                <w:color w:val="auto"/>
              </w:rPr>
              <w:t>。</w:t>
            </w:r>
            <w:r>
              <w:rPr>
                <w:rFonts w:hint="eastAsia" w:ascii="Times New Roman" w:hAnsi="Times New Roman"/>
                <w:color w:val="auto"/>
              </w:rPr>
              <w:t>综上，本项目与</w:t>
            </w:r>
            <w:r>
              <w:rPr>
                <w:rFonts w:ascii="Times New Roman" w:hAnsi="Times New Roman"/>
                <w:color w:val="auto"/>
              </w:rPr>
              <w:t>“三线一单”</w:t>
            </w:r>
            <w:r>
              <w:rPr>
                <w:rFonts w:hint="eastAsia" w:ascii="Times New Roman" w:hAnsi="Times New Roman"/>
                <w:color w:val="auto"/>
              </w:rPr>
              <w:t>要求相符。</w:t>
            </w:r>
          </w:p>
          <w:p>
            <w:pPr>
              <w:pStyle w:val="84"/>
              <w:numPr>
                <w:ilvl w:val="0"/>
                <w:numId w:val="8"/>
              </w:numPr>
              <w:adjustRightInd w:val="0"/>
              <w:snapToGrid w:val="0"/>
              <w:spacing w:line="360" w:lineRule="auto"/>
              <w:ind w:left="22" w:hanging="22"/>
              <w:rPr>
                <w:rFonts w:ascii="Times New Roman" w:hAnsi="Times New Roman"/>
                <w:b/>
                <w:bCs/>
                <w:color w:val="auto"/>
              </w:rPr>
            </w:pPr>
            <w:r>
              <w:rPr>
                <w:rFonts w:ascii="Times New Roman" w:hAnsi="Times New Roman"/>
                <w:b/>
                <w:bCs/>
                <w:color w:val="auto"/>
              </w:rPr>
              <w:t>平面布局合理性分析</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技改项目在现有项目厂区内进行建设和运行，沿用原有车间布局，将锅炉房设在临路一侧，</w:t>
            </w:r>
            <w:r>
              <w:rPr>
                <w:rFonts w:ascii="Times New Roman" w:hAnsi="Times New Roman"/>
                <w:color w:val="auto"/>
              </w:rPr>
              <w:t>整体布置既便于生产，防止生产中各个环节互相干扰，又方便</w:t>
            </w:r>
            <w:r>
              <w:rPr>
                <w:rFonts w:hint="eastAsia" w:ascii="Times New Roman" w:hAnsi="Times New Roman"/>
                <w:color w:val="auto"/>
              </w:rPr>
              <w:t>燃料、固废</w:t>
            </w:r>
            <w:r>
              <w:rPr>
                <w:rFonts w:ascii="Times New Roman" w:hAnsi="Times New Roman"/>
                <w:color w:val="auto"/>
              </w:rPr>
              <w:t>运输。因此本项目平面</w:t>
            </w:r>
            <w:r>
              <w:rPr>
                <w:rFonts w:hint="eastAsia" w:ascii="Times New Roman" w:hAnsi="Times New Roman"/>
                <w:color w:val="auto"/>
              </w:rPr>
              <w:t>布局</w:t>
            </w:r>
            <w:r>
              <w:rPr>
                <w:rFonts w:ascii="Times New Roman" w:hAnsi="Times New Roman"/>
                <w:color w:val="auto"/>
              </w:rPr>
              <w:t>较为合理。</w:t>
            </w:r>
          </w:p>
          <w:p>
            <w:pPr>
              <w:adjustRightInd w:val="0"/>
              <w:snapToGrid w:val="0"/>
              <w:rPr>
                <w:rFonts w:ascii="Times New Roman" w:hAnsi="Times New Roman"/>
                <w:color w:val="auto"/>
                <w:lang w:val="zh-CN"/>
              </w:rPr>
            </w:pPr>
          </w:p>
          <w:p>
            <w:pPr>
              <w:pStyle w:val="2"/>
              <w:adjustRightInd w:val="0"/>
              <w:snapToGrid w:val="0"/>
              <w:rPr>
                <w:rFonts w:ascii="Times New Roman" w:hAnsi="Times New Roman" w:cs="Times New Roman"/>
                <w:color w:val="auto"/>
                <w:lang w:val="zh-CN"/>
              </w:rPr>
            </w:pPr>
          </w:p>
          <w:p>
            <w:pPr>
              <w:adjustRightInd w:val="0"/>
              <w:snapToGrid w:val="0"/>
              <w:rPr>
                <w:rFonts w:ascii="Times New Roman" w:hAnsi="Times New Roman"/>
                <w:color w:val="auto"/>
                <w:lang w:val="zh-CN"/>
              </w:rPr>
            </w:pPr>
          </w:p>
          <w:p>
            <w:pPr>
              <w:pStyle w:val="2"/>
              <w:adjustRightInd w:val="0"/>
              <w:snapToGrid w:val="0"/>
              <w:rPr>
                <w:rFonts w:ascii="Times New Roman" w:hAnsi="Times New Roman" w:cs="Times New Roman"/>
                <w:color w:val="auto"/>
                <w:lang w:val="zh-CN"/>
              </w:rPr>
            </w:pPr>
          </w:p>
          <w:p>
            <w:pPr>
              <w:pStyle w:val="2"/>
              <w:adjustRightInd w:val="0"/>
              <w:snapToGrid w:val="0"/>
              <w:rPr>
                <w:rFonts w:ascii="Times New Roman" w:hAnsi="Times New Roman" w:cs="Times New Roman"/>
                <w:color w:val="auto"/>
                <w:lang w:val="zh-CN"/>
              </w:rPr>
            </w:pPr>
          </w:p>
          <w:p>
            <w:pPr>
              <w:pStyle w:val="2"/>
              <w:adjustRightInd w:val="0"/>
              <w:snapToGrid w:val="0"/>
              <w:rPr>
                <w:rFonts w:ascii="Times New Roman" w:hAnsi="Times New Roman" w:cs="Times New Roman"/>
                <w:color w:val="auto"/>
              </w:rPr>
            </w:pPr>
          </w:p>
        </w:tc>
      </w:tr>
    </w:tbl>
    <w:p>
      <w:pPr>
        <w:adjustRightInd w:val="0"/>
        <w:snapToGrid w:val="0"/>
        <w:spacing w:after="120" w:line="320" w:lineRule="atLeast"/>
        <w:outlineLvl w:val="0"/>
        <w:rPr>
          <w:rFonts w:ascii="Times New Roman" w:hAnsi="Times New Roman"/>
          <w:b/>
          <w:bCs/>
          <w:color w:val="auto"/>
          <w:sz w:val="30"/>
          <w:szCs w:val="30"/>
        </w:rPr>
      </w:pPr>
      <w:bookmarkStart w:id="47" w:name="_Toc4318"/>
      <w:r>
        <w:rPr>
          <w:rFonts w:ascii="Times New Roman" w:hAnsi="Times New Roman"/>
          <w:b/>
          <w:bCs/>
          <w:color w:val="auto"/>
          <w:sz w:val="30"/>
          <w:szCs w:val="30"/>
        </w:rPr>
        <w:br w:type="page"/>
      </w:r>
    </w:p>
    <w:p>
      <w:pPr>
        <w:adjustRightInd w:val="0"/>
        <w:snapToGrid w:val="0"/>
        <w:spacing w:after="120" w:line="320" w:lineRule="atLeast"/>
        <w:outlineLvl w:val="0"/>
        <w:rPr>
          <w:rFonts w:ascii="Times New Roman" w:hAnsi="Times New Roman"/>
          <w:b/>
          <w:bCs/>
          <w:color w:val="auto"/>
          <w:sz w:val="30"/>
          <w:szCs w:val="30"/>
        </w:rPr>
      </w:pPr>
      <w:r>
        <w:rPr>
          <w:rFonts w:ascii="Times New Roman" w:hAnsi="Times New Roman"/>
          <w:b/>
          <w:bCs/>
          <w:color w:val="auto"/>
          <w:sz w:val="30"/>
          <w:szCs w:val="30"/>
        </w:rPr>
        <w:t>表八、建设项目拟采取的防治措施及预期治理效果</w:t>
      </w:r>
      <w:bookmarkEnd w:id="47"/>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521"/>
        <w:gridCol w:w="1177"/>
        <w:gridCol w:w="1339"/>
        <w:gridCol w:w="2987"/>
        <w:gridCol w:w="2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8" w:type="dxa"/>
            <w:gridSpan w:val="2"/>
            <w:tcBorders>
              <w:top w:val="single" w:color="auto" w:sz="4" w:space="0"/>
              <w:left w:val="single" w:color="auto" w:sz="4" w:space="0"/>
              <w:bottom w:val="single" w:color="auto" w:sz="4" w:space="0"/>
              <w:right w:val="single" w:color="auto" w:sz="4" w:space="0"/>
              <w:tl2br w:val="single" w:color="auto" w:sz="4" w:space="0"/>
            </w:tcBorders>
            <w:tcMar>
              <w:left w:w="28" w:type="dxa"/>
              <w:right w:w="28" w:type="dxa"/>
            </w:tcMar>
            <w:vAlign w:val="center"/>
          </w:tcPr>
          <w:p>
            <w:pPr>
              <w:adjustRightInd w:val="0"/>
              <w:snapToGrid w:val="0"/>
              <w:ind w:right="6"/>
              <w:jc w:val="right"/>
              <w:rPr>
                <w:rFonts w:ascii="Times New Roman" w:hAnsi="Times New Roman"/>
                <w:b/>
                <w:bCs/>
                <w:color w:val="auto"/>
                <w:sz w:val="21"/>
                <w:szCs w:val="21"/>
              </w:rPr>
            </w:pPr>
            <w:r>
              <w:rPr>
                <w:rFonts w:ascii="Times New Roman" w:hAnsi="Times New Roman"/>
                <w:b/>
                <w:bCs/>
                <w:color w:val="auto"/>
                <w:sz w:val="21"/>
                <w:szCs w:val="21"/>
              </w:rPr>
              <w:t>内容</w:t>
            </w:r>
          </w:p>
          <w:p>
            <w:pPr>
              <w:adjustRightInd w:val="0"/>
              <w:snapToGrid w:val="0"/>
              <w:rPr>
                <w:rFonts w:ascii="Times New Roman" w:hAnsi="Times New Roman"/>
                <w:b/>
                <w:bCs/>
                <w:color w:val="auto"/>
                <w:sz w:val="21"/>
                <w:szCs w:val="21"/>
              </w:rPr>
            </w:pPr>
            <w:r>
              <w:rPr>
                <w:rFonts w:ascii="Times New Roman" w:hAnsi="Times New Roman"/>
                <w:b/>
                <w:bCs/>
                <w:color w:val="auto"/>
                <w:sz w:val="21"/>
                <w:szCs w:val="21"/>
              </w:rPr>
              <w:t>类型</w:t>
            </w:r>
          </w:p>
        </w:tc>
        <w:tc>
          <w:tcPr>
            <w:tcW w:w="11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
              <w:adjustRightInd w:val="0"/>
              <w:snapToGrid w:val="0"/>
              <w:rPr>
                <w:rFonts w:ascii="Times New Roman" w:hAnsi="Times New Roman"/>
                <w:b/>
                <w:bCs/>
                <w:color w:val="auto"/>
                <w:sz w:val="21"/>
                <w:szCs w:val="21"/>
              </w:rPr>
            </w:pPr>
            <w:r>
              <w:rPr>
                <w:rFonts w:ascii="Times New Roman" w:hAnsi="Times New Roman"/>
                <w:b/>
                <w:bCs/>
                <w:color w:val="auto"/>
                <w:sz w:val="21"/>
                <w:szCs w:val="21"/>
              </w:rPr>
              <w:t>排放源</w:t>
            </w:r>
          </w:p>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（编号）</w:t>
            </w:r>
          </w:p>
        </w:tc>
        <w:tc>
          <w:tcPr>
            <w:tcW w:w="13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ind w:left="113" w:right="113"/>
              <w:jc w:val="center"/>
              <w:rPr>
                <w:rFonts w:ascii="Times New Roman" w:hAnsi="Times New Roman"/>
                <w:b/>
                <w:bCs/>
                <w:color w:val="auto"/>
                <w:sz w:val="21"/>
                <w:szCs w:val="21"/>
              </w:rPr>
            </w:pPr>
            <w:r>
              <w:rPr>
                <w:rFonts w:ascii="Times New Roman" w:hAnsi="Times New Roman"/>
                <w:b/>
                <w:bCs/>
                <w:color w:val="auto"/>
                <w:sz w:val="21"/>
                <w:szCs w:val="21"/>
              </w:rPr>
              <w:t>污染物</w:t>
            </w:r>
          </w:p>
          <w:p>
            <w:pPr>
              <w:adjustRightInd w:val="0"/>
              <w:snapToGrid w:val="0"/>
              <w:ind w:left="113" w:right="113"/>
              <w:jc w:val="center"/>
              <w:rPr>
                <w:rFonts w:ascii="Times New Roman" w:hAnsi="Times New Roman"/>
                <w:b/>
                <w:bCs/>
                <w:color w:val="auto"/>
                <w:sz w:val="21"/>
                <w:szCs w:val="21"/>
              </w:rPr>
            </w:pPr>
            <w:r>
              <w:rPr>
                <w:rFonts w:ascii="Times New Roman" w:hAnsi="Times New Roman"/>
                <w:b/>
                <w:bCs/>
                <w:color w:val="auto"/>
                <w:sz w:val="21"/>
                <w:szCs w:val="21"/>
              </w:rPr>
              <w:t>名称</w:t>
            </w:r>
          </w:p>
        </w:tc>
        <w:tc>
          <w:tcPr>
            <w:tcW w:w="293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防治措施</w:t>
            </w:r>
          </w:p>
        </w:tc>
        <w:tc>
          <w:tcPr>
            <w:tcW w:w="259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0" w:type="auto"/>
            <w:vMerge w:val="restart"/>
            <w:tcBorders>
              <w:top w:val="single" w:color="auto" w:sz="4" w:space="0"/>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hint="eastAsia" w:ascii="Times New Roman" w:hAnsi="Times New Roman"/>
                <w:color w:val="auto"/>
                <w:sz w:val="21"/>
                <w:szCs w:val="21"/>
              </w:rPr>
              <w:t>废气</w:t>
            </w:r>
          </w:p>
        </w:tc>
        <w:tc>
          <w:tcPr>
            <w:tcW w:w="512" w:type="dxa"/>
            <w:vMerge w:val="restart"/>
            <w:tcBorders>
              <w:top w:val="single" w:color="auto" w:sz="4" w:space="0"/>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ascii="Times New Roman" w:hAnsi="Times New Roman"/>
                <w:color w:val="auto"/>
                <w:sz w:val="21"/>
                <w:szCs w:val="21"/>
              </w:rPr>
              <w:t>施工期</w:t>
            </w:r>
          </w:p>
        </w:tc>
        <w:tc>
          <w:tcPr>
            <w:tcW w:w="1157" w:type="dxa"/>
            <w:tcBorders>
              <w:top w:val="single" w:color="auto" w:sz="4" w:space="0"/>
              <w:left w:val="single" w:color="auto" w:sz="4" w:space="0"/>
              <w:right w:val="single" w:color="auto" w:sz="4" w:space="0"/>
            </w:tcBorders>
            <w:tcMar>
              <w:left w:w="28" w:type="dxa"/>
              <w:right w:w="28" w:type="dxa"/>
            </w:tcMar>
            <w:vAlign w:val="center"/>
          </w:tcPr>
          <w:p>
            <w:pPr>
              <w:adjustRightInd w:val="0"/>
              <w:snapToGrid w:val="0"/>
              <w:spacing w:line="360" w:lineRule="exact"/>
              <w:ind w:left="-108" w:firstLine="94" w:firstLineChars="45"/>
              <w:jc w:val="center"/>
              <w:rPr>
                <w:rFonts w:ascii="Times New Roman" w:hAnsi="Times New Roman"/>
                <w:color w:val="auto"/>
                <w:sz w:val="21"/>
                <w:szCs w:val="21"/>
              </w:rPr>
            </w:pPr>
            <w:r>
              <w:rPr>
                <w:rFonts w:ascii="Times New Roman" w:hAnsi="Times New Roman"/>
                <w:color w:val="auto"/>
                <w:sz w:val="21"/>
                <w:szCs w:val="21"/>
              </w:rPr>
              <w:t>打孔</w:t>
            </w:r>
            <w:r>
              <w:rPr>
                <w:rFonts w:hint="eastAsia" w:ascii="Times New Roman" w:hAnsi="Times New Roman"/>
                <w:color w:val="auto"/>
                <w:sz w:val="21"/>
                <w:szCs w:val="21"/>
              </w:rPr>
              <w:t>预制</w:t>
            </w:r>
            <w:r>
              <w:rPr>
                <w:rFonts w:ascii="Times New Roman" w:hAnsi="Times New Roman"/>
                <w:color w:val="auto"/>
                <w:sz w:val="21"/>
                <w:szCs w:val="21"/>
              </w:rPr>
              <w:t>等工</w:t>
            </w:r>
            <w:r>
              <w:rPr>
                <w:rFonts w:hint="eastAsia" w:ascii="Times New Roman" w:hAnsi="Times New Roman"/>
                <w:color w:val="auto"/>
                <w:sz w:val="21"/>
                <w:szCs w:val="21"/>
              </w:rPr>
              <w:t>序</w:t>
            </w:r>
          </w:p>
        </w:tc>
        <w:tc>
          <w:tcPr>
            <w:tcW w:w="13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粉尘</w:t>
            </w:r>
          </w:p>
        </w:tc>
        <w:tc>
          <w:tcPr>
            <w:tcW w:w="2936" w:type="dxa"/>
            <w:tcBorders>
              <w:top w:val="single" w:color="auto" w:sz="4" w:space="0"/>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车间阻隔</w:t>
            </w:r>
            <w:r>
              <w:rPr>
                <w:rFonts w:hint="eastAsia" w:ascii="Times New Roman" w:hAnsi="Times New Roman"/>
                <w:color w:val="auto"/>
                <w:sz w:val="21"/>
                <w:szCs w:val="21"/>
              </w:rPr>
              <w:t>、洒水降尘</w:t>
            </w:r>
          </w:p>
        </w:tc>
        <w:tc>
          <w:tcPr>
            <w:tcW w:w="2594" w:type="dxa"/>
            <w:tcBorders>
              <w:top w:val="single" w:color="auto" w:sz="4" w:space="0"/>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达到</w:t>
            </w:r>
            <w:r>
              <w:rPr>
                <w:rFonts w:ascii="Times New Roman" w:hAnsi="Times New Roman"/>
                <w:color w:val="auto"/>
                <w:sz w:val="21"/>
                <w:szCs w:val="21"/>
              </w:rPr>
              <w:t>《大气污染物综合排放标准》（GB16297-1996）的无组织颗粒物标准</w:t>
            </w:r>
            <w:r>
              <w:rPr>
                <w:rFonts w:hint="eastAsia" w:ascii="Times New Roman" w:hAnsi="Times New Roman"/>
                <w:color w:val="auto"/>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0" w:type="auto"/>
            <w:vMerge w:val="continue"/>
            <w:tcBorders>
              <w:top w:val="single" w:color="auto" w:sz="4" w:space="0"/>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512" w:type="dxa"/>
            <w:vMerge w:val="continue"/>
            <w:tcBorders>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1157" w:type="dxa"/>
            <w:tcBorders>
              <w:top w:val="single" w:color="auto" w:sz="4" w:space="0"/>
              <w:left w:val="single" w:color="auto" w:sz="4" w:space="0"/>
              <w:right w:val="single" w:color="auto" w:sz="4" w:space="0"/>
            </w:tcBorders>
            <w:tcMar>
              <w:left w:w="28" w:type="dxa"/>
              <w:right w:w="28" w:type="dxa"/>
            </w:tcMar>
            <w:vAlign w:val="center"/>
          </w:tcPr>
          <w:p>
            <w:pPr>
              <w:adjustRightInd w:val="0"/>
              <w:snapToGrid w:val="0"/>
              <w:spacing w:line="360" w:lineRule="exact"/>
              <w:ind w:left="-108" w:firstLine="94" w:firstLineChars="45"/>
              <w:jc w:val="center"/>
              <w:rPr>
                <w:rFonts w:ascii="Times New Roman" w:hAnsi="Times New Roman"/>
                <w:color w:val="auto"/>
                <w:sz w:val="21"/>
                <w:szCs w:val="21"/>
              </w:rPr>
            </w:pPr>
            <w:r>
              <w:rPr>
                <w:rFonts w:hint="eastAsia" w:ascii="Times New Roman" w:hAnsi="Times New Roman"/>
                <w:color w:val="auto"/>
                <w:sz w:val="21"/>
                <w:szCs w:val="21"/>
              </w:rPr>
              <w:t>施工机械、运输车辆</w:t>
            </w:r>
          </w:p>
        </w:tc>
        <w:tc>
          <w:tcPr>
            <w:tcW w:w="13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施工机械尾气（</w:t>
            </w:r>
            <w:r>
              <w:rPr>
                <w:rFonts w:ascii="Times New Roman" w:hAnsi="Times New Roman"/>
                <w:color w:val="auto"/>
                <w:sz w:val="21"/>
                <w:szCs w:val="21"/>
              </w:rPr>
              <w:t>HC、CO、NO</w:t>
            </w:r>
            <w:r>
              <w:rPr>
                <w:rFonts w:hint="eastAsia" w:ascii="Times New Roman" w:hAnsi="Times New Roman"/>
                <w:color w:val="auto"/>
                <w:sz w:val="21"/>
                <w:szCs w:val="21"/>
                <w:vertAlign w:val="subscript"/>
              </w:rPr>
              <w:t>X</w:t>
            </w:r>
            <w:r>
              <w:rPr>
                <w:rFonts w:hint="eastAsia" w:ascii="Times New Roman" w:hAnsi="Times New Roman"/>
                <w:color w:val="auto"/>
                <w:sz w:val="21"/>
                <w:szCs w:val="21"/>
              </w:rPr>
              <w:t>）</w:t>
            </w:r>
          </w:p>
        </w:tc>
        <w:tc>
          <w:tcPr>
            <w:tcW w:w="2936" w:type="dxa"/>
            <w:tcBorders>
              <w:top w:val="single" w:color="auto" w:sz="4" w:space="0"/>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做好施工机械设备和运输车辆的保养</w:t>
            </w:r>
          </w:p>
        </w:tc>
        <w:tc>
          <w:tcPr>
            <w:tcW w:w="2594" w:type="dxa"/>
            <w:tcBorders>
              <w:top w:val="single" w:color="auto" w:sz="4" w:space="0"/>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对周围居民的影响可接受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0" w:type="auto"/>
            <w:vMerge w:val="continue"/>
            <w:tcBorders>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512" w:type="dxa"/>
            <w:vMerge w:val="restart"/>
            <w:tcBorders>
              <w:top w:val="single" w:color="auto" w:sz="4" w:space="0"/>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ascii="Times New Roman" w:hAnsi="Times New Roman"/>
                <w:color w:val="auto"/>
                <w:sz w:val="21"/>
                <w:szCs w:val="21"/>
              </w:rPr>
              <w:t>运营期</w:t>
            </w:r>
          </w:p>
        </w:tc>
        <w:tc>
          <w:tcPr>
            <w:tcW w:w="1157" w:type="dxa"/>
            <w:tcBorders>
              <w:top w:val="single" w:color="auto" w:sz="4" w:space="0"/>
              <w:left w:val="single" w:color="auto" w:sz="4" w:space="0"/>
              <w:right w:val="single" w:color="auto" w:sz="4" w:space="0"/>
            </w:tcBorders>
            <w:tcMar>
              <w:left w:w="28" w:type="dxa"/>
              <w:right w:w="28" w:type="dxa"/>
            </w:tcMar>
            <w:vAlign w:val="center"/>
          </w:tcPr>
          <w:p>
            <w:pPr>
              <w:adjustRightInd w:val="0"/>
              <w:snapToGrid w:val="0"/>
              <w:spacing w:line="360" w:lineRule="exact"/>
              <w:ind w:left="-108" w:firstLine="94" w:firstLineChars="45"/>
              <w:jc w:val="center"/>
              <w:rPr>
                <w:rFonts w:ascii="Times New Roman" w:hAnsi="Times New Roman"/>
                <w:color w:val="auto"/>
                <w:sz w:val="21"/>
                <w:szCs w:val="21"/>
              </w:rPr>
            </w:pPr>
            <w:r>
              <w:rPr>
                <w:rFonts w:ascii="Times New Roman" w:hAnsi="Times New Roman"/>
                <w:color w:val="auto"/>
                <w:sz w:val="21"/>
                <w:szCs w:val="21"/>
              </w:rPr>
              <w:t>锅炉</w:t>
            </w:r>
            <w:r>
              <w:rPr>
                <w:rFonts w:hint="eastAsia" w:ascii="Times New Roman" w:hAnsi="Times New Roman"/>
                <w:color w:val="auto"/>
                <w:sz w:val="21"/>
                <w:szCs w:val="21"/>
              </w:rPr>
              <w:t>烟</w:t>
            </w:r>
            <w:r>
              <w:rPr>
                <w:rFonts w:ascii="Times New Roman" w:hAnsi="Times New Roman"/>
                <w:color w:val="auto"/>
                <w:sz w:val="21"/>
                <w:szCs w:val="21"/>
              </w:rPr>
              <w:t>气</w:t>
            </w:r>
          </w:p>
        </w:tc>
        <w:tc>
          <w:tcPr>
            <w:tcW w:w="1317" w:type="dxa"/>
            <w:tcBorders>
              <w:top w:val="single" w:color="auto" w:sz="4" w:space="0"/>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锅炉烟气（</w:t>
            </w:r>
            <w:r>
              <w:rPr>
                <w:rFonts w:ascii="Times New Roman" w:hAnsi="Times New Roman"/>
                <w:color w:val="auto"/>
                <w:kern w:val="2"/>
                <w:sz w:val="21"/>
                <w:szCs w:val="21"/>
              </w:rPr>
              <w:t>SO</w:t>
            </w:r>
            <w:r>
              <w:rPr>
                <w:rFonts w:ascii="Times New Roman" w:hAnsi="Times New Roman"/>
                <w:color w:val="auto"/>
                <w:kern w:val="2"/>
                <w:sz w:val="21"/>
                <w:szCs w:val="21"/>
                <w:vertAlign w:val="subscript"/>
              </w:rPr>
              <w:t>2</w:t>
            </w:r>
            <w:r>
              <w:rPr>
                <w:rFonts w:hint="eastAsia" w:ascii="Times New Roman" w:hAnsi="Times New Roman"/>
                <w:color w:val="auto"/>
                <w:kern w:val="2"/>
                <w:sz w:val="21"/>
                <w:szCs w:val="21"/>
              </w:rPr>
              <w:t>、</w:t>
            </w:r>
            <w:r>
              <w:rPr>
                <w:rFonts w:ascii="Times New Roman" w:hAnsi="Times New Roman"/>
                <w:color w:val="auto"/>
                <w:kern w:val="2"/>
                <w:sz w:val="21"/>
                <w:szCs w:val="21"/>
              </w:rPr>
              <w:t>NO</w:t>
            </w:r>
            <w:r>
              <w:rPr>
                <w:rFonts w:ascii="Times New Roman" w:hAnsi="Times New Roman"/>
                <w:color w:val="auto"/>
                <w:kern w:val="2"/>
                <w:sz w:val="21"/>
                <w:szCs w:val="21"/>
                <w:vertAlign w:val="subscript"/>
              </w:rPr>
              <w:t>X</w:t>
            </w:r>
            <w:r>
              <w:rPr>
                <w:rFonts w:hint="eastAsia" w:ascii="Times New Roman" w:hAnsi="Times New Roman"/>
                <w:color w:val="auto"/>
                <w:kern w:val="2"/>
                <w:sz w:val="21"/>
                <w:szCs w:val="21"/>
              </w:rPr>
              <w:t>、颗粒物</w:t>
            </w:r>
            <w:r>
              <w:rPr>
                <w:rFonts w:hint="eastAsia" w:ascii="Times New Roman" w:hAnsi="Times New Roman"/>
                <w:color w:val="auto"/>
                <w:sz w:val="21"/>
                <w:szCs w:val="21"/>
              </w:rPr>
              <w:t>）</w:t>
            </w:r>
          </w:p>
        </w:tc>
        <w:tc>
          <w:tcPr>
            <w:tcW w:w="2936" w:type="dxa"/>
            <w:tcBorders>
              <w:top w:val="single" w:color="auto" w:sz="4" w:space="0"/>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经布袋除尘器处理后，使用一根</w:t>
            </w:r>
            <w:r>
              <w:rPr>
                <w:rFonts w:ascii="Times New Roman" w:hAnsi="Times New Roman"/>
                <w:color w:val="auto"/>
                <w:sz w:val="21"/>
                <w:szCs w:val="21"/>
              </w:rPr>
              <w:t>45m</w:t>
            </w:r>
            <w:r>
              <w:rPr>
                <w:rFonts w:ascii="Times New Roman" w:hAnsi="Times New Roman"/>
                <w:color w:val="auto"/>
                <w:sz w:val="21"/>
                <w:szCs w:val="21"/>
              </w:rPr>
              <w:t>高的排气筒排放</w:t>
            </w:r>
          </w:p>
        </w:tc>
        <w:tc>
          <w:tcPr>
            <w:tcW w:w="2594" w:type="dxa"/>
            <w:tcBorders>
              <w:top w:val="single" w:color="auto" w:sz="4" w:space="0"/>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达到</w:t>
            </w:r>
            <w:r>
              <w:rPr>
                <w:rFonts w:ascii="Times New Roman" w:hAnsi="Times New Roman"/>
                <w:color w:val="auto"/>
                <w:sz w:val="21"/>
                <w:szCs w:val="21"/>
              </w:rPr>
              <w:t>《锅炉大气污染物排放标准》（GB13271-2014）的新建燃煤锅炉标准</w:t>
            </w:r>
            <w:r>
              <w:rPr>
                <w:rFonts w:hint="eastAsia" w:ascii="Times New Roman" w:hAnsi="Times New Roman"/>
                <w:color w:val="auto"/>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0" w:type="auto"/>
            <w:vMerge w:val="continue"/>
            <w:tcBorders>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512" w:type="dxa"/>
            <w:vMerge w:val="continue"/>
            <w:tcBorders>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1157" w:type="dxa"/>
            <w:tcBorders>
              <w:left w:val="single" w:color="auto" w:sz="4" w:space="0"/>
              <w:right w:val="single" w:color="auto" w:sz="4" w:space="0"/>
            </w:tcBorders>
            <w:tcMar>
              <w:left w:w="28" w:type="dxa"/>
              <w:right w:w="28" w:type="dxa"/>
            </w:tcMar>
            <w:vAlign w:val="center"/>
          </w:tcPr>
          <w:p>
            <w:pPr>
              <w:adjustRightInd w:val="0"/>
              <w:snapToGrid w:val="0"/>
              <w:spacing w:line="360" w:lineRule="exact"/>
              <w:ind w:left="-108" w:firstLine="94" w:firstLineChars="45"/>
              <w:jc w:val="center"/>
              <w:rPr>
                <w:rFonts w:ascii="Times New Roman" w:hAnsi="Times New Roman"/>
                <w:color w:val="auto"/>
                <w:sz w:val="21"/>
                <w:szCs w:val="21"/>
              </w:rPr>
            </w:pPr>
            <w:r>
              <w:rPr>
                <w:rFonts w:ascii="Times New Roman" w:hAnsi="Times New Roman"/>
                <w:color w:val="auto"/>
                <w:sz w:val="21"/>
                <w:szCs w:val="21"/>
              </w:rPr>
              <w:t>生物质</w:t>
            </w:r>
            <w:r>
              <w:rPr>
                <w:rFonts w:hint="eastAsia" w:ascii="Times New Roman" w:hAnsi="Times New Roman"/>
                <w:color w:val="auto"/>
                <w:sz w:val="21"/>
                <w:szCs w:val="21"/>
              </w:rPr>
              <w:t>燃料棚</w:t>
            </w:r>
          </w:p>
        </w:tc>
        <w:tc>
          <w:tcPr>
            <w:tcW w:w="13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粉尘</w:t>
            </w:r>
          </w:p>
        </w:tc>
        <w:tc>
          <w:tcPr>
            <w:tcW w:w="2936" w:type="dxa"/>
            <w:tcBorders>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洒水降尘，</w:t>
            </w:r>
            <w:r>
              <w:rPr>
                <w:rFonts w:hint="eastAsia" w:ascii="Times New Roman" w:hAnsi="Times New Roman"/>
                <w:color w:val="auto"/>
                <w:sz w:val="21"/>
                <w:szCs w:val="21"/>
              </w:rPr>
              <w:t>燃料</w:t>
            </w:r>
            <w:r>
              <w:rPr>
                <w:rFonts w:ascii="Times New Roman" w:hAnsi="Times New Roman"/>
                <w:color w:val="auto"/>
                <w:sz w:val="21"/>
                <w:szCs w:val="21"/>
              </w:rPr>
              <w:t>棚遮挡</w:t>
            </w:r>
          </w:p>
        </w:tc>
        <w:tc>
          <w:tcPr>
            <w:tcW w:w="2594" w:type="dxa"/>
            <w:tcBorders>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《大气污染物综合排放标准》（GB16297-1996）的无组织颗粒物标准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2" w:hRule="atLeast"/>
        </w:trPr>
        <w:tc>
          <w:tcPr>
            <w:tcW w:w="0" w:type="auto"/>
            <w:tcBorders>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hint="eastAsia" w:ascii="Times New Roman" w:hAnsi="Times New Roman"/>
                <w:color w:val="auto"/>
                <w:sz w:val="21"/>
                <w:szCs w:val="21"/>
              </w:rPr>
              <w:t>废水</w:t>
            </w:r>
          </w:p>
        </w:tc>
        <w:tc>
          <w:tcPr>
            <w:tcW w:w="512" w:type="dxa"/>
            <w:tcBorders>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ascii="Times New Roman" w:hAnsi="Times New Roman"/>
                <w:color w:val="auto"/>
                <w:sz w:val="21"/>
                <w:szCs w:val="21"/>
              </w:rPr>
              <w:t>运营期</w:t>
            </w:r>
          </w:p>
        </w:tc>
        <w:tc>
          <w:tcPr>
            <w:tcW w:w="1157" w:type="dxa"/>
            <w:tcBorders>
              <w:left w:val="single" w:color="auto" w:sz="4" w:space="0"/>
              <w:right w:val="single" w:color="auto" w:sz="4" w:space="0"/>
            </w:tcBorders>
            <w:tcMar>
              <w:left w:w="28" w:type="dxa"/>
              <w:right w:w="28" w:type="dxa"/>
            </w:tcMar>
            <w:vAlign w:val="center"/>
          </w:tcPr>
          <w:p>
            <w:pPr>
              <w:adjustRightInd w:val="0"/>
              <w:snapToGrid w:val="0"/>
              <w:spacing w:line="360" w:lineRule="exact"/>
              <w:ind w:left="-108" w:firstLine="94" w:firstLineChars="45"/>
              <w:jc w:val="center"/>
              <w:rPr>
                <w:rFonts w:ascii="Times New Roman" w:hAnsi="Times New Roman"/>
                <w:color w:val="auto"/>
                <w:sz w:val="21"/>
                <w:szCs w:val="21"/>
              </w:rPr>
            </w:pPr>
            <w:r>
              <w:rPr>
                <w:rFonts w:ascii="Times New Roman" w:hAnsi="Times New Roman"/>
                <w:color w:val="auto"/>
                <w:sz w:val="21"/>
                <w:szCs w:val="21"/>
              </w:rPr>
              <w:t>软水处理</w:t>
            </w:r>
            <w:r>
              <w:rPr>
                <w:rFonts w:hint="eastAsia" w:ascii="Times New Roman" w:hAnsi="Times New Roman"/>
                <w:color w:val="auto"/>
                <w:sz w:val="21"/>
                <w:szCs w:val="21"/>
              </w:rPr>
              <w:t>设备、锅炉</w:t>
            </w:r>
          </w:p>
        </w:tc>
        <w:tc>
          <w:tcPr>
            <w:tcW w:w="13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锅炉废水（COD）</w:t>
            </w:r>
          </w:p>
        </w:tc>
        <w:tc>
          <w:tcPr>
            <w:tcW w:w="2936" w:type="dxa"/>
            <w:tcBorders>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全部回用于造纸厂现有项目造纸工段</w:t>
            </w:r>
          </w:p>
        </w:tc>
        <w:tc>
          <w:tcPr>
            <w:tcW w:w="2594" w:type="dxa"/>
            <w:tcBorders>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全部回用</w:t>
            </w:r>
            <w:r>
              <w:rPr>
                <w:rFonts w:ascii="Times New Roman" w:hAnsi="Times New Roman"/>
                <w:color w:val="auto"/>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0" w:type="auto"/>
            <w:vMerge w:val="restart"/>
            <w:tcBorders>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ascii="Times New Roman" w:hAnsi="Times New Roman"/>
                <w:color w:val="auto"/>
                <w:sz w:val="21"/>
                <w:szCs w:val="21"/>
              </w:rPr>
              <w:t>固废</w:t>
            </w:r>
          </w:p>
        </w:tc>
        <w:tc>
          <w:tcPr>
            <w:tcW w:w="512" w:type="dxa"/>
            <w:vMerge w:val="restart"/>
            <w:tcBorders>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ascii="Times New Roman" w:hAnsi="Times New Roman"/>
                <w:color w:val="auto"/>
                <w:sz w:val="21"/>
                <w:szCs w:val="21"/>
              </w:rPr>
              <w:t>施工期</w:t>
            </w:r>
          </w:p>
        </w:tc>
        <w:tc>
          <w:tcPr>
            <w:tcW w:w="1157" w:type="dxa"/>
            <w:vMerge w:val="restart"/>
            <w:tcBorders>
              <w:left w:val="single" w:color="auto" w:sz="4" w:space="0"/>
              <w:right w:val="single" w:color="auto" w:sz="4" w:space="0"/>
            </w:tcBorders>
            <w:tcMar>
              <w:left w:w="28" w:type="dxa"/>
              <w:right w:w="28" w:type="dxa"/>
            </w:tcMar>
            <w:vAlign w:val="center"/>
          </w:tcPr>
          <w:p>
            <w:pPr>
              <w:adjustRightInd w:val="0"/>
              <w:snapToGrid w:val="0"/>
              <w:spacing w:line="360" w:lineRule="exact"/>
              <w:ind w:left="-108" w:firstLine="94" w:firstLineChars="45"/>
              <w:jc w:val="center"/>
              <w:rPr>
                <w:rFonts w:ascii="Times New Roman" w:hAnsi="Times New Roman"/>
                <w:color w:val="auto"/>
                <w:sz w:val="21"/>
                <w:szCs w:val="21"/>
              </w:rPr>
            </w:pPr>
            <w:r>
              <w:rPr>
                <w:rFonts w:hint="eastAsia" w:ascii="Times New Roman" w:hAnsi="Times New Roman"/>
                <w:color w:val="auto"/>
                <w:sz w:val="21"/>
                <w:szCs w:val="21"/>
              </w:rPr>
              <w:t>设备拆除、安装</w:t>
            </w:r>
          </w:p>
        </w:tc>
        <w:tc>
          <w:tcPr>
            <w:tcW w:w="13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可回收垃圾</w:t>
            </w:r>
          </w:p>
        </w:tc>
        <w:tc>
          <w:tcPr>
            <w:tcW w:w="2936" w:type="dxa"/>
            <w:tcBorders>
              <w:left w:val="single" w:color="auto" w:sz="4" w:space="0"/>
              <w:right w:val="single" w:color="auto" w:sz="4" w:space="0"/>
            </w:tcBorders>
            <w:tcMar>
              <w:left w:w="28" w:type="dxa"/>
              <w:right w:w="28" w:type="dxa"/>
            </w:tcMar>
            <w:vAlign w:val="center"/>
          </w:tcPr>
          <w:p>
            <w:pPr>
              <w:adjustRightInd w:val="0"/>
              <w:snapToGrid w:val="0"/>
              <w:spacing w:line="360" w:lineRule="exact"/>
              <w:ind w:left="-108" w:firstLine="94" w:firstLineChars="45"/>
              <w:jc w:val="center"/>
              <w:rPr>
                <w:rFonts w:ascii="Times New Roman" w:hAnsi="Times New Roman"/>
                <w:color w:val="auto"/>
                <w:sz w:val="21"/>
                <w:szCs w:val="21"/>
              </w:rPr>
            </w:pPr>
            <w:r>
              <w:rPr>
                <w:rFonts w:hint="eastAsia" w:ascii="Times New Roman" w:hAnsi="Times New Roman"/>
                <w:color w:val="auto"/>
                <w:sz w:val="21"/>
                <w:szCs w:val="21"/>
              </w:rPr>
              <w:t>外售处置</w:t>
            </w:r>
          </w:p>
        </w:tc>
        <w:tc>
          <w:tcPr>
            <w:tcW w:w="2594" w:type="dxa"/>
            <w:vMerge w:val="restart"/>
            <w:tcBorders>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0" w:type="auto"/>
            <w:vMerge w:val="continue"/>
            <w:tcBorders>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512" w:type="dxa"/>
            <w:vMerge w:val="continue"/>
            <w:tcBorders>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1157" w:type="dxa"/>
            <w:vMerge w:val="continue"/>
            <w:tcBorders>
              <w:left w:val="single" w:color="auto" w:sz="4" w:space="0"/>
              <w:right w:val="single" w:color="auto" w:sz="4" w:space="0"/>
            </w:tcBorders>
            <w:tcMar>
              <w:left w:w="28" w:type="dxa"/>
              <w:right w:w="28" w:type="dxa"/>
            </w:tcMar>
            <w:vAlign w:val="center"/>
          </w:tcPr>
          <w:p>
            <w:pPr>
              <w:adjustRightInd w:val="0"/>
              <w:snapToGrid w:val="0"/>
              <w:spacing w:line="360" w:lineRule="exact"/>
              <w:ind w:left="-108" w:firstLine="94" w:firstLineChars="45"/>
              <w:jc w:val="center"/>
              <w:rPr>
                <w:rFonts w:ascii="Times New Roman" w:hAnsi="Times New Roman"/>
                <w:color w:val="auto"/>
                <w:sz w:val="21"/>
                <w:szCs w:val="21"/>
              </w:rPr>
            </w:pPr>
          </w:p>
        </w:tc>
        <w:tc>
          <w:tcPr>
            <w:tcW w:w="13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建筑垃圾</w:t>
            </w:r>
          </w:p>
        </w:tc>
        <w:tc>
          <w:tcPr>
            <w:tcW w:w="2936" w:type="dxa"/>
            <w:tcBorders>
              <w:left w:val="single" w:color="auto" w:sz="4" w:space="0"/>
              <w:right w:val="single" w:color="auto" w:sz="4" w:space="0"/>
            </w:tcBorders>
            <w:tcMar>
              <w:left w:w="28" w:type="dxa"/>
              <w:right w:w="28" w:type="dxa"/>
            </w:tcMar>
            <w:vAlign w:val="center"/>
          </w:tcPr>
          <w:p>
            <w:pPr>
              <w:adjustRightInd w:val="0"/>
              <w:snapToGrid w:val="0"/>
              <w:spacing w:line="360" w:lineRule="exact"/>
              <w:ind w:left="-108" w:firstLine="94" w:firstLineChars="45"/>
              <w:jc w:val="center"/>
              <w:rPr>
                <w:rFonts w:ascii="Times New Roman" w:hAnsi="Times New Roman"/>
                <w:color w:val="auto"/>
                <w:sz w:val="21"/>
                <w:szCs w:val="21"/>
              </w:rPr>
            </w:pPr>
            <w:r>
              <w:rPr>
                <w:rFonts w:hint="eastAsia" w:ascii="Times New Roman" w:hAnsi="Times New Roman"/>
                <w:color w:val="auto"/>
                <w:sz w:val="21"/>
                <w:szCs w:val="21"/>
              </w:rPr>
              <w:t>委托有资质的单位</w:t>
            </w:r>
            <w:r>
              <w:rPr>
                <w:rFonts w:ascii="Times New Roman" w:hAnsi="Times New Roman"/>
                <w:color w:val="auto"/>
                <w:sz w:val="21"/>
                <w:szCs w:val="21"/>
              </w:rPr>
              <w:t>运输至</w:t>
            </w:r>
            <w:r>
              <w:rPr>
                <w:rFonts w:hint="eastAsia" w:ascii="Times New Roman" w:hAnsi="Times New Roman"/>
                <w:color w:val="auto"/>
                <w:sz w:val="21"/>
                <w:szCs w:val="21"/>
              </w:rPr>
              <w:t>合法</w:t>
            </w:r>
            <w:r>
              <w:rPr>
                <w:rFonts w:ascii="Times New Roman" w:hAnsi="Times New Roman"/>
                <w:color w:val="auto"/>
                <w:sz w:val="21"/>
                <w:szCs w:val="21"/>
              </w:rPr>
              <w:t>建筑垃圾消纳处置场处置</w:t>
            </w:r>
          </w:p>
        </w:tc>
        <w:tc>
          <w:tcPr>
            <w:tcW w:w="2594" w:type="dxa"/>
            <w:vMerge w:val="continue"/>
            <w:tcBorders>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0" w:type="auto"/>
            <w:vMerge w:val="continue"/>
            <w:tcBorders>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512" w:type="dxa"/>
            <w:vMerge w:val="restart"/>
            <w:tcBorders>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r>
              <w:rPr>
                <w:rFonts w:ascii="Times New Roman" w:hAnsi="Times New Roman"/>
                <w:color w:val="auto"/>
                <w:sz w:val="21"/>
                <w:szCs w:val="21"/>
              </w:rPr>
              <w:t>运营期</w:t>
            </w:r>
          </w:p>
        </w:tc>
        <w:tc>
          <w:tcPr>
            <w:tcW w:w="1157" w:type="dxa"/>
            <w:tcBorders>
              <w:left w:val="single" w:color="auto" w:sz="4" w:space="0"/>
              <w:right w:val="single" w:color="auto" w:sz="4" w:space="0"/>
            </w:tcBorders>
            <w:tcMar>
              <w:left w:w="28" w:type="dxa"/>
              <w:right w:w="28" w:type="dxa"/>
            </w:tcMar>
            <w:vAlign w:val="center"/>
          </w:tcPr>
          <w:p>
            <w:pPr>
              <w:adjustRightInd w:val="0"/>
              <w:snapToGrid w:val="0"/>
              <w:spacing w:line="360" w:lineRule="exact"/>
              <w:ind w:left="-108" w:firstLine="85" w:firstLineChars="45"/>
              <w:jc w:val="center"/>
              <w:rPr>
                <w:rFonts w:ascii="Times New Roman" w:hAnsi="Times New Roman"/>
                <w:color w:val="auto"/>
                <w:sz w:val="21"/>
                <w:szCs w:val="21"/>
              </w:rPr>
            </w:pPr>
            <w:r>
              <w:rPr>
                <w:rFonts w:ascii="Times New Roman" w:hAnsi="Times New Roman"/>
                <w:color w:val="auto"/>
                <w:spacing w:val="-10"/>
                <w:sz w:val="21"/>
                <w:szCs w:val="21"/>
              </w:rPr>
              <w:t>生物质锅炉</w:t>
            </w:r>
          </w:p>
        </w:tc>
        <w:tc>
          <w:tcPr>
            <w:tcW w:w="13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pacing w:val="-10"/>
                <w:sz w:val="21"/>
                <w:szCs w:val="21"/>
              </w:rPr>
              <w:t>炉渣</w:t>
            </w:r>
          </w:p>
        </w:tc>
        <w:tc>
          <w:tcPr>
            <w:tcW w:w="2936" w:type="dxa"/>
            <w:tcBorders>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部分作为肥料回田，</w:t>
            </w:r>
            <w:r>
              <w:rPr>
                <w:rFonts w:ascii="Times New Roman" w:hAnsi="Times New Roman"/>
                <w:color w:val="auto"/>
                <w:sz w:val="21"/>
                <w:szCs w:val="21"/>
              </w:rPr>
              <w:t>部分委托环卫部门清运处置</w:t>
            </w:r>
          </w:p>
        </w:tc>
        <w:tc>
          <w:tcPr>
            <w:tcW w:w="2594" w:type="dxa"/>
            <w:vMerge w:val="continue"/>
            <w:tcBorders>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0" w:type="auto"/>
            <w:vMerge w:val="continue"/>
            <w:tcBorders>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512" w:type="dxa"/>
            <w:vMerge w:val="continue"/>
            <w:tcBorders>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1157" w:type="dxa"/>
            <w:tcBorders>
              <w:left w:val="single" w:color="auto" w:sz="4" w:space="0"/>
              <w:right w:val="single" w:color="auto" w:sz="4" w:space="0"/>
            </w:tcBorders>
            <w:tcMar>
              <w:left w:w="28" w:type="dxa"/>
              <w:right w:w="28" w:type="dxa"/>
            </w:tcMar>
            <w:vAlign w:val="center"/>
          </w:tcPr>
          <w:p>
            <w:pPr>
              <w:adjustRightInd w:val="0"/>
              <w:snapToGrid w:val="0"/>
              <w:spacing w:line="360" w:lineRule="exact"/>
              <w:ind w:left="-108" w:firstLine="94" w:firstLineChars="45"/>
              <w:jc w:val="center"/>
              <w:rPr>
                <w:rFonts w:ascii="Times New Roman" w:hAnsi="Times New Roman"/>
                <w:color w:val="auto"/>
                <w:sz w:val="21"/>
                <w:szCs w:val="21"/>
              </w:rPr>
            </w:pPr>
            <w:r>
              <w:rPr>
                <w:rFonts w:hint="eastAsia" w:ascii="Times New Roman" w:hAnsi="Times New Roman"/>
                <w:color w:val="auto"/>
                <w:kern w:val="2"/>
                <w:sz w:val="21"/>
                <w:szCs w:val="21"/>
              </w:rPr>
              <w:t>布袋除尘器</w:t>
            </w:r>
          </w:p>
        </w:tc>
        <w:tc>
          <w:tcPr>
            <w:tcW w:w="13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pacing w:val="-10"/>
                <w:sz w:val="21"/>
                <w:szCs w:val="21"/>
              </w:rPr>
              <w:t>收尘灰</w:t>
            </w:r>
          </w:p>
        </w:tc>
        <w:tc>
          <w:tcPr>
            <w:tcW w:w="2936" w:type="dxa"/>
            <w:tcBorders>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kern w:val="2"/>
                <w:sz w:val="21"/>
                <w:szCs w:val="21"/>
              </w:rPr>
              <w:t>委托环卫部门清运处置</w:t>
            </w:r>
          </w:p>
        </w:tc>
        <w:tc>
          <w:tcPr>
            <w:tcW w:w="2594" w:type="dxa"/>
            <w:vMerge w:val="continue"/>
            <w:tcBorders>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0" w:type="auto"/>
            <w:vMerge w:val="continue"/>
            <w:tcBorders>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512" w:type="dxa"/>
            <w:vMerge w:val="continue"/>
            <w:tcBorders>
              <w:left w:val="single" w:color="auto" w:sz="4" w:space="0"/>
              <w:right w:val="single" w:color="auto" w:sz="4" w:space="0"/>
            </w:tcBorders>
            <w:tcMar>
              <w:left w:w="28" w:type="dxa"/>
              <w:right w:w="28" w:type="dxa"/>
            </w:tcMar>
            <w:textDirection w:val="tbRlV"/>
            <w:vAlign w:val="center"/>
          </w:tcPr>
          <w:p>
            <w:pPr>
              <w:adjustRightInd w:val="0"/>
              <w:snapToGrid w:val="0"/>
              <w:spacing w:line="400" w:lineRule="exact"/>
              <w:ind w:left="113" w:right="113"/>
              <w:jc w:val="center"/>
              <w:rPr>
                <w:rFonts w:ascii="Times New Roman" w:hAnsi="Times New Roman"/>
                <w:color w:val="auto"/>
                <w:sz w:val="21"/>
                <w:szCs w:val="21"/>
              </w:rPr>
            </w:pPr>
          </w:p>
        </w:tc>
        <w:tc>
          <w:tcPr>
            <w:tcW w:w="1157" w:type="dxa"/>
            <w:tcBorders>
              <w:left w:val="single" w:color="auto" w:sz="4" w:space="0"/>
              <w:right w:val="single" w:color="auto" w:sz="4" w:space="0"/>
            </w:tcBorders>
            <w:tcMar>
              <w:left w:w="28" w:type="dxa"/>
              <w:right w:w="28" w:type="dxa"/>
            </w:tcMar>
            <w:vAlign w:val="center"/>
          </w:tcPr>
          <w:p>
            <w:pPr>
              <w:adjustRightInd w:val="0"/>
              <w:snapToGrid w:val="0"/>
              <w:spacing w:line="360" w:lineRule="exact"/>
              <w:ind w:left="-108" w:firstLine="94" w:firstLineChars="45"/>
              <w:jc w:val="center"/>
              <w:rPr>
                <w:rFonts w:ascii="Times New Roman" w:hAnsi="Times New Roman"/>
                <w:color w:val="auto"/>
                <w:sz w:val="21"/>
                <w:szCs w:val="21"/>
              </w:rPr>
            </w:pPr>
            <w:r>
              <w:rPr>
                <w:rFonts w:ascii="Times New Roman" w:hAnsi="Times New Roman"/>
                <w:color w:val="auto"/>
                <w:sz w:val="21"/>
                <w:szCs w:val="21"/>
              </w:rPr>
              <w:t>废离子交换树脂</w:t>
            </w:r>
          </w:p>
        </w:tc>
        <w:tc>
          <w:tcPr>
            <w:tcW w:w="13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一般工业固废</w:t>
            </w:r>
          </w:p>
        </w:tc>
        <w:tc>
          <w:tcPr>
            <w:tcW w:w="2936" w:type="dxa"/>
            <w:tcBorders>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厂家回收</w:t>
            </w:r>
          </w:p>
        </w:tc>
        <w:tc>
          <w:tcPr>
            <w:tcW w:w="2594" w:type="dxa"/>
            <w:vMerge w:val="continue"/>
            <w:tcBorders>
              <w:left w:val="single" w:color="auto" w:sz="4" w:space="0"/>
              <w:right w:val="single" w:color="auto" w:sz="4" w:space="0"/>
            </w:tcBorders>
            <w:tcMar>
              <w:left w:w="28" w:type="dxa"/>
              <w:right w:w="28" w:type="dxa"/>
            </w:tcMar>
            <w:vAlign w:val="center"/>
          </w:tcPr>
          <w:p>
            <w:pPr>
              <w:adjustRightInd w:val="0"/>
              <w:snapToGrid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0" w:type="auto"/>
            <w:vMerge w:val="restart"/>
            <w:tcBorders>
              <w:left w:val="single" w:color="auto" w:sz="4" w:space="0"/>
              <w:right w:val="single" w:color="auto" w:sz="4" w:space="0"/>
            </w:tcBorders>
            <w:tcMar>
              <w:left w:w="28" w:type="dxa"/>
              <w:right w:w="28" w:type="dxa"/>
            </w:tcMar>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噪声</w:t>
            </w:r>
          </w:p>
        </w:tc>
        <w:tc>
          <w:tcPr>
            <w:tcW w:w="512" w:type="dxa"/>
            <w:tcBorders>
              <w:left w:val="single" w:color="auto" w:sz="4" w:space="0"/>
              <w:right w:val="single" w:color="auto" w:sz="4" w:space="0"/>
            </w:tcBorders>
            <w:tcMar>
              <w:left w:w="28" w:type="dxa"/>
              <w:right w:w="28" w:type="dxa"/>
            </w:tcMar>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施工期</w:t>
            </w:r>
          </w:p>
        </w:tc>
        <w:tc>
          <w:tcPr>
            <w:tcW w:w="1157" w:type="dxa"/>
            <w:tcBorders>
              <w:left w:val="single" w:color="auto" w:sz="4" w:space="0"/>
              <w:right w:val="single" w:color="auto" w:sz="4" w:space="0"/>
            </w:tcBorders>
            <w:tcMar>
              <w:left w:w="28" w:type="dxa"/>
              <w:right w:w="28" w:type="dxa"/>
            </w:tcMar>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施工</w:t>
            </w:r>
            <w:r>
              <w:rPr>
                <w:rFonts w:hint="eastAsia" w:ascii="Times New Roman" w:hAnsi="Times New Roman"/>
                <w:color w:val="auto"/>
                <w:sz w:val="21"/>
                <w:szCs w:val="21"/>
              </w:rPr>
              <w:t>机械、运输车辆</w:t>
            </w:r>
          </w:p>
        </w:tc>
        <w:tc>
          <w:tcPr>
            <w:tcW w:w="13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设备</w:t>
            </w:r>
            <w:r>
              <w:rPr>
                <w:rFonts w:ascii="Times New Roman" w:hAnsi="Times New Roman"/>
                <w:color w:val="auto"/>
                <w:sz w:val="21"/>
                <w:szCs w:val="21"/>
              </w:rPr>
              <w:t>噪声</w:t>
            </w:r>
            <w:r>
              <w:rPr>
                <w:rFonts w:hint="eastAsia" w:ascii="Times New Roman" w:hAnsi="Times New Roman"/>
                <w:color w:val="auto"/>
                <w:sz w:val="21"/>
                <w:szCs w:val="21"/>
              </w:rPr>
              <w:t>、交通噪声</w:t>
            </w:r>
          </w:p>
        </w:tc>
        <w:tc>
          <w:tcPr>
            <w:tcW w:w="2936" w:type="dxa"/>
            <w:tcBorders>
              <w:left w:val="single" w:color="auto" w:sz="4" w:space="0"/>
              <w:right w:val="single" w:color="auto" w:sz="4" w:space="0"/>
            </w:tcBorders>
            <w:tcMar>
              <w:left w:w="28" w:type="dxa"/>
              <w:right w:w="28" w:type="dxa"/>
            </w:tcMar>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加强管理</w:t>
            </w:r>
            <w:r>
              <w:rPr>
                <w:rFonts w:hint="eastAsia" w:ascii="Times New Roman" w:hAnsi="Times New Roman"/>
                <w:color w:val="auto"/>
                <w:sz w:val="21"/>
                <w:szCs w:val="21"/>
              </w:rPr>
              <w:t>维护，合理布局，使用低噪声设备，禁止夜间施工，运输车辆在经过</w:t>
            </w:r>
            <w:r>
              <w:rPr>
                <w:rFonts w:hint="eastAsia" w:ascii="Times New Roman" w:hAnsi="Times New Roman"/>
                <w:bCs/>
                <w:color w:val="auto"/>
                <w:sz w:val="21"/>
                <w:szCs w:val="21"/>
              </w:rPr>
              <w:t>居民点时减速慢行、禁止鸣笛</w:t>
            </w:r>
          </w:p>
        </w:tc>
        <w:tc>
          <w:tcPr>
            <w:tcW w:w="2594" w:type="dxa"/>
            <w:tcBorders>
              <w:left w:val="single" w:color="auto" w:sz="4" w:space="0"/>
              <w:right w:val="single" w:color="auto" w:sz="4" w:space="0"/>
            </w:tcBorders>
            <w:tcMar>
              <w:left w:w="28" w:type="dxa"/>
              <w:right w:w="28" w:type="dxa"/>
            </w:tcMar>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达到</w:t>
            </w:r>
            <w:r>
              <w:rPr>
                <w:rFonts w:ascii="Times New Roman" w:hAnsi="Times New Roman"/>
                <w:color w:val="auto"/>
                <w:sz w:val="21"/>
                <w:szCs w:val="21"/>
              </w:rPr>
              <w:t>GB12523-2011《</w:t>
            </w:r>
            <w:r>
              <w:rPr>
                <w:color w:val="auto"/>
              </w:rPr>
              <w:fldChar w:fldCharType="begin"/>
            </w:r>
            <w:r>
              <w:rPr>
                <w:color w:val="auto"/>
              </w:rPr>
              <w:instrText xml:space="preserve"> HYPERLINK "http://www.baidu.com/link?url=vDO3ZYoVgvMcXgRZElAwRr_shdrlS8WPXGWO_qTuIdy0Z0WTQahBldjIUqxFMYwv2i_4LZlM8ppnkvD02HCUyyqdn0RVOnzVcFkVeV3I1tm5GKj1pdwYkllJbhLc1mUo" \t "https://www.baidu.com/_blank" </w:instrText>
            </w:r>
            <w:r>
              <w:rPr>
                <w:color w:val="auto"/>
              </w:rPr>
              <w:fldChar w:fldCharType="separate"/>
            </w:r>
            <w:r>
              <w:rPr>
                <w:rFonts w:ascii="Times New Roman" w:hAnsi="Times New Roman"/>
                <w:color w:val="auto"/>
                <w:sz w:val="21"/>
                <w:szCs w:val="21"/>
              </w:rPr>
              <w:t>建筑施工场界环境噪声排放标准</w:t>
            </w:r>
            <w:r>
              <w:rPr>
                <w:rFonts w:ascii="Times New Roman" w:hAnsi="Times New Roman"/>
                <w:color w:val="auto"/>
                <w:sz w:val="21"/>
                <w:szCs w:val="21"/>
              </w:rPr>
              <w:fldChar w:fldCharType="end"/>
            </w:r>
            <w:r>
              <w:rPr>
                <w:rFonts w:ascii="Times New Roman" w:hAnsi="Times New Roman"/>
                <w:color w:val="auto"/>
                <w:sz w:val="21"/>
                <w:szCs w:val="21"/>
              </w:rPr>
              <w:t>》标准</w:t>
            </w:r>
            <w:r>
              <w:rPr>
                <w:rFonts w:hint="eastAsia" w:ascii="Times New Roman" w:hAnsi="Times New Roman"/>
                <w:color w:val="auto"/>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0" w:type="auto"/>
            <w:vMerge w:val="continue"/>
            <w:tcBorders>
              <w:left w:val="single" w:color="auto" w:sz="4" w:space="0"/>
              <w:right w:val="single" w:color="auto" w:sz="4" w:space="0"/>
            </w:tcBorders>
            <w:tcMar>
              <w:left w:w="28" w:type="dxa"/>
              <w:right w:w="28" w:type="dxa"/>
            </w:tcMar>
            <w:vAlign w:val="center"/>
          </w:tcPr>
          <w:p>
            <w:pPr>
              <w:adjustRightInd w:val="0"/>
              <w:snapToGrid w:val="0"/>
              <w:spacing w:line="360" w:lineRule="exact"/>
              <w:jc w:val="center"/>
              <w:rPr>
                <w:rFonts w:ascii="Times New Roman" w:hAnsi="Times New Roman"/>
                <w:color w:val="auto"/>
                <w:sz w:val="21"/>
                <w:szCs w:val="21"/>
              </w:rPr>
            </w:pPr>
          </w:p>
        </w:tc>
        <w:tc>
          <w:tcPr>
            <w:tcW w:w="512" w:type="dxa"/>
            <w:tcBorders>
              <w:left w:val="single" w:color="auto" w:sz="4" w:space="0"/>
              <w:right w:val="single" w:color="auto" w:sz="4" w:space="0"/>
            </w:tcBorders>
            <w:tcMar>
              <w:left w:w="28" w:type="dxa"/>
              <w:right w:w="28" w:type="dxa"/>
            </w:tcMar>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运营期</w:t>
            </w:r>
          </w:p>
        </w:tc>
        <w:tc>
          <w:tcPr>
            <w:tcW w:w="1157" w:type="dxa"/>
            <w:tcBorders>
              <w:left w:val="single" w:color="auto" w:sz="4" w:space="0"/>
              <w:right w:val="single" w:color="auto" w:sz="4" w:space="0"/>
            </w:tcBorders>
            <w:tcMar>
              <w:left w:w="28" w:type="dxa"/>
              <w:right w:w="28" w:type="dxa"/>
            </w:tcMar>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鼓风机</w:t>
            </w:r>
          </w:p>
        </w:tc>
        <w:tc>
          <w:tcPr>
            <w:tcW w:w="13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噪声</w:t>
            </w:r>
          </w:p>
        </w:tc>
        <w:tc>
          <w:tcPr>
            <w:tcW w:w="2936" w:type="dxa"/>
            <w:tcBorders>
              <w:left w:val="single" w:color="auto" w:sz="4" w:space="0"/>
              <w:right w:val="single" w:color="auto" w:sz="4" w:space="0"/>
            </w:tcBorders>
            <w:tcMar>
              <w:left w:w="28" w:type="dxa"/>
              <w:right w:w="28" w:type="dxa"/>
            </w:tcMar>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鼓风机</w:t>
            </w:r>
            <w:r>
              <w:rPr>
                <w:rFonts w:hint="eastAsia" w:ascii="Times New Roman" w:hAnsi="Times New Roman"/>
                <w:color w:val="auto"/>
                <w:sz w:val="21"/>
                <w:szCs w:val="21"/>
              </w:rPr>
              <w:t>布置于室内，</w:t>
            </w:r>
            <w:r>
              <w:rPr>
                <w:rFonts w:ascii="Times New Roman" w:hAnsi="Times New Roman"/>
                <w:color w:val="auto"/>
                <w:sz w:val="21"/>
                <w:szCs w:val="21"/>
              </w:rPr>
              <w:t>进出气口安装消声器</w:t>
            </w:r>
          </w:p>
        </w:tc>
        <w:tc>
          <w:tcPr>
            <w:tcW w:w="2594" w:type="dxa"/>
            <w:tcBorders>
              <w:left w:val="single" w:color="auto" w:sz="4" w:space="0"/>
              <w:right w:val="single" w:color="auto" w:sz="4" w:space="0"/>
            </w:tcBorders>
            <w:tcMar>
              <w:left w:w="28" w:type="dxa"/>
              <w:right w:w="28" w:type="dxa"/>
            </w:tcMar>
            <w:vAlign w:val="center"/>
          </w:tcPr>
          <w:p>
            <w:pPr>
              <w:adjustRightInd w:val="0"/>
              <w:snapToGrid w:val="0"/>
              <w:spacing w:line="360" w:lineRule="exact"/>
              <w:jc w:val="center"/>
              <w:rPr>
                <w:rFonts w:ascii="Times New Roman" w:hAnsi="Times New Roman"/>
                <w:color w:val="auto"/>
                <w:sz w:val="21"/>
                <w:szCs w:val="21"/>
              </w:rPr>
            </w:pPr>
            <w:r>
              <w:rPr>
                <w:rFonts w:hint="eastAsia" w:ascii="Times New Roman" w:hAnsi="Times New Roman"/>
                <w:color w:val="auto"/>
                <w:sz w:val="21"/>
                <w:szCs w:val="21"/>
              </w:rPr>
              <w:t>东、南厂界达到</w:t>
            </w:r>
            <w:r>
              <w:rPr>
                <w:rFonts w:ascii="Times New Roman" w:hAnsi="Times New Roman"/>
                <w:color w:val="auto"/>
                <w:sz w:val="21"/>
                <w:szCs w:val="21"/>
              </w:rPr>
              <w:t>GB12348-2008《工业企业厂界环境噪声排放标准》2类标准</w:t>
            </w:r>
            <w:r>
              <w:rPr>
                <w:rFonts w:hint="eastAsia" w:ascii="Times New Roman" w:hAnsi="Times New Roman"/>
                <w:color w:val="auto"/>
                <w:sz w:val="21"/>
                <w:szCs w:val="21"/>
              </w:rPr>
              <w:t>要求</w:t>
            </w:r>
            <w:r>
              <w:rPr>
                <w:rFonts w:hint="eastAsia" w:ascii="Times New Roman" w:hAnsi="Times New Roman"/>
                <w:color w:val="auto"/>
                <w:sz w:val="21"/>
                <w:szCs w:val="21"/>
              </w:rPr>
              <w:t>，北、西厂界达到</w:t>
            </w:r>
            <w:r>
              <w:rPr>
                <w:rFonts w:ascii="Times New Roman" w:hAnsi="Times New Roman"/>
                <w:color w:val="auto"/>
                <w:sz w:val="21"/>
                <w:szCs w:val="21"/>
              </w:rPr>
              <w:t>GB12348-2008《工业企业厂界环境噪声排放标准》4a类标准</w:t>
            </w:r>
            <w:r>
              <w:rPr>
                <w:rFonts w:hint="eastAsia" w:ascii="Times New Roman" w:hAnsi="Times New Roman"/>
                <w:color w:val="auto"/>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0" w:type="auto"/>
            <w:gridSpan w:val="6"/>
            <w:tcBorders>
              <w:top w:val="single" w:color="auto" w:sz="4" w:space="0"/>
              <w:left w:val="single" w:color="auto" w:sz="4" w:space="0"/>
              <w:bottom w:val="single" w:color="auto" w:sz="4" w:space="0"/>
            </w:tcBorders>
            <w:tcMar>
              <w:left w:w="28" w:type="dxa"/>
              <w:right w:w="28" w:type="dxa"/>
            </w:tcMar>
            <w:vAlign w:val="center"/>
          </w:tcPr>
          <w:p>
            <w:pPr>
              <w:adjustRightInd w:val="0"/>
              <w:snapToGrid w:val="0"/>
              <w:spacing w:line="360" w:lineRule="auto"/>
              <w:rPr>
                <w:rFonts w:ascii="Times New Roman" w:hAnsi="Times New Roman"/>
                <w:b/>
                <w:bCs/>
                <w:color w:val="auto"/>
                <w:sz w:val="21"/>
                <w:szCs w:val="21"/>
              </w:rPr>
            </w:pPr>
            <w:r>
              <w:rPr>
                <w:rFonts w:ascii="Times New Roman" w:hAnsi="Times New Roman"/>
                <w:b/>
                <w:bCs/>
                <w:color w:val="auto"/>
                <w:sz w:val="21"/>
                <w:szCs w:val="21"/>
              </w:rPr>
              <w:t>主要生态影响（不够时可附另页）</w:t>
            </w:r>
          </w:p>
          <w:p>
            <w:pPr>
              <w:adjustRightInd w:val="0"/>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项目</w:t>
            </w:r>
            <w:r>
              <w:rPr>
                <w:rFonts w:hint="eastAsia" w:ascii="Times New Roman" w:hAnsi="Times New Roman"/>
                <w:color w:val="auto"/>
                <w:sz w:val="21"/>
                <w:szCs w:val="21"/>
              </w:rPr>
              <w:t>在现有项目内建设和</w:t>
            </w:r>
            <w:r>
              <w:rPr>
                <w:rFonts w:ascii="Times New Roman" w:hAnsi="Times New Roman"/>
                <w:color w:val="auto"/>
                <w:sz w:val="21"/>
                <w:szCs w:val="21"/>
              </w:rPr>
              <w:t>生产，</w:t>
            </w:r>
            <w:r>
              <w:rPr>
                <w:rFonts w:hint="eastAsia" w:ascii="Times New Roman" w:hAnsi="Times New Roman"/>
                <w:color w:val="auto"/>
                <w:sz w:val="21"/>
                <w:szCs w:val="21"/>
              </w:rPr>
              <w:t>不新增占地，</w:t>
            </w:r>
            <w:r>
              <w:rPr>
                <w:rFonts w:ascii="Times New Roman" w:hAnsi="Times New Roman"/>
                <w:color w:val="auto"/>
                <w:sz w:val="21"/>
                <w:szCs w:val="21"/>
              </w:rPr>
              <w:t>对生态环境基本无影响，不涉及生态保护措施。</w:t>
            </w:r>
          </w:p>
        </w:tc>
      </w:tr>
    </w:tbl>
    <w:p>
      <w:pPr>
        <w:adjustRightInd w:val="0"/>
        <w:snapToGrid w:val="0"/>
        <w:spacing w:after="120" w:line="320" w:lineRule="atLeast"/>
        <w:outlineLvl w:val="0"/>
        <w:rPr>
          <w:rFonts w:ascii="Times New Roman" w:hAnsi="Times New Roman"/>
          <w:b/>
          <w:bCs/>
          <w:color w:val="auto"/>
          <w:sz w:val="30"/>
          <w:szCs w:val="30"/>
        </w:rPr>
      </w:pPr>
      <w:bookmarkStart w:id="48" w:name="_Toc22261"/>
      <w:r>
        <w:rPr>
          <w:rFonts w:ascii="Times New Roman" w:hAnsi="Times New Roman"/>
          <w:b/>
          <w:bCs/>
          <w:color w:val="auto"/>
          <w:sz w:val="30"/>
          <w:szCs w:val="30"/>
        </w:rPr>
        <w:br w:type="page"/>
      </w:r>
    </w:p>
    <w:p>
      <w:pPr>
        <w:adjustRightInd w:val="0"/>
        <w:snapToGrid w:val="0"/>
        <w:spacing w:after="120" w:line="320" w:lineRule="atLeast"/>
        <w:outlineLvl w:val="0"/>
        <w:rPr>
          <w:rFonts w:ascii="Times New Roman" w:hAnsi="Times New Roman"/>
          <w:b/>
          <w:bCs/>
          <w:color w:val="auto"/>
          <w:sz w:val="30"/>
          <w:szCs w:val="30"/>
        </w:rPr>
      </w:pPr>
      <w:r>
        <w:rPr>
          <w:rFonts w:ascii="Times New Roman" w:hAnsi="Times New Roman"/>
          <w:b/>
          <w:bCs/>
          <w:color w:val="auto"/>
          <w:sz w:val="30"/>
          <w:szCs w:val="30"/>
        </w:rPr>
        <w:t>表九、结论与建议</w:t>
      </w:r>
      <w:bookmarkEnd w:id="48"/>
    </w:p>
    <w:tbl>
      <w:tblPr>
        <w:tblStyle w:val="3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3"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Times New Roman" w:hAnsi="Times New Roman"/>
                <w:b/>
                <w:bCs/>
                <w:color w:val="auto"/>
                <w:szCs w:val="22"/>
              </w:rPr>
            </w:pPr>
            <w:r>
              <w:rPr>
                <w:rFonts w:ascii="Times New Roman" w:hAnsi="Times New Roman"/>
                <w:b/>
                <w:bCs/>
                <w:color w:val="auto"/>
                <w:szCs w:val="22"/>
              </w:rPr>
              <w:t>一、结论</w:t>
            </w:r>
          </w:p>
          <w:p>
            <w:pPr>
              <w:pStyle w:val="16"/>
              <w:adjustRightInd w:val="0"/>
              <w:snapToGrid w:val="0"/>
              <w:spacing w:line="360" w:lineRule="auto"/>
              <w:ind w:firstLine="480" w:firstLineChars="200"/>
              <w:jc w:val="both"/>
              <w:rPr>
                <w:rFonts w:ascii="Times New Roman" w:hAnsi="Times New Roman"/>
                <w:color w:val="auto"/>
                <w:lang w:val="zh-CN"/>
              </w:rPr>
            </w:pPr>
            <w:r>
              <w:rPr>
                <w:rFonts w:hint="eastAsia" w:ascii="Times New Roman" w:hAnsi="Times New Roman"/>
                <w:color w:val="auto"/>
                <w:lang w:val="zh-CN"/>
              </w:rPr>
              <w:t>技改项目位于</w:t>
            </w:r>
            <w:r>
              <w:rPr>
                <w:rFonts w:ascii="Times New Roman" w:hAnsi="Times New Roman"/>
                <w:color w:val="auto"/>
                <w:lang w:val="zh-CN"/>
              </w:rPr>
              <w:t>宜良县匡远街道办事处左营村宜马公路旁宜良明丰造纸厂</w:t>
            </w:r>
            <w:r>
              <w:rPr>
                <w:rFonts w:hint="eastAsia" w:ascii="Times New Roman" w:hAnsi="Times New Roman"/>
                <w:color w:val="auto"/>
                <w:lang w:val="zh-CN"/>
              </w:rPr>
              <w:t>厂区内，在现有项目锅炉房内拆除原有锅炉及废气处理设施，依托原有燃料棚、渣棚和排气筒，新建2套1</w:t>
            </w:r>
            <w:r>
              <w:rPr>
                <w:rFonts w:ascii="Times New Roman" w:hAnsi="Times New Roman"/>
                <w:color w:val="auto"/>
                <w:lang w:val="zh-CN"/>
              </w:rPr>
              <w:t>5t/h</w:t>
            </w:r>
            <w:r>
              <w:rPr>
                <w:rFonts w:hint="eastAsia" w:ascii="Times New Roman" w:hAnsi="Times New Roman"/>
                <w:color w:val="auto"/>
                <w:lang w:val="zh-CN"/>
              </w:rPr>
              <w:t>的生物质锅炉（一用一备），并配套建设废气处理设施。项目劳动定员2人，年工作3</w:t>
            </w:r>
            <w:r>
              <w:rPr>
                <w:rFonts w:ascii="Times New Roman" w:hAnsi="Times New Roman"/>
                <w:color w:val="auto"/>
                <w:lang w:val="zh-CN"/>
              </w:rPr>
              <w:t>00</w:t>
            </w:r>
            <w:r>
              <w:rPr>
                <w:rFonts w:hint="eastAsia" w:ascii="Times New Roman" w:hAnsi="Times New Roman"/>
                <w:color w:val="auto"/>
                <w:lang w:val="zh-CN"/>
              </w:rPr>
              <w:t>天，每天工作2</w:t>
            </w:r>
            <w:r>
              <w:rPr>
                <w:rFonts w:ascii="Times New Roman" w:hAnsi="Times New Roman"/>
                <w:color w:val="auto"/>
                <w:lang w:val="zh-CN"/>
              </w:rPr>
              <w:t>4</w:t>
            </w:r>
            <w:r>
              <w:rPr>
                <w:rFonts w:hint="eastAsia" w:ascii="Times New Roman" w:hAnsi="Times New Roman"/>
                <w:color w:val="auto"/>
                <w:lang w:val="zh-CN"/>
              </w:rPr>
              <w:t>小时。</w:t>
            </w:r>
            <w:r>
              <w:rPr>
                <w:rFonts w:ascii="Times New Roman" w:hAnsi="Times New Roman"/>
                <w:color w:val="auto"/>
              </w:rPr>
              <w:t>通过对该项目的工程分析和环境影响分析可得如下结论：</w:t>
            </w:r>
          </w:p>
          <w:p>
            <w:pPr>
              <w:pStyle w:val="84"/>
              <w:numPr>
                <w:ilvl w:val="0"/>
                <w:numId w:val="9"/>
              </w:numPr>
              <w:adjustRightInd w:val="0"/>
              <w:snapToGrid w:val="0"/>
              <w:spacing w:line="360" w:lineRule="auto"/>
              <w:ind w:left="0" w:firstLine="0"/>
              <w:rPr>
                <w:rFonts w:ascii="Times New Roman" w:hAnsi="Times New Roman"/>
                <w:b/>
                <w:bCs/>
                <w:color w:val="auto"/>
                <w:szCs w:val="22"/>
              </w:rPr>
            </w:pPr>
            <w:bookmarkStart w:id="49" w:name="_Toc347843244"/>
            <w:r>
              <w:rPr>
                <w:rFonts w:ascii="Times New Roman" w:hAnsi="Times New Roman"/>
                <w:b/>
                <w:bCs/>
                <w:color w:val="auto"/>
                <w:szCs w:val="22"/>
              </w:rPr>
              <w:t>项目产业政策符合性</w:t>
            </w:r>
            <w:bookmarkEnd w:id="49"/>
            <w:r>
              <w:rPr>
                <w:rFonts w:ascii="Times New Roman" w:hAnsi="Times New Roman"/>
                <w:b/>
                <w:bCs/>
                <w:color w:val="auto"/>
                <w:szCs w:val="22"/>
              </w:rPr>
              <w:t>结论</w:t>
            </w:r>
          </w:p>
          <w:p>
            <w:pPr>
              <w:pStyle w:val="16"/>
              <w:adjustRightInd w:val="0"/>
              <w:snapToGrid w:val="0"/>
              <w:spacing w:line="360" w:lineRule="auto"/>
              <w:ind w:firstLine="480" w:firstLineChars="200"/>
              <w:jc w:val="both"/>
              <w:rPr>
                <w:rFonts w:ascii="Times New Roman" w:hAnsi="Times New Roman"/>
                <w:color w:val="auto"/>
              </w:rPr>
            </w:pPr>
            <w:bookmarkStart w:id="50" w:name="_Toc347843249"/>
            <w:r>
              <w:rPr>
                <w:rFonts w:ascii="Times New Roman" w:hAnsi="Times New Roman"/>
                <w:color w:val="auto"/>
              </w:rPr>
              <w:t>根据《产业结构调整指导目录（2019年本）》</w:t>
            </w:r>
            <w:r>
              <w:rPr>
                <w:rFonts w:hint="eastAsia" w:ascii="Times New Roman" w:hAnsi="Times New Roman"/>
                <w:color w:val="auto"/>
              </w:rPr>
              <w:t>和</w:t>
            </w:r>
            <w:r>
              <w:rPr>
                <w:rFonts w:ascii="Times New Roman" w:hAnsi="Times New Roman"/>
                <w:color w:val="auto"/>
              </w:rPr>
              <w:t>《云南省工业产业</w:t>
            </w:r>
            <w:r>
              <w:rPr>
                <w:rFonts w:hint="eastAsia" w:ascii="Times New Roman" w:hAnsi="Times New Roman"/>
                <w:color w:val="auto"/>
              </w:rPr>
              <w:t>转型升级</w:t>
            </w:r>
            <w:r>
              <w:rPr>
                <w:rFonts w:ascii="Times New Roman" w:hAnsi="Times New Roman"/>
                <w:color w:val="auto"/>
              </w:rPr>
              <w:t>指导目录</w:t>
            </w:r>
            <w:r>
              <w:rPr>
                <w:rFonts w:hint="eastAsia" w:ascii="Times New Roman" w:hAnsi="Times New Roman"/>
                <w:color w:val="auto"/>
              </w:rPr>
              <w:t>（2014年</w:t>
            </w:r>
            <w:r>
              <w:rPr>
                <w:rFonts w:ascii="Times New Roman" w:hAnsi="Times New Roman"/>
                <w:color w:val="auto"/>
              </w:rPr>
              <w:t>本</w:t>
            </w:r>
            <w:r>
              <w:rPr>
                <w:rFonts w:hint="eastAsia" w:ascii="Times New Roman" w:hAnsi="Times New Roman"/>
                <w:color w:val="auto"/>
              </w:rPr>
              <w:t>）</w:t>
            </w:r>
            <w:r>
              <w:rPr>
                <w:rFonts w:ascii="Times New Roman" w:hAnsi="Times New Roman"/>
                <w:color w:val="auto"/>
              </w:rPr>
              <w:t>》，本项目属于允许类，符合国家</w:t>
            </w:r>
            <w:r>
              <w:rPr>
                <w:rFonts w:hint="eastAsia" w:ascii="Times New Roman" w:hAnsi="Times New Roman"/>
                <w:color w:val="auto"/>
              </w:rPr>
              <w:t>和云南省</w:t>
            </w:r>
            <w:r>
              <w:rPr>
                <w:rFonts w:ascii="Times New Roman" w:hAnsi="Times New Roman"/>
                <w:color w:val="auto"/>
              </w:rPr>
              <w:t>产业政策。</w:t>
            </w:r>
          </w:p>
          <w:p>
            <w:pPr>
              <w:pStyle w:val="84"/>
              <w:numPr>
                <w:ilvl w:val="0"/>
                <w:numId w:val="9"/>
              </w:numPr>
              <w:adjustRightInd w:val="0"/>
              <w:snapToGrid w:val="0"/>
              <w:spacing w:line="360" w:lineRule="auto"/>
              <w:ind w:left="0" w:firstLine="0"/>
              <w:rPr>
                <w:rFonts w:ascii="Times New Roman" w:hAnsi="Times New Roman"/>
                <w:b/>
                <w:bCs/>
                <w:color w:val="auto"/>
                <w:szCs w:val="22"/>
              </w:rPr>
            </w:pPr>
            <w:r>
              <w:rPr>
                <w:rFonts w:ascii="Times New Roman" w:hAnsi="Times New Roman"/>
                <w:b/>
                <w:bCs/>
                <w:color w:val="auto"/>
                <w:szCs w:val="22"/>
              </w:rPr>
              <w:t>规划符合性结论</w:t>
            </w:r>
          </w:p>
          <w:p>
            <w:pPr>
              <w:pStyle w:val="16"/>
              <w:adjustRightInd w:val="0"/>
              <w:snapToGrid w:val="0"/>
              <w:spacing w:line="360" w:lineRule="auto"/>
              <w:ind w:firstLine="480" w:firstLineChars="200"/>
              <w:jc w:val="both"/>
              <w:rPr>
                <w:rFonts w:ascii="Times New Roman" w:hAnsi="Times New Roman"/>
                <w:color w:val="auto"/>
              </w:rPr>
            </w:pPr>
            <w:r>
              <w:rPr>
                <w:rFonts w:hint="eastAsia" w:ascii="Times New Roman" w:hAnsi="Times New Roman"/>
                <w:color w:val="auto"/>
              </w:rPr>
              <w:t>技改项目属于热力生产和供应行业，项目的建设与</w:t>
            </w:r>
            <w:r>
              <w:rPr>
                <w:rFonts w:ascii="Times New Roman" w:hAnsi="Times New Roman"/>
                <w:color w:val="auto"/>
              </w:rPr>
              <w:t>《打赢蓝天保卫战三年行动计划》《云南省大气污染防治行动实施方案》《昆明市大气污染防治行动计划实施细则》《2018年宜良大气污染防治工作实施方案》《重点流域水污染防治规划（2016-2020年）》《云南省主体功能区规划》</w:t>
            </w:r>
            <w:r>
              <w:rPr>
                <w:rFonts w:hint="eastAsia" w:ascii="Times New Roman" w:hAnsi="Times New Roman"/>
                <w:color w:val="auto"/>
              </w:rPr>
              <w:t>均相符，技改项目符合相关规划要求。</w:t>
            </w:r>
          </w:p>
          <w:p>
            <w:pPr>
              <w:pStyle w:val="84"/>
              <w:numPr>
                <w:ilvl w:val="0"/>
                <w:numId w:val="9"/>
              </w:numPr>
              <w:adjustRightInd w:val="0"/>
              <w:snapToGrid w:val="0"/>
              <w:spacing w:line="360" w:lineRule="auto"/>
              <w:ind w:left="0" w:firstLine="0"/>
              <w:rPr>
                <w:rFonts w:ascii="Times New Roman" w:hAnsi="Times New Roman"/>
                <w:b/>
                <w:bCs/>
                <w:color w:val="auto"/>
                <w:szCs w:val="22"/>
              </w:rPr>
            </w:pPr>
            <w:r>
              <w:rPr>
                <w:rFonts w:ascii="Times New Roman" w:hAnsi="Times New Roman"/>
                <w:b/>
                <w:bCs/>
                <w:color w:val="auto"/>
                <w:szCs w:val="22"/>
              </w:rPr>
              <w:t>选址、布局合理性结论</w:t>
            </w:r>
          </w:p>
          <w:p>
            <w:pPr>
              <w:pStyle w:val="16"/>
              <w:adjustRightInd w:val="0"/>
              <w:snapToGrid w:val="0"/>
              <w:spacing w:line="360" w:lineRule="auto"/>
              <w:ind w:firstLine="480" w:firstLineChars="200"/>
              <w:jc w:val="both"/>
              <w:rPr>
                <w:rFonts w:ascii="Times New Roman" w:hAnsi="Times New Roman"/>
                <w:color w:val="auto"/>
              </w:rPr>
            </w:pPr>
            <w:r>
              <w:rPr>
                <w:rFonts w:hint="eastAsia" w:ascii="Times New Roman" w:hAnsi="Times New Roman"/>
                <w:color w:val="auto"/>
              </w:rPr>
              <w:t>技改项目</w:t>
            </w:r>
            <w:r>
              <w:rPr>
                <w:rFonts w:ascii="Times New Roman" w:hAnsi="Times New Roman"/>
                <w:color w:val="auto"/>
              </w:rPr>
              <w:t>在现有项目厂</w:t>
            </w:r>
            <w:r>
              <w:rPr>
                <w:rFonts w:hint="eastAsia" w:ascii="Times New Roman" w:hAnsi="Times New Roman"/>
                <w:color w:val="auto"/>
              </w:rPr>
              <w:t>区</w:t>
            </w:r>
            <w:r>
              <w:rPr>
                <w:rFonts w:ascii="Times New Roman" w:hAnsi="Times New Roman"/>
                <w:color w:val="auto"/>
              </w:rPr>
              <w:t>内建设，不新增</w:t>
            </w:r>
            <w:r>
              <w:rPr>
                <w:rFonts w:hint="eastAsia" w:ascii="Times New Roman" w:hAnsi="Times New Roman"/>
                <w:color w:val="auto"/>
              </w:rPr>
              <w:t>占</w:t>
            </w:r>
            <w:r>
              <w:rPr>
                <w:rFonts w:ascii="Times New Roman" w:hAnsi="Times New Roman"/>
                <w:color w:val="auto"/>
              </w:rPr>
              <w:t>地</w:t>
            </w:r>
            <w:r>
              <w:rPr>
                <w:rFonts w:hint="eastAsia" w:ascii="Times New Roman" w:hAnsi="Times New Roman"/>
                <w:color w:val="auto"/>
              </w:rPr>
              <w:t>，除村庄和散户外，各要素评价范围内不涉及各级各类环境敏感保护目标，与周围企业相容，选址合理。项目</w:t>
            </w:r>
            <w:r>
              <w:rPr>
                <w:rFonts w:ascii="Times New Roman" w:hAnsi="Times New Roman"/>
                <w:color w:val="auto"/>
              </w:rPr>
              <w:t>整体布置既便于生产，又方便</w:t>
            </w:r>
            <w:r>
              <w:rPr>
                <w:rFonts w:hint="eastAsia" w:ascii="Times New Roman" w:hAnsi="Times New Roman"/>
                <w:color w:val="auto"/>
              </w:rPr>
              <w:t>燃料、固废</w:t>
            </w:r>
            <w:r>
              <w:rPr>
                <w:rFonts w:ascii="Times New Roman" w:hAnsi="Times New Roman"/>
                <w:color w:val="auto"/>
              </w:rPr>
              <w:t>运输</w:t>
            </w:r>
            <w:r>
              <w:rPr>
                <w:rFonts w:hint="eastAsia" w:ascii="Times New Roman" w:hAnsi="Times New Roman"/>
                <w:color w:val="auto"/>
              </w:rPr>
              <w:t>，布局</w:t>
            </w:r>
            <w:r>
              <w:rPr>
                <w:rFonts w:ascii="Times New Roman" w:hAnsi="Times New Roman"/>
                <w:color w:val="auto"/>
              </w:rPr>
              <w:t>较为合理。</w:t>
            </w:r>
          </w:p>
          <w:p>
            <w:pPr>
              <w:pStyle w:val="84"/>
              <w:numPr>
                <w:ilvl w:val="0"/>
                <w:numId w:val="9"/>
              </w:numPr>
              <w:adjustRightInd w:val="0"/>
              <w:snapToGrid w:val="0"/>
              <w:spacing w:line="360" w:lineRule="auto"/>
              <w:ind w:left="0" w:firstLine="0"/>
              <w:rPr>
                <w:rFonts w:ascii="Times New Roman" w:hAnsi="Times New Roman"/>
                <w:b/>
                <w:bCs/>
                <w:color w:val="auto"/>
                <w:szCs w:val="22"/>
              </w:rPr>
            </w:pPr>
            <w:r>
              <w:rPr>
                <w:rFonts w:ascii="Times New Roman" w:hAnsi="Times New Roman"/>
                <w:b/>
                <w:bCs/>
                <w:color w:val="auto"/>
                <w:szCs w:val="22"/>
              </w:rPr>
              <w:t>“三线一单”符合性结论</w:t>
            </w:r>
          </w:p>
          <w:p>
            <w:pPr>
              <w:pStyle w:val="16"/>
              <w:adjustRightInd w:val="0"/>
              <w:snapToGrid w:val="0"/>
              <w:spacing w:line="360" w:lineRule="auto"/>
              <w:ind w:firstLine="480" w:firstLineChars="200"/>
              <w:jc w:val="both"/>
              <w:rPr>
                <w:rFonts w:ascii="Times New Roman" w:hAnsi="Times New Roman"/>
                <w:color w:val="auto"/>
              </w:rPr>
            </w:pPr>
            <w:r>
              <w:rPr>
                <w:rFonts w:ascii="Times New Roman" w:hAnsi="Times New Roman"/>
                <w:color w:val="auto"/>
              </w:rPr>
              <w:t>本项目不在当地的生态红线范围内；运营期间产生的废气、废水、噪声、固废通过采取有效的防治措施后均可做到达标准排放或妥善处置，对周边环境的影响可接受，可维持项目区域内的环境质量现状；项目的水、电资源利用不会突破区域的资源利用上线；不在《市场准入负面清单（2020版）》内容之列，符合“三线一单”要求。</w:t>
            </w:r>
          </w:p>
          <w:p>
            <w:pPr>
              <w:pStyle w:val="84"/>
              <w:numPr>
                <w:ilvl w:val="0"/>
                <w:numId w:val="9"/>
              </w:numPr>
              <w:adjustRightInd w:val="0"/>
              <w:snapToGrid w:val="0"/>
              <w:spacing w:line="360" w:lineRule="auto"/>
              <w:ind w:left="0" w:firstLine="0"/>
              <w:rPr>
                <w:rFonts w:ascii="Times New Roman" w:hAnsi="Times New Roman"/>
                <w:b/>
                <w:bCs/>
                <w:color w:val="auto"/>
                <w:szCs w:val="22"/>
              </w:rPr>
            </w:pPr>
            <w:r>
              <w:rPr>
                <w:rFonts w:ascii="Times New Roman" w:hAnsi="Times New Roman"/>
                <w:b/>
                <w:bCs/>
                <w:color w:val="auto"/>
                <w:szCs w:val="22"/>
              </w:rPr>
              <w:t>环境质量现状</w:t>
            </w:r>
            <w:bookmarkEnd w:id="50"/>
            <w:r>
              <w:rPr>
                <w:rFonts w:hint="eastAsia" w:ascii="Times New Roman" w:hAnsi="Times New Roman"/>
                <w:b/>
                <w:bCs/>
                <w:color w:val="auto"/>
                <w:szCs w:val="22"/>
              </w:rPr>
              <w:t>评价结论</w:t>
            </w:r>
          </w:p>
          <w:p>
            <w:pPr>
              <w:adjustRightInd w:val="0"/>
              <w:snapToGrid w:val="0"/>
              <w:spacing w:line="360" w:lineRule="auto"/>
              <w:ind w:firstLine="480" w:firstLineChars="200"/>
              <w:rPr>
                <w:rFonts w:ascii="Times New Roman" w:hAnsi="Times New Roman"/>
                <w:color w:val="auto"/>
                <w:kern w:val="2"/>
              </w:rPr>
            </w:pPr>
            <w:r>
              <w:rPr>
                <w:rFonts w:ascii="Times New Roman" w:hAnsi="Times New Roman"/>
                <w:color w:val="auto"/>
              </w:rPr>
              <w:t>根据资料收集，项目评价区属于环境空气达标区，</w:t>
            </w:r>
            <w:r>
              <w:rPr>
                <w:rFonts w:hint="eastAsia" w:ascii="Times New Roman" w:hAnsi="Times New Roman"/>
                <w:color w:val="auto"/>
              </w:rPr>
              <w:t>根据</w:t>
            </w:r>
            <w:r>
              <w:rPr>
                <w:rFonts w:hint="eastAsia" w:ascii="Times New Roman" w:hAnsi="Times New Roman"/>
                <w:color w:val="auto"/>
                <w:lang w:eastAsia="zh-CN"/>
              </w:rPr>
              <w:t>所在地</w:t>
            </w:r>
            <w:r>
              <w:rPr>
                <w:rFonts w:hint="eastAsia" w:ascii="Times New Roman" w:hAnsi="Times New Roman"/>
                <w:color w:val="auto"/>
                <w:lang w:val="en-US" w:eastAsia="zh-CN"/>
              </w:rPr>
              <w:t>2019年</w:t>
            </w:r>
            <w:r>
              <w:rPr>
                <w:rFonts w:hint="eastAsia" w:ascii="Times New Roman" w:hAnsi="Times New Roman"/>
                <w:color w:val="auto"/>
                <w:lang w:eastAsia="zh-CN"/>
              </w:rPr>
              <w:t>长期监测及</w:t>
            </w:r>
            <w:r>
              <w:rPr>
                <w:rFonts w:hint="eastAsia" w:ascii="Times New Roman" w:hAnsi="Times New Roman"/>
                <w:color w:val="auto"/>
              </w:rPr>
              <w:t>补充监测结果</w:t>
            </w:r>
            <w:r>
              <w:rPr>
                <w:rFonts w:hint="eastAsia" w:ascii="Times New Roman" w:hAnsi="Times New Roman"/>
                <w:color w:val="auto"/>
                <w:lang w:eastAsia="zh-CN"/>
              </w:rPr>
              <w:t>分析可知</w:t>
            </w:r>
            <w:r>
              <w:rPr>
                <w:rFonts w:hint="eastAsia" w:ascii="Times New Roman" w:hAnsi="Times New Roman"/>
                <w:color w:val="auto"/>
              </w:rPr>
              <w:t>，</w:t>
            </w:r>
            <w:r>
              <w:rPr>
                <w:rFonts w:ascii="Times New Roman" w:hAnsi="Times New Roman"/>
                <w:color w:val="auto"/>
                <w:kern w:val="2"/>
              </w:rPr>
              <w:t>评价区域TSP</w:t>
            </w:r>
            <w:r>
              <w:rPr>
                <w:rFonts w:hint="eastAsia" w:ascii="Times New Roman" w:hAnsi="Times New Roman"/>
                <w:color w:val="auto"/>
                <w:kern w:val="2"/>
              </w:rPr>
              <w:t>、</w:t>
            </w:r>
            <w:r>
              <w:rPr>
                <w:rFonts w:ascii="Times New Roman" w:hAnsi="Times New Roman"/>
                <w:color w:val="auto"/>
                <w:kern w:val="2"/>
              </w:rPr>
              <w:t>PM</w:t>
            </w:r>
            <w:r>
              <w:rPr>
                <w:rFonts w:ascii="Times New Roman" w:hAnsi="Times New Roman"/>
                <w:color w:val="auto"/>
                <w:kern w:val="2"/>
                <w:vertAlign w:val="subscript"/>
              </w:rPr>
              <w:t>10</w:t>
            </w:r>
            <w:r>
              <w:rPr>
                <w:rFonts w:hint="eastAsia" w:ascii="Times New Roman" w:hAnsi="Times New Roman"/>
                <w:color w:val="auto"/>
                <w:kern w:val="2"/>
              </w:rPr>
              <w:t>、</w:t>
            </w:r>
            <w:r>
              <w:rPr>
                <w:rFonts w:ascii="Times New Roman" w:hAnsi="Times New Roman"/>
                <w:color w:val="auto"/>
                <w:kern w:val="2"/>
              </w:rPr>
              <w:t>PM</w:t>
            </w:r>
            <w:r>
              <w:rPr>
                <w:rFonts w:ascii="Times New Roman" w:hAnsi="Times New Roman"/>
                <w:color w:val="auto"/>
                <w:kern w:val="2"/>
                <w:vertAlign w:val="subscript"/>
              </w:rPr>
              <w:t>2.5</w:t>
            </w:r>
            <w:r>
              <w:rPr>
                <w:rFonts w:hint="eastAsia" w:ascii="Times New Roman" w:hAnsi="Times New Roman"/>
                <w:color w:val="auto"/>
                <w:kern w:val="2"/>
              </w:rPr>
              <w:t>、</w:t>
            </w:r>
            <w:r>
              <w:rPr>
                <w:rFonts w:ascii="Times New Roman" w:hAnsi="Times New Roman"/>
                <w:color w:val="auto"/>
                <w:kern w:val="2"/>
              </w:rPr>
              <w:t>SO</w:t>
            </w:r>
            <w:r>
              <w:rPr>
                <w:rFonts w:ascii="Times New Roman" w:hAnsi="Times New Roman"/>
                <w:color w:val="auto"/>
                <w:kern w:val="2"/>
                <w:vertAlign w:val="subscript"/>
              </w:rPr>
              <w:t>2</w:t>
            </w:r>
            <w:r>
              <w:rPr>
                <w:rFonts w:ascii="Times New Roman" w:hAnsi="Times New Roman"/>
                <w:color w:val="auto"/>
                <w:kern w:val="2"/>
              </w:rPr>
              <w:t>、</w:t>
            </w:r>
            <w:r>
              <w:rPr>
                <w:rFonts w:hint="eastAsia" w:ascii="Times New Roman" w:hAnsi="Times New Roman"/>
                <w:color w:val="auto"/>
                <w:kern w:val="2"/>
              </w:rPr>
              <w:t>CO、O</w:t>
            </w:r>
            <w:r>
              <w:rPr>
                <w:rFonts w:hint="eastAsia" w:ascii="Times New Roman" w:hAnsi="Times New Roman"/>
                <w:color w:val="auto"/>
                <w:kern w:val="2"/>
                <w:vertAlign w:val="subscript"/>
              </w:rPr>
              <w:t>3</w:t>
            </w:r>
            <w:r>
              <w:rPr>
                <w:rFonts w:hint="eastAsia" w:ascii="Times New Roman" w:hAnsi="Times New Roman"/>
                <w:color w:val="auto"/>
                <w:kern w:val="2"/>
              </w:rPr>
              <w:t>、</w:t>
            </w:r>
            <w:r>
              <w:rPr>
                <w:rFonts w:ascii="Times New Roman" w:hAnsi="Times New Roman"/>
                <w:color w:val="auto"/>
                <w:kern w:val="2"/>
              </w:rPr>
              <w:t>NO</w:t>
            </w:r>
            <w:r>
              <w:rPr>
                <w:rFonts w:ascii="Times New Roman" w:hAnsi="Times New Roman"/>
                <w:color w:val="auto"/>
                <w:kern w:val="2"/>
                <w:vertAlign w:val="subscript"/>
              </w:rPr>
              <w:t>2</w:t>
            </w:r>
            <w:r>
              <w:rPr>
                <w:rFonts w:hint="eastAsia" w:ascii="Times New Roman" w:hAnsi="Times New Roman"/>
                <w:color w:val="auto"/>
                <w:kern w:val="2"/>
              </w:rPr>
              <w:t>的</w:t>
            </w:r>
            <w:r>
              <w:rPr>
                <w:rFonts w:ascii="Times New Roman" w:hAnsi="Times New Roman"/>
                <w:color w:val="auto"/>
                <w:kern w:val="2"/>
              </w:rPr>
              <w:t>监测值均满足《环境空气质量标准》（GB3095-2012）二级标准要求</w:t>
            </w:r>
            <w:r>
              <w:rPr>
                <w:rFonts w:hint="eastAsia" w:ascii="Times New Roman" w:hAnsi="Times New Roman"/>
                <w:color w:val="auto"/>
                <w:kern w:val="2"/>
              </w:rPr>
              <w:t>，</w:t>
            </w:r>
            <w:r>
              <w:rPr>
                <w:rFonts w:ascii="Times New Roman" w:hAnsi="Times New Roman"/>
                <w:color w:val="auto"/>
                <w:kern w:val="2"/>
              </w:rPr>
              <w:t>评价区域环境空气质量较好，尚有一定的环境容量。</w:t>
            </w:r>
            <w:r>
              <w:rPr>
                <w:rFonts w:hint="eastAsia" w:ascii="Times New Roman" w:hAnsi="Times New Roman"/>
                <w:color w:val="auto"/>
                <w:kern w:val="2"/>
              </w:rPr>
              <w:t>现有项目厂界无组织废气的TSP监测值均满足《大气污染物综合排放标准》（GB16297-1996）中的表2标准要求，说明现有项目无组织废气能够达标排放。</w:t>
            </w:r>
          </w:p>
          <w:p>
            <w:pPr>
              <w:adjustRightInd w:val="0"/>
              <w:snapToGrid w:val="0"/>
              <w:spacing w:line="360" w:lineRule="auto"/>
              <w:ind w:firstLine="480" w:firstLineChars="200"/>
              <w:rPr>
                <w:rFonts w:ascii="Times New Roman" w:hAnsi="Times New Roman"/>
                <w:color w:val="auto"/>
                <w:kern w:val="2"/>
              </w:rPr>
            </w:pPr>
            <w:r>
              <w:rPr>
                <w:rFonts w:ascii="Times New Roman" w:hAnsi="Times New Roman"/>
                <w:color w:val="auto"/>
                <w:kern w:val="2"/>
              </w:rPr>
              <w:t>根据《2019年昆明市环境状况公报》，南盘江狗街水质断面为</w:t>
            </w:r>
            <w:r>
              <w:rPr>
                <w:rFonts w:hint="eastAsia" w:ascii="Times New Roman" w:hAnsi="Times New Roman"/>
                <w:color w:val="auto"/>
                <w:kern w:val="2"/>
              </w:rPr>
              <w:t>Ⅳ</w:t>
            </w:r>
            <w:r>
              <w:rPr>
                <w:rFonts w:ascii="Times New Roman" w:hAnsi="Times New Roman"/>
                <w:color w:val="auto"/>
                <w:kern w:val="2"/>
              </w:rPr>
              <w:t>类水质。南盘江水质能满足《地表水环境质量标准》（GB3838-2002）中的</w:t>
            </w:r>
            <w:r>
              <w:rPr>
                <w:rFonts w:hint="eastAsia" w:ascii="Times New Roman" w:hAnsi="Times New Roman"/>
                <w:color w:val="auto"/>
                <w:kern w:val="2"/>
              </w:rPr>
              <w:t>Ⅳ</w:t>
            </w:r>
            <w:r>
              <w:rPr>
                <w:rFonts w:ascii="Times New Roman" w:hAnsi="Times New Roman"/>
                <w:color w:val="auto"/>
                <w:kern w:val="2"/>
              </w:rPr>
              <w:t>类标准。</w:t>
            </w:r>
          </w:p>
          <w:p>
            <w:pPr>
              <w:pStyle w:val="16"/>
              <w:adjustRightInd w:val="0"/>
              <w:snapToGrid w:val="0"/>
              <w:spacing w:line="360" w:lineRule="auto"/>
              <w:ind w:firstLine="480" w:firstLineChars="200"/>
              <w:jc w:val="both"/>
              <w:rPr>
                <w:rFonts w:ascii="Times New Roman" w:hAnsi="Times New Roman"/>
                <w:color w:val="auto"/>
              </w:rPr>
            </w:pPr>
            <w:r>
              <w:rPr>
                <w:rFonts w:hint="eastAsia" w:ascii="Times New Roman" w:hAnsi="Times New Roman"/>
                <w:color w:val="auto"/>
              </w:rPr>
              <w:t>根据现状监测结果，</w:t>
            </w:r>
            <w:r>
              <w:rPr>
                <w:rFonts w:ascii="Times New Roman" w:hAnsi="Times New Roman"/>
                <w:color w:val="auto"/>
              </w:rPr>
              <w:t>项目区域</w:t>
            </w:r>
            <w:r>
              <w:rPr>
                <w:rFonts w:hint="eastAsia" w:ascii="Times New Roman" w:hAnsi="Times New Roman"/>
                <w:color w:val="auto"/>
              </w:rPr>
              <w:t>的</w:t>
            </w:r>
            <w:r>
              <w:rPr>
                <w:rFonts w:ascii="Times New Roman" w:hAnsi="Times New Roman"/>
                <w:color w:val="auto"/>
              </w:rPr>
              <w:t>宜良明丰造纸厂东</w:t>
            </w:r>
            <w:r>
              <w:rPr>
                <w:rFonts w:hint="eastAsia" w:ascii="Times New Roman" w:hAnsi="Times New Roman"/>
                <w:color w:val="auto"/>
              </w:rPr>
              <w:t>、南</w:t>
            </w:r>
            <w:r>
              <w:rPr>
                <w:rFonts w:ascii="Times New Roman" w:hAnsi="Times New Roman"/>
                <w:color w:val="auto"/>
              </w:rPr>
              <w:t>厂界</w:t>
            </w:r>
            <w:r>
              <w:rPr>
                <w:rFonts w:hint="eastAsia" w:ascii="Times New Roman" w:hAnsi="Times New Roman"/>
                <w:color w:val="auto"/>
              </w:rPr>
              <w:t>的</w:t>
            </w:r>
            <w:r>
              <w:rPr>
                <w:rFonts w:ascii="Times New Roman" w:hAnsi="Times New Roman"/>
                <w:color w:val="auto"/>
              </w:rPr>
              <w:t>声环境</w:t>
            </w:r>
            <w:r>
              <w:rPr>
                <w:rFonts w:hint="eastAsia" w:ascii="Times New Roman" w:hAnsi="Times New Roman"/>
                <w:color w:val="auto"/>
              </w:rPr>
              <w:t>质量现状监测值均能达到</w:t>
            </w:r>
            <w:r>
              <w:rPr>
                <w:rFonts w:ascii="Times New Roman" w:hAnsi="Times New Roman"/>
                <w:color w:val="auto"/>
              </w:rPr>
              <w:t>GB3096-2008《声环境质量标准》2类标准</w:t>
            </w:r>
            <w:r>
              <w:rPr>
                <w:rFonts w:hint="eastAsia" w:ascii="Times New Roman" w:hAnsi="Times New Roman"/>
                <w:color w:val="auto"/>
              </w:rPr>
              <w:t>限值要求，北、西</w:t>
            </w:r>
            <w:r>
              <w:rPr>
                <w:rFonts w:ascii="Times New Roman" w:hAnsi="Times New Roman"/>
                <w:color w:val="auto"/>
              </w:rPr>
              <w:t>厂界</w:t>
            </w:r>
            <w:r>
              <w:rPr>
                <w:rFonts w:hint="eastAsia" w:ascii="Times New Roman" w:hAnsi="Times New Roman"/>
                <w:color w:val="auto"/>
              </w:rPr>
              <w:t>和西南侧最近住户处的</w:t>
            </w:r>
            <w:r>
              <w:rPr>
                <w:rFonts w:ascii="Times New Roman" w:hAnsi="Times New Roman"/>
                <w:color w:val="auto"/>
              </w:rPr>
              <w:t>声环境</w:t>
            </w:r>
            <w:r>
              <w:rPr>
                <w:rFonts w:hint="eastAsia" w:ascii="Times New Roman" w:hAnsi="Times New Roman"/>
                <w:color w:val="auto"/>
              </w:rPr>
              <w:t>质量现状监测值均能达到</w:t>
            </w:r>
            <w:r>
              <w:rPr>
                <w:rFonts w:ascii="Times New Roman" w:hAnsi="Times New Roman"/>
                <w:color w:val="auto"/>
              </w:rPr>
              <w:t>4a类标准</w:t>
            </w:r>
            <w:r>
              <w:rPr>
                <w:rFonts w:hint="eastAsia" w:ascii="Times New Roman" w:hAnsi="Times New Roman"/>
                <w:color w:val="auto"/>
              </w:rPr>
              <w:t>限值要求</w:t>
            </w:r>
            <w:r>
              <w:rPr>
                <w:rFonts w:ascii="Times New Roman" w:hAnsi="Times New Roman"/>
                <w:color w:val="auto"/>
              </w:rPr>
              <w:t>。</w:t>
            </w:r>
            <w:r>
              <w:rPr>
                <w:rFonts w:hint="eastAsia" w:ascii="Times New Roman" w:hAnsi="Times New Roman"/>
                <w:color w:val="auto"/>
              </w:rPr>
              <w:t>说明本项目所在区域声环境质量良好。</w:t>
            </w:r>
          </w:p>
          <w:p>
            <w:pPr>
              <w:pStyle w:val="16"/>
              <w:adjustRightInd w:val="0"/>
              <w:snapToGrid w:val="0"/>
              <w:spacing w:line="360" w:lineRule="auto"/>
              <w:ind w:firstLine="480" w:firstLineChars="200"/>
              <w:jc w:val="both"/>
              <w:rPr>
                <w:rFonts w:ascii="Times New Roman" w:hAnsi="Times New Roman"/>
                <w:color w:val="auto"/>
              </w:rPr>
            </w:pPr>
            <w:r>
              <w:rPr>
                <w:rFonts w:ascii="Times New Roman" w:hAnsi="Times New Roman"/>
                <w:color w:val="auto"/>
              </w:rPr>
              <w:t>根据现场踏勘调查，项目评价范围内不涉及需要特殊保护的生态敏感目标分布，未发现珍稀濒危动植物物种、国家级和省级重点保护的动植物物种及区域特有物种分布。评价区域植物类型较为单一，生物多样性较差，生态系统受人为控制，自身调节能力较弱。</w:t>
            </w:r>
          </w:p>
          <w:p>
            <w:pPr>
              <w:pStyle w:val="84"/>
              <w:numPr>
                <w:ilvl w:val="0"/>
                <w:numId w:val="9"/>
              </w:numPr>
              <w:adjustRightInd w:val="0"/>
              <w:snapToGrid w:val="0"/>
              <w:spacing w:line="360" w:lineRule="auto"/>
              <w:ind w:left="0" w:firstLine="0"/>
              <w:rPr>
                <w:rFonts w:ascii="Times New Roman" w:hAnsi="Times New Roman"/>
                <w:b/>
                <w:bCs/>
                <w:color w:val="auto"/>
                <w:szCs w:val="22"/>
              </w:rPr>
            </w:pPr>
            <w:r>
              <w:rPr>
                <w:rFonts w:ascii="Times New Roman" w:hAnsi="Times New Roman"/>
                <w:b/>
                <w:bCs/>
                <w:color w:val="auto"/>
                <w:szCs w:val="22"/>
              </w:rPr>
              <w:t>施工期环境影响结论</w:t>
            </w:r>
          </w:p>
          <w:p>
            <w:pPr>
              <w:pStyle w:val="16"/>
              <w:adjustRightInd w:val="0"/>
              <w:snapToGrid w:val="0"/>
              <w:spacing w:line="360" w:lineRule="auto"/>
              <w:ind w:firstLine="480" w:firstLineChars="200"/>
              <w:jc w:val="both"/>
              <w:rPr>
                <w:rFonts w:ascii="Times New Roman" w:hAnsi="Times New Roman"/>
                <w:color w:val="auto"/>
              </w:rPr>
            </w:pPr>
            <w:r>
              <w:rPr>
                <w:rFonts w:hint="eastAsia" w:ascii="Times New Roman" w:hAnsi="Times New Roman"/>
                <w:color w:val="auto"/>
              </w:rPr>
              <w:t>技改项目在现有项目厂区内建设，施工期仅产生少量废气（粉尘、施工机械尾气）、噪声（设备噪声、交通噪声）和施工固废（可回收垃圾、建筑垃圾），不产生废水。其中废气和噪声通过采取相应的环保措施后可做到达标排放，施工固废均得到有效处置，不排放。综上，施工期对周围环境的影响是可接受的，并且这种影响是暂时的，将随着施工期的结束而消失。</w:t>
            </w:r>
          </w:p>
          <w:p>
            <w:pPr>
              <w:pStyle w:val="84"/>
              <w:numPr>
                <w:ilvl w:val="0"/>
                <w:numId w:val="9"/>
              </w:numPr>
              <w:adjustRightInd w:val="0"/>
              <w:snapToGrid w:val="0"/>
              <w:spacing w:line="360" w:lineRule="auto"/>
              <w:ind w:left="0" w:firstLine="0"/>
              <w:rPr>
                <w:rFonts w:ascii="Times New Roman" w:hAnsi="Times New Roman"/>
                <w:b/>
                <w:bCs/>
                <w:color w:val="auto"/>
                <w:szCs w:val="22"/>
              </w:rPr>
            </w:pPr>
            <w:r>
              <w:rPr>
                <w:rFonts w:ascii="Times New Roman" w:hAnsi="Times New Roman"/>
                <w:b/>
                <w:bCs/>
                <w:color w:val="auto"/>
                <w:szCs w:val="22"/>
              </w:rPr>
              <w:t>运营期环境影响结论</w:t>
            </w:r>
          </w:p>
          <w:p>
            <w:pPr>
              <w:pStyle w:val="84"/>
              <w:numPr>
                <w:ilvl w:val="0"/>
                <w:numId w:val="10"/>
              </w:numPr>
              <w:adjustRightInd w:val="0"/>
              <w:snapToGrid w:val="0"/>
              <w:spacing w:line="360" w:lineRule="auto"/>
              <w:rPr>
                <w:rFonts w:ascii="Times New Roman" w:hAnsi="Times New Roman"/>
                <w:b/>
                <w:bCs/>
                <w:color w:val="auto"/>
                <w:highlight w:val="none"/>
              </w:rPr>
            </w:pPr>
            <w:r>
              <w:rPr>
                <w:rFonts w:hint="eastAsia" w:ascii="Times New Roman" w:hAnsi="Times New Roman"/>
                <w:b/>
                <w:bCs/>
                <w:color w:val="auto"/>
                <w:highlight w:val="none"/>
              </w:rPr>
              <w:t>大气环境</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auto"/>
              </w:rPr>
            </w:pPr>
            <w:r>
              <w:rPr>
                <w:rFonts w:hint="default" w:ascii="Times New Roman" w:hAnsi="Times New Roman" w:cs="Times New Roman"/>
                <w:color w:val="auto"/>
                <w:sz w:val="24"/>
              </w:rPr>
              <w:t>本项目位于达标区，项目属于</w:t>
            </w:r>
            <w:r>
              <w:rPr>
                <w:rFonts w:hint="default" w:ascii="Times New Roman" w:hAnsi="Times New Roman" w:cs="Times New Roman"/>
                <w:color w:val="auto"/>
                <w:sz w:val="24"/>
                <w:lang w:eastAsia="zh-CN"/>
              </w:rPr>
              <w:t>技改</w:t>
            </w:r>
            <w:r>
              <w:rPr>
                <w:rFonts w:hint="default" w:ascii="Times New Roman" w:hAnsi="Times New Roman" w:cs="Times New Roman"/>
                <w:color w:val="auto"/>
                <w:sz w:val="24"/>
              </w:rPr>
              <w:t>项目。根据预测，项目</w:t>
            </w:r>
            <w:r>
              <w:rPr>
                <w:rFonts w:hint="default" w:ascii="Times New Roman" w:hAnsi="Times New Roman" w:cs="Times New Roman"/>
                <w:color w:val="auto"/>
                <w:sz w:val="24"/>
                <w:lang w:eastAsia="zh-CN"/>
              </w:rPr>
              <w:t>技改</w:t>
            </w:r>
            <w:r>
              <w:rPr>
                <w:rFonts w:hint="default" w:ascii="Times New Roman" w:hAnsi="Times New Roman" w:cs="Times New Roman"/>
                <w:color w:val="auto"/>
                <w:sz w:val="24"/>
              </w:rPr>
              <w:t>后项目正常排放下的污染物SO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TSP</w:t>
            </w:r>
            <w:r>
              <w:rPr>
                <w:rFonts w:hint="default" w:ascii="Times New Roman" w:hAnsi="Times New Roman" w:cs="Times New Roman"/>
                <w:color w:val="auto"/>
                <w:sz w:val="24"/>
              </w:rPr>
              <w:t>的短期浓度贡献值的最大浓度占标率均＜100%</w:t>
            </w:r>
            <w:r>
              <w:rPr>
                <w:rFonts w:hint="default" w:ascii="Times New Roman" w:hAnsi="Times New Roman" w:cs="Times New Roman"/>
                <w:color w:val="auto"/>
                <w:sz w:val="24"/>
                <w:highlight w:val="none"/>
              </w:rPr>
              <w:t>；正常排放下的污染物SO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10</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2.5</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TSP</w:t>
            </w:r>
            <w:r>
              <w:rPr>
                <w:rFonts w:hint="default" w:ascii="Times New Roman" w:hAnsi="Times New Roman" w:cs="Times New Roman"/>
                <w:color w:val="auto"/>
                <w:kern w:val="24"/>
                <w:sz w:val="24"/>
                <w:highlight w:val="none"/>
              </w:rPr>
              <w:t>年均浓度贡献值的最大浓度占标率均＜</w:t>
            </w:r>
            <w:r>
              <w:rPr>
                <w:rFonts w:hint="default" w:ascii="Times New Roman" w:hAnsi="Times New Roman" w:cs="Times New Roman"/>
                <w:color w:val="auto"/>
                <w:kern w:val="24"/>
                <w:sz w:val="24"/>
                <w:highlight w:val="none"/>
                <w:lang w:val="en-US" w:eastAsia="zh-CN"/>
              </w:rPr>
              <w:t>3</w:t>
            </w:r>
            <w:r>
              <w:rPr>
                <w:rFonts w:hint="default" w:ascii="Times New Roman" w:hAnsi="Times New Roman" w:cs="Times New Roman"/>
                <w:color w:val="auto"/>
                <w:kern w:val="24"/>
                <w:sz w:val="24"/>
                <w:highlight w:val="none"/>
              </w:rPr>
              <w:t>0%；正</w:t>
            </w:r>
            <w:r>
              <w:rPr>
                <w:rFonts w:hint="default" w:ascii="Times New Roman" w:hAnsi="Times New Roman" w:cs="Times New Roman"/>
                <w:color w:val="auto"/>
                <w:kern w:val="24"/>
                <w:sz w:val="24"/>
              </w:rPr>
              <w:t>常排放下各污染物的贡献值及叠加现状浓度后的</w:t>
            </w:r>
            <w:r>
              <w:rPr>
                <w:rFonts w:hint="default" w:ascii="Times New Roman" w:hAnsi="Times New Roman" w:cs="Times New Roman"/>
                <w:color w:val="auto"/>
                <w:kern w:val="24"/>
                <w:sz w:val="24"/>
                <w:lang w:eastAsia="zh-CN"/>
              </w:rPr>
              <w:t>短时</w:t>
            </w:r>
            <w:r>
              <w:rPr>
                <w:rFonts w:hint="default" w:ascii="Times New Roman" w:hAnsi="Times New Roman" w:cs="Times New Roman"/>
                <w:color w:val="auto"/>
                <w:kern w:val="24"/>
                <w:sz w:val="24"/>
              </w:rPr>
              <w:t>浓度值均满足相应环境质量标准要求，项目环境影响符合评价区环境功能区划。因此，本项目对评价范围内大气环境的影响是可以接受的。</w:t>
            </w:r>
            <w:r>
              <w:rPr>
                <w:rFonts w:hint="default" w:ascii="Times New Roman" w:hAnsi="Times New Roman" w:cs="Times New Roman"/>
                <w:color w:val="auto"/>
                <w:sz w:val="24"/>
                <w:lang w:val="en-US" w:eastAsia="zh-CN"/>
              </w:rPr>
              <w:t>根据预测评价，</w:t>
            </w:r>
            <w:r>
              <w:rPr>
                <w:rFonts w:hint="default" w:ascii="Times New Roman" w:hAnsi="Times New Roman" w:eastAsia="宋体" w:cs="Times New Roman"/>
                <w:color w:val="auto"/>
                <w:kern w:val="2"/>
                <w:sz w:val="24"/>
                <w:szCs w:val="24"/>
                <w:lang w:val="en-US" w:eastAsia="zh-CN" w:bidi="ar"/>
              </w:rPr>
              <w:t>各预测因子在拟建项目厂界的预测结果满足相应厂界浓度控制限值要求</w:t>
            </w:r>
            <w:r>
              <w:rPr>
                <w:rFonts w:hint="eastAsia" w:ascii="Times New Roman" w:hAnsi="Times New Roman" w:eastAsia="宋体" w:cs="Times New Roman"/>
                <w:color w:val="auto"/>
                <w:kern w:val="2"/>
                <w:sz w:val="24"/>
                <w:szCs w:val="24"/>
                <w:lang w:val="en-US" w:eastAsia="zh-CN" w:bidi="ar"/>
              </w:rPr>
              <w:t>，厂界外无超标区域出现，故无需设置环境防护距离。</w:t>
            </w:r>
            <w:r>
              <w:rPr>
                <w:rFonts w:hint="eastAsia" w:ascii="Times New Roman" w:hAnsi="Times New Roman" w:cs="Times New Roman"/>
                <w:color w:val="auto"/>
                <w:sz w:val="24"/>
                <w:lang w:eastAsia="zh-CN"/>
              </w:rPr>
              <w:t>项目非正常工况对锅炉排气筒</w:t>
            </w:r>
            <w:r>
              <w:rPr>
                <w:rFonts w:hint="eastAsia" w:ascii="Times New Roman" w:hAnsi="Times New Roman" w:cs="Times New Roman"/>
                <w:color w:val="auto"/>
                <w:sz w:val="24"/>
                <w:lang w:val="en-US" w:eastAsia="zh-CN"/>
              </w:rPr>
              <w:t>300m范围内环境空气质量有一定影响，因此，</w:t>
            </w:r>
            <w:r>
              <w:rPr>
                <w:rFonts w:hint="eastAsia" w:ascii="Times New Roman" w:hAnsi="Times New Roman" w:cs="Times New Roman"/>
                <w:color w:val="auto"/>
                <w:lang w:eastAsia="zh-CN"/>
              </w:rPr>
              <w:t>必须加强运营期锅炉烟气处理系统的管护和巡检，定期更换袋除尘滤袋，确保烟气净化系统稳定运行，避免非正常事故发生</w:t>
            </w:r>
            <w:r>
              <w:rPr>
                <w:rFonts w:hint="default" w:ascii="Times New Roman" w:hAnsi="Times New Roman" w:cs="Times New Roman"/>
                <w:color w:val="auto"/>
              </w:rPr>
              <w:t>。</w:t>
            </w:r>
            <w:r>
              <w:rPr>
                <w:rFonts w:hint="eastAsia" w:ascii="Times New Roman" w:hAnsi="Times New Roman" w:cs="Times New Roman"/>
                <w:color w:val="auto"/>
                <w:lang w:eastAsia="zh-CN"/>
              </w:rPr>
              <w:t>若出现非正常事故排放，应立即停炉检修，避免长时间超标排污，尽可能减轻对区域环境空气的不利影响。</w:t>
            </w:r>
          </w:p>
          <w:p>
            <w:pPr>
              <w:pStyle w:val="84"/>
              <w:numPr>
                <w:ilvl w:val="0"/>
                <w:numId w:val="10"/>
              </w:numPr>
              <w:adjustRightInd w:val="0"/>
              <w:snapToGrid w:val="0"/>
              <w:spacing w:line="360" w:lineRule="auto"/>
              <w:rPr>
                <w:rFonts w:ascii="Times New Roman" w:hAnsi="Times New Roman"/>
                <w:b/>
                <w:bCs/>
                <w:color w:val="auto"/>
              </w:rPr>
            </w:pPr>
            <w:r>
              <w:rPr>
                <w:rFonts w:hint="eastAsia" w:ascii="Times New Roman" w:hAnsi="Times New Roman"/>
                <w:b/>
                <w:bCs/>
                <w:color w:val="auto"/>
              </w:rPr>
              <w:t>地表</w:t>
            </w:r>
            <w:r>
              <w:rPr>
                <w:rFonts w:ascii="Times New Roman" w:hAnsi="Times New Roman"/>
                <w:b/>
                <w:bCs/>
                <w:color w:val="auto"/>
              </w:rPr>
              <w:t>水环境</w:t>
            </w:r>
          </w:p>
          <w:p>
            <w:pPr>
              <w:adjustRightInd w:val="0"/>
              <w:snapToGrid w:val="0"/>
              <w:spacing w:line="360" w:lineRule="auto"/>
              <w:ind w:firstLine="480" w:firstLineChars="200"/>
              <w:rPr>
                <w:rFonts w:ascii="Times New Roman" w:hAnsi="宋体"/>
                <w:color w:val="auto"/>
                <w:kern w:val="2"/>
              </w:rPr>
            </w:pPr>
            <w:r>
              <w:rPr>
                <w:rFonts w:hint="eastAsia" w:ascii="Times New Roman" w:hAnsi="宋体"/>
                <w:color w:val="auto"/>
                <w:kern w:val="2"/>
              </w:rPr>
              <w:t>技改项目产生的废水仅为锅炉废水，污染物仅有COD，且产生浓度低</w:t>
            </w:r>
            <w:r>
              <w:rPr>
                <w:rFonts w:hint="eastAsia" w:ascii="Times New Roman" w:hAnsi="Times New Roman"/>
                <w:color w:val="auto"/>
                <w:kern w:val="0"/>
              </w:rPr>
              <w:t>，现有项目用水对水质要求不高，锅炉废水可直接全部回用于现有项目造纸工段，不外排，对周围地表水环境的影响可以接受。</w:t>
            </w:r>
          </w:p>
          <w:p>
            <w:pPr>
              <w:pStyle w:val="84"/>
              <w:numPr>
                <w:ilvl w:val="0"/>
                <w:numId w:val="10"/>
              </w:numPr>
              <w:adjustRightInd w:val="0"/>
              <w:snapToGrid w:val="0"/>
              <w:spacing w:line="360" w:lineRule="auto"/>
              <w:rPr>
                <w:rFonts w:ascii="Times New Roman" w:hAnsi="Times New Roman"/>
                <w:b/>
                <w:bCs/>
                <w:color w:val="auto"/>
              </w:rPr>
            </w:pPr>
            <w:r>
              <w:rPr>
                <w:rFonts w:ascii="Times New Roman" w:hAnsi="Times New Roman"/>
                <w:b/>
                <w:bCs/>
                <w:color w:val="auto"/>
              </w:rPr>
              <w:t>声环境</w:t>
            </w:r>
          </w:p>
          <w:p>
            <w:pPr>
              <w:adjustRightInd w:val="0"/>
              <w:snapToGrid w:val="0"/>
              <w:spacing w:line="360" w:lineRule="auto"/>
              <w:ind w:firstLine="480" w:firstLineChars="200"/>
              <w:rPr>
                <w:rFonts w:ascii="Times New Roman" w:hAnsi="Times New Roman"/>
                <w:color w:val="auto"/>
              </w:rPr>
            </w:pPr>
            <w:r>
              <w:rPr>
                <w:rFonts w:hint="eastAsia" w:ascii="Times New Roman" w:hAnsi="宋体"/>
                <w:color w:val="auto"/>
                <w:kern w:val="2"/>
              </w:rPr>
              <w:t>根据</w:t>
            </w:r>
            <w:r>
              <w:rPr>
                <w:rFonts w:ascii="Times New Roman" w:hAnsi="宋体"/>
                <w:color w:val="auto"/>
                <w:kern w:val="2"/>
              </w:rPr>
              <w:t>预测结果</w:t>
            </w:r>
            <w:r>
              <w:rPr>
                <w:rFonts w:hint="eastAsia" w:ascii="Times New Roman" w:hAnsi="宋体"/>
                <w:color w:val="auto"/>
                <w:kern w:val="2"/>
              </w:rPr>
              <w:t>，</w:t>
            </w:r>
            <w:r>
              <w:rPr>
                <w:rFonts w:ascii="Times New Roman" w:hAnsi="宋体"/>
                <w:color w:val="auto"/>
                <w:kern w:val="2"/>
              </w:rPr>
              <w:t>建设项目</w:t>
            </w:r>
            <w:r>
              <w:rPr>
                <w:rFonts w:hint="eastAsia" w:ascii="Times New Roman" w:hAnsi="宋体"/>
                <w:color w:val="auto"/>
                <w:kern w:val="2"/>
              </w:rPr>
              <w:t>东、南</w:t>
            </w:r>
            <w:r>
              <w:rPr>
                <w:rFonts w:ascii="Times New Roman" w:hAnsi="宋体"/>
                <w:color w:val="auto"/>
                <w:kern w:val="2"/>
              </w:rPr>
              <w:t>厂界噪声</w:t>
            </w:r>
            <w:r>
              <w:rPr>
                <w:rFonts w:hint="eastAsia" w:ascii="Times New Roman" w:hAnsi="宋体"/>
                <w:color w:val="auto"/>
                <w:kern w:val="2"/>
              </w:rPr>
              <w:t>预测值</w:t>
            </w:r>
            <w:r>
              <w:rPr>
                <w:rFonts w:ascii="Times New Roman" w:hAnsi="宋体"/>
                <w:color w:val="auto"/>
                <w:kern w:val="2"/>
              </w:rPr>
              <w:t>均满足</w:t>
            </w:r>
            <w:r>
              <w:rPr>
                <w:rFonts w:ascii="Times New Roman" w:hAnsi="Times New Roman"/>
                <w:bCs/>
                <w:color w:val="auto"/>
                <w:kern w:val="2"/>
              </w:rPr>
              <w:t>GB12348-2008</w:t>
            </w:r>
            <w:r>
              <w:rPr>
                <w:rFonts w:ascii="Times New Roman" w:hAnsi="宋体"/>
                <w:bCs/>
                <w:color w:val="auto"/>
                <w:kern w:val="2"/>
              </w:rPr>
              <w:t>《工业企业厂界环境噪声排放标准》</w:t>
            </w:r>
            <w:r>
              <w:rPr>
                <w:rFonts w:ascii="Times New Roman" w:hAnsi="Times New Roman"/>
                <w:bCs/>
                <w:color w:val="auto"/>
                <w:kern w:val="2"/>
              </w:rPr>
              <w:t>2</w:t>
            </w:r>
            <w:r>
              <w:rPr>
                <w:rFonts w:ascii="Times New Roman" w:hAnsi="宋体"/>
                <w:bCs/>
                <w:color w:val="auto"/>
                <w:kern w:val="2"/>
              </w:rPr>
              <w:t>类标准</w:t>
            </w:r>
            <w:r>
              <w:rPr>
                <w:rFonts w:hint="eastAsia" w:ascii="Times New Roman" w:hAnsi="宋体"/>
                <w:bCs/>
                <w:color w:val="auto"/>
                <w:kern w:val="2"/>
              </w:rPr>
              <w:t>要求；</w:t>
            </w:r>
            <w:r>
              <w:rPr>
                <w:rFonts w:hint="eastAsia" w:ascii="Times New Roman" w:hAnsi="宋体"/>
                <w:color w:val="auto"/>
                <w:kern w:val="2"/>
              </w:rPr>
              <w:t>北、西</w:t>
            </w:r>
            <w:r>
              <w:rPr>
                <w:rFonts w:ascii="Times New Roman" w:hAnsi="宋体"/>
                <w:color w:val="auto"/>
                <w:kern w:val="2"/>
              </w:rPr>
              <w:t>厂界噪声</w:t>
            </w:r>
            <w:r>
              <w:rPr>
                <w:rFonts w:hint="eastAsia" w:ascii="Times New Roman" w:hAnsi="宋体"/>
                <w:color w:val="auto"/>
                <w:kern w:val="2"/>
              </w:rPr>
              <w:t>预测值均</w:t>
            </w:r>
            <w:r>
              <w:rPr>
                <w:rFonts w:ascii="Times New Roman" w:hAnsi="宋体"/>
                <w:color w:val="auto"/>
                <w:kern w:val="2"/>
              </w:rPr>
              <w:t>满足</w:t>
            </w:r>
            <w:r>
              <w:rPr>
                <w:rFonts w:ascii="Times New Roman" w:hAnsi="Times New Roman"/>
                <w:bCs/>
                <w:color w:val="auto"/>
                <w:kern w:val="2"/>
              </w:rPr>
              <w:t>4a</w:t>
            </w:r>
            <w:r>
              <w:rPr>
                <w:rFonts w:ascii="Times New Roman" w:hAnsi="宋体"/>
                <w:bCs/>
                <w:color w:val="auto"/>
                <w:kern w:val="2"/>
              </w:rPr>
              <w:t>类标准</w:t>
            </w:r>
            <w:r>
              <w:rPr>
                <w:rFonts w:hint="eastAsia" w:ascii="Times New Roman" w:hAnsi="宋体"/>
                <w:bCs/>
                <w:color w:val="auto"/>
                <w:kern w:val="2"/>
              </w:rPr>
              <w:t>要求。</w:t>
            </w:r>
            <w:r>
              <w:rPr>
                <w:rFonts w:ascii="Times New Roman" w:hAnsi="宋体"/>
                <w:color w:val="auto"/>
                <w:kern w:val="2"/>
              </w:rPr>
              <w:t>项目</w:t>
            </w:r>
            <w:r>
              <w:rPr>
                <w:rFonts w:hint="eastAsia" w:ascii="Times New Roman" w:hAnsi="宋体"/>
                <w:color w:val="auto"/>
                <w:kern w:val="2"/>
              </w:rPr>
              <w:t>噪声敏感点小唐营散户处的</w:t>
            </w:r>
            <w:r>
              <w:rPr>
                <w:rFonts w:ascii="Times New Roman" w:hAnsi="宋体"/>
                <w:color w:val="auto"/>
                <w:kern w:val="2"/>
              </w:rPr>
              <w:t>噪声</w:t>
            </w:r>
            <w:r>
              <w:rPr>
                <w:rFonts w:hint="eastAsia" w:ascii="Times New Roman" w:hAnsi="宋体"/>
                <w:color w:val="auto"/>
                <w:kern w:val="2"/>
              </w:rPr>
              <w:t>预测值</w:t>
            </w:r>
            <w:r>
              <w:rPr>
                <w:rFonts w:ascii="Times New Roman" w:hAnsi="宋体"/>
                <w:color w:val="auto"/>
                <w:kern w:val="2"/>
              </w:rPr>
              <w:t>均满足《声环境质量标准》（GB3096-2008）4a类标准</w:t>
            </w:r>
            <w:r>
              <w:rPr>
                <w:rFonts w:hint="eastAsia" w:ascii="Times New Roman" w:hAnsi="宋体"/>
                <w:color w:val="auto"/>
                <w:kern w:val="2"/>
              </w:rPr>
              <w:t>要求。综上，</w:t>
            </w:r>
            <w:r>
              <w:rPr>
                <w:rFonts w:ascii="Times New Roman" w:hAnsi="宋体"/>
                <w:color w:val="auto"/>
                <w:kern w:val="2"/>
              </w:rPr>
              <w:t>经过厂房隔声、距离衰减，项目的噪声</w:t>
            </w:r>
            <w:r>
              <w:rPr>
                <w:rFonts w:hint="eastAsia" w:ascii="Times New Roman" w:hAnsi="宋体"/>
                <w:bCs/>
                <w:color w:val="auto"/>
                <w:kern w:val="2"/>
              </w:rPr>
              <w:t>对周围声环境的影响可以接受</w:t>
            </w:r>
            <w:r>
              <w:rPr>
                <w:rFonts w:ascii="Times New Roman" w:hAnsi="宋体"/>
                <w:bCs/>
                <w:color w:val="auto"/>
                <w:kern w:val="2"/>
              </w:rPr>
              <w:t>。</w:t>
            </w:r>
          </w:p>
          <w:p>
            <w:pPr>
              <w:pStyle w:val="84"/>
              <w:numPr>
                <w:ilvl w:val="0"/>
                <w:numId w:val="10"/>
              </w:numPr>
              <w:adjustRightInd w:val="0"/>
              <w:snapToGrid w:val="0"/>
              <w:spacing w:line="360" w:lineRule="auto"/>
              <w:rPr>
                <w:rFonts w:ascii="Times New Roman" w:hAnsi="Times New Roman"/>
                <w:b/>
                <w:bCs/>
                <w:color w:val="auto"/>
              </w:rPr>
            </w:pPr>
            <w:r>
              <w:rPr>
                <w:rFonts w:ascii="Times New Roman" w:hAnsi="Times New Roman"/>
                <w:b/>
                <w:bCs/>
                <w:color w:val="auto"/>
              </w:rPr>
              <w:t>固废</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项目产生的固废主要为</w:t>
            </w:r>
            <w:r>
              <w:rPr>
                <w:rFonts w:hint="eastAsia" w:ascii="Times New Roman" w:hAnsi="Times New Roman"/>
                <w:color w:val="auto"/>
                <w:kern w:val="0"/>
              </w:rPr>
              <w:t>生物质</w:t>
            </w:r>
            <w:r>
              <w:rPr>
                <w:rFonts w:ascii="Times New Roman" w:hAnsi="Times New Roman"/>
                <w:color w:val="auto"/>
                <w:kern w:val="0"/>
              </w:rPr>
              <w:t>锅炉</w:t>
            </w:r>
            <w:r>
              <w:rPr>
                <w:rFonts w:hint="eastAsia" w:ascii="Times New Roman" w:hAnsi="Times New Roman"/>
                <w:color w:val="auto"/>
                <w:kern w:val="0"/>
              </w:rPr>
              <w:t>炉渣、除尘灰</w:t>
            </w:r>
            <w:r>
              <w:rPr>
                <w:rFonts w:ascii="Times New Roman" w:hAnsi="Times New Roman"/>
                <w:color w:val="auto"/>
              </w:rPr>
              <w:t>及废离子交换树脂</w:t>
            </w:r>
            <w:r>
              <w:rPr>
                <w:rFonts w:hint="eastAsia" w:ascii="Times New Roman" w:hAnsi="Times New Roman"/>
                <w:color w:val="auto"/>
              </w:rPr>
              <w:t>，均为一般工业固废</w:t>
            </w:r>
            <w:r>
              <w:rPr>
                <w:rFonts w:ascii="Times New Roman" w:hAnsi="Times New Roman"/>
                <w:color w:val="auto"/>
              </w:rPr>
              <w:t>。</w:t>
            </w:r>
            <w:r>
              <w:rPr>
                <w:rFonts w:hint="eastAsia" w:ascii="Times New Roman" w:hAnsi="Times New Roman"/>
                <w:color w:val="auto"/>
              </w:rPr>
              <w:t>技改</w:t>
            </w:r>
            <w:r>
              <w:rPr>
                <w:rFonts w:ascii="Times New Roman" w:hAnsi="Times New Roman"/>
                <w:color w:val="auto"/>
              </w:rPr>
              <w:t>项目固废</w:t>
            </w:r>
            <w:r>
              <w:rPr>
                <w:rFonts w:hint="eastAsia" w:ascii="Times New Roman" w:hAnsi="Times New Roman"/>
                <w:color w:val="auto"/>
              </w:rPr>
              <w:t>处置率</w:t>
            </w:r>
            <w:r>
              <w:rPr>
                <w:rFonts w:ascii="Times New Roman" w:hAnsi="Times New Roman"/>
                <w:color w:val="auto"/>
              </w:rPr>
              <w:t>100%</w:t>
            </w:r>
            <w:r>
              <w:rPr>
                <w:rFonts w:hint="eastAsia" w:ascii="Times New Roman" w:hAnsi="Times New Roman"/>
                <w:color w:val="auto"/>
              </w:rPr>
              <w:t>，无外排固废，技改项目产生的固废对周围环境的影响可以接受。</w:t>
            </w:r>
          </w:p>
          <w:p>
            <w:pPr>
              <w:pStyle w:val="84"/>
              <w:numPr>
                <w:ilvl w:val="0"/>
                <w:numId w:val="10"/>
              </w:numPr>
              <w:adjustRightInd w:val="0"/>
              <w:snapToGrid w:val="0"/>
              <w:spacing w:line="360" w:lineRule="auto"/>
              <w:rPr>
                <w:rFonts w:ascii="Times New Roman" w:hAnsi="Times New Roman"/>
                <w:b/>
                <w:bCs/>
                <w:color w:val="auto"/>
              </w:rPr>
            </w:pPr>
            <w:r>
              <w:rPr>
                <w:rFonts w:hint="eastAsia" w:ascii="Times New Roman" w:hAnsi="Times New Roman"/>
                <w:b/>
                <w:bCs/>
                <w:color w:val="auto"/>
              </w:rPr>
              <w:t>生态环境</w:t>
            </w:r>
          </w:p>
          <w:p>
            <w:pPr>
              <w:adjustRightInd w:val="0"/>
              <w:snapToGrid w:val="0"/>
              <w:spacing w:line="360" w:lineRule="auto"/>
              <w:ind w:firstLine="480" w:firstLineChars="200"/>
              <w:rPr>
                <w:rFonts w:ascii="Times New Roman" w:hAnsi="Times New Roman"/>
                <w:b/>
                <w:bCs/>
                <w:color w:val="auto"/>
              </w:rPr>
            </w:pPr>
            <w:r>
              <w:rPr>
                <w:rFonts w:ascii="Times New Roman" w:hAnsi="Times New Roman"/>
                <w:color w:val="auto"/>
              </w:rPr>
              <w:t>本项目</w:t>
            </w:r>
            <w:r>
              <w:rPr>
                <w:rFonts w:hint="eastAsia" w:ascii="Times New Roman" w:hAnsi="Times New Roman"/>
                <w:color w:val="auto"/>
              </w:rPr>
              <w:t>在</w:t>
            </w:r>
            <w:r>
              <w:rPr>
                <w:rFonts w:ascii="Times New Roman" w:hAnsi="Times New Roman"/>
                <w:color w:val="auto"/>
              </w:rPr>
              <w:t>现有厂房</w:t>
            </w:r>
            <w:r>
              <w:rPr>
                <w:rFonts w:hint="eastAsia" w:ascii="Times New Roman" w:hAnsi="Times New Roman"/>
                <w:color w:val="auto"/>
              </w:rPr>
              <w:t>内进行技术改造</w:t>
            </w:r>
            <w:r>
              <w:rPr>
                <w:rFonts w:ascii="Times New Roman" w:hAnsi="Times New Roman"/>
                <w:color w:val="auto"/>
              </w:rPr>
              <w:t>，不</w:t>
            </w:r>
            <w:r>
              <w:rPr>
                <w:rFonts w:hint="eastAsia" w:ascii="Times New Roman" w:hAnsi="Times New Roman"/>
                <w:color w:val="auto"/>
              </w:rPr>
              <w:t>新增</w:t>
            </w:r>
            <w:r>
              <w:rPr>
                <w:rFonts w:ascii="Times New Roman" w:hAnsi="Times New Roman"/>
                <w:color w:val="auto"/>
              </w:rPr>
              <w:t>占地，项目生产均在厂房内进行。评价范围内不涉及特殊或重要生态敏感区，不涉及珍惜濒危野生动植物或地方特有种，不涉及野生动植物破坏，故项目生产对周边生态环境</w:t>
            </w:r>
            <w:r>
              <w:rPr>
                <w:rFonts w:hint="eastAsia" w:ascii="Times New Roman" w:hAnsi="Times New Roman"/>
                <w:color w:val="auto"/>
              </w:rPr>
              <w:t>的</w:t>
            </w:r>
            <w:r>
              <w:rPr>
                <w:rFonts w:ascii="Times New Roman" w:hAnsi="Times New Roman"/>
                <w:color w:val="auto"/>
              </w:rPr>
              <w:t>影响</w:t>
            </w:r>
            <w:r>
              <w:rPr>
                <w:rFonts w:hint="eastAsia" w:ascii="Times New Roman" w:hAnsi="Times New Roman"/>
                <w:color w:val="auto"/>
              </w:rPr>
              <w:t>是可接受的</w:t>
            </w:r>
            <w:r>
              <w:rPr>
                <w:rFonts w:ascii="Times New Roman" w:hAnsi="Times New Roman"/>
                <w:color w:val="auto"/>
              </w:rPr>
              <w:t>。</w:t>
            </w:r>
          </w:p>
          <w:p>
            <w:pPr>
              <w:pStyle w:val="84"/>
              <w:numPr>
                <w:ilvl w:val="0"/>
                <w:numId w:val="9"/>
              </w:numPr>
              <w:adjustRightInd w:val="0"/>
              <w:snapToGrid w:val="0"/>
              <w:spacing w:line="360" w:lineRule="auto"/>
              <w:ind w:left="0" w:firstLine="0"/>
              <w:rPr>
                <w:rFonts w:ascii="Times New Roman" w:hAnsi="Times New Roman"/>
                <w:b/>
                <w:bCs/>
                <w:color w:val="auto"/>
                <w:szCs w:val="22"/>
              </w:rPr>
            </w:pPr>
            <w:r>
              <w:rPr>
                <w:rFonts w:ascii="Times New Roman" w:hAnsi="Times New Roman"/>
                <w:b/>
                <w:bCs/>
                <w:color w:val="auto"/>
                <w:szCs w:val="22"/>
              </w:rPr>
              <w:t>环境影响评价总结论</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综上所述，本项目的建设符合产业政策</w:t>
            </w:r>
            <w:r>
              <w:rPr>
                <w:rFonts w:hint="eastAsia" w:ascii="Times New Roman" w:hAnsi="Times New Roman"/>
                <w:color w:val="auto"/>
              </w:rPr>
              <w:t>和相关规划</w:t>
            </w:r>
            <w:r>
              <w:rPr>
                <w:rFonts w:ascii="Times New Roman" w:hAnsi="Times New Roman"/>
                <w:color w:val="auto"/>
              </w:rPr>
              <w:t>要求，选址</w:t>
            </w:r>
            <w:r>
              <w:rPr>
                <w:rFonts w:hint="eastAsia" w:ascii="Times New Roman" w:hAnsi="Times New Roman"/>
                <w:color w:val="auto"/>
              </w:rPr>
              <w:t>布局</w:t>
            </w:r>
            <w:r>
              <w:rPr>
                <w:rFonts w:ascii="Times New Roman" w:hAnsi="Times New Roman"/>
                <w:color w:val="auto"/>
              </w:rPr>
              <w:t>合理。在采取本环评提出的各项污染防治措施后，能够实现污染物的达标排放，对评价范围内的环境造成的影响是可以接受的。在严格执行有关环保法规以及“三同时”制度，认真落实本环评提出的各项污染防治措施的基础上，本项目能够实现社会效益、经济效益和环境效益的协调发展。从环境保护角度分析，本项目的建设时可行的。</w:t>
            </w:r>
          </w:p>
          <w:p>
            <w:pPr>
              <w:adjustRightInd w:val="0"/>
              <w:snapToGrid w:val="0"/>
              <w:spacing w:line="360" w:lineRule="auto"/>
              <w:rPr>
                <w:rFonts w:ascii="Times New Roman" w:hAnsi="Times New Roman"/>
                <w:b/>
                <w:bCs/>
                <w:color w:val="auto"/>
                <w:szCs w:val="22"/>
              </w:rPr>
            </w:pPr>
            <w:r>
              <w:rPr>
                <w:rFonts w:ascii="Times New Roman" w:hAnsi="Times New Roman"/>
                <w:b/>
                <w:bCs/>
                <w:color w:val="auto"/>
                <w:szCs w:val="22"/>
              </w:rPr>
              <w:t>二、环保对策措施</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为减少建设项目实施对环境造成的影响，项目在实施中必须进行和加强环境的管理，同时必须严格按照国家的环境保护政策和有关法规进行。结合项目的性质和特点，项目在施工期采取的环保措施以及需完善的环保措施以及运营期环保措施</w:t>
            </w:r>
            <w:r>
              <w:rPr>
                <w:rFonts w:hint="eastAsia" w:ascii="Times New Roman" w:hAnsi="Times New Roman"/>
                <w:color w:val="auto"/>
              </w:rPr>
              <w:t>见</w:t>
            </w:r>
            <w:r>
              <w:rPr>
                <w:rFonts w:ascii="Times New Roman" w:hAnsi="Times New Roman"/>
                <w:color w:val="auto"/>
              </w:rPr>
              <w:t>表9-1。</w:t>
            </w:r>
          </w:p>
          <w:p>
            <w:pPr>
              <w:adjustRightInd w:val="0"/>
              <w:snapToGrid w:val="0"/>
              <w:ind w:firstLine="422" w:firstLineChars="200"/>
              <w:jc w:val="center"/>
              <w:rPr>
                <w:rFonts w:ascii="Times New Roman" w:hAnsi="Times New Roman"/>
                <w:b/>
                <w:bCs/>
                <w:color w:val="auto"/>
                <w:sz w:val="21"/>
                <w:szCs w:val="21"/>
              </w:rPr>
            </w:pPr>
            <w:r>
              <w:rPr>
                <w:rFonts w:ascii="Times New Roman" w:hAnsi="Times New Roman"/>
                <w:b/>
                <w:bCs/>
                <w:color w:val="auto"/>
                <w:sz w:val="21"/>
                <w:szCs w:val="21"/>
              </w:rPr>
              <w:t>表9-1  环保对策措施一览表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737"/>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阶段</w:t>
                  </w:r>
                </w:p>
              </w:tc>
              <w:tc>
                <w:tcPr>
                  <w:tcW w:w="433" w:type="pc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要素</w:t>
                  </w:r>
                </w:p>
              </w:tc>
              <w:tc>
                <w:tcPr>
                  <w:tcW w:w="4107" w:type="pct"/>
                  <w:vAlign w:val="center"/>
                </w:tcPr>
                <w:p>
                  <w:pPr>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restar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施</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rPr>
                    <w:t>工</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rPr>
                    <w:t>期</w:t>
                  </w:r>
                </w:p>
              </w:tc>
              <w:tc>
                <w:tcPr>
                  <w:tcW w:w="433"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废气</w:t>
                  </w:r>
                </w:p>
              </w:tc>
              <w:tc>
                <w:tcPr>
                  <w:tcW w:w="4107" w:type="pct"/>
                  <w:vAlign w:val="center"/>
                </w:tcPr>
                <w:p>
                  <w:pPr>
                    <w:pStyle w:val="84"/>
                    <w:numPr>
                      <w:ilvl w:val="0"/>
                      <w:numId w:val="11"/>
                    </w:numPr>
                    <w:adjustRightInd w:val="0"/>
                    <w:snapToGrid w:val="0"/>
                    <w:rPr>
                      <w:rFonts w:ascii="Times New Roman" w:hAnsi="Times New Roman"/>
                      <w:color w:val="auto"/>
                      <w:sz w:val="21"/>
                      <w:szCs w:val="21"/>
                    </w:rPr>
                  </w:pPr>
                  <w:r>
                    <w:rPr>
                      <w:rFonts w:ascii="Times New Roman" w:hAnsi="Times New Roman"/>
                      <w:color w:val="auto"/>
                      <w:sz w:val="21"/>
                      <w:szCs w:val="21"/>
                    </w:rPr>
                    <w:t>进行钻孔等产生粉尘的施工工序时进行洒水降尘。</w:t>
                  </w:r>
                </w:p>
                <w:p>
                  <w:pPr>
                    <w:pStyle w:val="84"/>
                    <w:numPr>
                      <w:ilvl w:val="0"/>
                      <w:numId w:val="11"/>
                    </w:numPr>
                    <w:adjustRightInd w:val="0"/>
                    <w:snapToGrid w:val="0"/>
                    <w:rPr>
                      <w:rFonts w:ascii="Times New Roman" w:hAnsi="Times New Roman"/>
                      <w:color w:val="auto"/>
                      <w:sz w:val="21"/>
                      <w:szCs w:val="21"/>
                    </w:rPr>
                  </w:pPr>
                  <w:r>
                    <w:rPr>
                      <w:rFonts w:ascii="Times New Roman" w:hAnsi="Times New Roman"/>
                      <w:color w:val="auto"/>
                      <w:sz w:val="21"/>
                      <w:szCs w:val="21"/>
                    </w:rPr>
                    <w:t>做好施工机械、车辆的日常维护保养工作</w:t>
                  </w:r>
                  <w:r>
                    <w:rPr>
                      <w:rFonts w:hint="eastAsia" w:ascii="Times New Roman" w:hAnsi="Times New Roman"/>
                      <w:color w:val="auto"/>
                      <w:sz w:val="21"/>
                      <w:szCs w:val="21"/>
                    </w:rPr>
                    <w:t>，保证其正常运行。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vAlign w:val="center"/>
                </w:tcPr>
                <w:p>
                  <w:pPr>
                    <w:adjustRightInd w:val="0"/>
                    <w:snapToGrid w:val="0"/>
                    <w:jc w:val="center"/>
                    <w:rPr>
                      <w:rFonts w:ascii="Times New Roman" w:hAnsi="Times New Roman"/>
                      <w:color w:val="auto"/>
                      <w:sz w:val="21"/>
                      <w:szCs w:val="21"/>
                    </w:rPr>
                  </w:pPr>
                </w:p>
              </w:tc>
              <w:tc>
                <w:tcPr>
                  <w:tcW w:w="433"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噪声</w:t>
                  </w:r>
                </w:p>
              </w:tc>
              <w:tc>
                <w:tcPr>
                  <w:tcW w:w="4107" w:type="pct"/>
                  <w:vAlign w:val="center"/>
                </w:tcPr>
                <w:p>
                  <w:pPr>
                    <w:pStyle w:val="84"/>
                    <w:numPr>
                      <w:ilvl w:val="0"/>
                      <w:numId w:val="12"/>
                    </w:numPr>
                    <w:adjustRightInd w:val="0"/>
                    <w:snapToGrid w:val="0"/>
                    <w:rPr>
                      <w:rFonts w:ascii="Times New Roman" w:hAnsi="Times New Roman"/>
                      <w:color w:val="auto"/>
                      <w:sz w:val="21"/>
                      <w:szCs w:val="21"/>
                    </w:rPr>
                  </w:pPr>
                  <w:r>
                    <w:rPr>
                      <w:rFonts w:ascii="Times New Roman" w:hAnsi="Times New Roman"/>
                      <w:color w:val="auto"/>
                      <w:sz w:val="21"/>
                      <w:szCs w:val="21"/>
                    </w:rPr>
                    <w:t>选用低噪声设备，避免高噪声机械设备同时使用。对现场工作人员进行培训，严格按操作规范使用各类机械设备。</w:t>
                  </w:r>
                </w:p>
                <w:p>
                  <w:pPr>
                    <w:pStyle w:val="84"/>
                    <w:numPr>
                      <w:ilvl w:val="0"/>
                      <w:numId w:val="12"/>
                    </w:numPr>
                    <w:adjustRightInd w:val="0"/>
                    <w:snapToGrid w:val="0"/>
                    <w:rPr>
                      <w:rFonts w:ascii="Times New Roman" w:hAnsi="Times New Roman"/>
                      <w:color w:val="auto"/>
                      <w:sz w:val="21"/>
                      <w:szCs w:val="21"/>
                    </w:rPr>
                  </w:pPr>
                  <w:r>
                    <w:rPr>
                      <w:rFonts w:ascii="Times New Roman" w:hAnsi="Times New Roman"/>
                      <w:color w:val="auto"/>
                      <w:sz w:val="21"/>
                      <w:szCs w:val="21"/>
                    </w:rPr>
                    <w:t>产噪施工设备尽量布置在远离厂界的区域。</w:t>
                  </w:r>
                </w:p>
                <w:p>
                  <w:pPr>
                    <w:pStyle w:val="84"/>
                    <w:numPr>
                      <w:ilvl w:val="0"/>
                      <w:numId w:val="12"/>
                    </w:numPr>
                    <w:adjustRightInd w:val="0"/>
                    <w:snapToGrid w:val="0"/>
                    <w:rPr>
                      <w:rFonts w:ascii="Times New Roman" w:hAnsi="Times New Roman"/>
                      <w:color w:val="auto"/>
                      <w:sz w:val="21"/>
                      <w:szCs w:val="21"/>
                    </w:rPr>
                  </w:pPr>
                  <w:r>
                    <w:rPr>
                      <w:rFonts w:ascii="Times New Roman" w:hAnsi="Times New Roman"/>
                      <w:color w:val="auto"/>
                      <w:sz w:val="21"/>
                      <w:szCs w:val="21"/>
                    </w:rPr>
                    <w:t>施工运输车辆在经过</w:t>
                  </w:r>
                  <w:r>
                    <w:rPr>
                      <w:rFonts w:ascii="Times New Roman" w:hAnsi="Times New Roman"/>
                      <w:bCs/>
                      <w:color w:val="auto"/>
                      <w:sz w:val="21"/>
                      <w:szCs w:val="21"/>
                    </w:rPr>
                    <w:t>居民点时减速慢行，禁止鸣笛。</w:t>
                  </w:r>
                </w:p>
                <w:p>
                  <w:pPr>
                    <w:pStyle w:val="84"/>
                    <w:numPr>
                      <w:ilvl w:val="0"/>
                      <w:numId w:val="12"/>
                    </w:numPr>
                    <w:adjustRightInd w:val="0"/>
                    <w:snapToGrid w:val="0"/>
                    <w:rPr>
                      <w:rFonts w:ascii="Times New Roman" w:hAnsi="Times New Roman"/>
                      <w:color w:val="auto"/>
                      <w:sz w:val="21"/>
                      <w:szCs w:val="21"/>
                    </w:rPr>
                  </w:pPr>
                  <w:r>
                    <w:rPr>
                      <w:rFonts w:ascii="Times New Roman" w:hAnsi="Times New Roman"/>
                      <w:color w:val="auto"/>
                      <w:sz w:val="21"/>
                      <w:szCs w:val="21"/>
                    </w:rPr>
                    <w:t>做好施工机械、车辆的日常维护保养工作</w:t>
                  </w:r>
                  <w:r>
                    <w:rPr>
                      <w:rFonts w:hint="eastAsia" w:ascii="Times New Roman" w:hAnsi="Times New Roman"/>
                      <w:color w:val="auto"/>
                      <w:sz w:val="21"/>
                      <w:szCs w:val="21"/>
                    </w:rPr>
                    <w:t>，保证其正常运行</w:t>
                  </w:r>
                  <w:r>
                    <w:rPr>
                      <w:rFonts w:ascii="Times New Roman" w:hAnsi="Times New Roman"/>
                      <w:color w:val="auto"/>
                      <w:sz w:val="21"/>
                      <w:szCs w:val="21"/>
                    </w:rPr>
                    <w:t>。</w:t>
                  </w:r>
                </w:p>
                <w:p>
                  <w:pPr>
                    <w:pStyle w:val="84"/>
                    <w:numPr>
                      <w:ilvl w:val="0"/>
                      <w:numId w:val="12"/>
                    </w:numPr>
                    <w:adjustRightInd w:val="0"/>
                    <w:snapToGrid w:val="0"/>
                    <w:rPr>
                      <w:rFonts w:ascii="Times New Roman" w:hAnsi="Times New Roman"/>
                      <w:color w:val="auto"/>
                      <w:sz w:val="21"/>
                      <w:szCs w:val="21"/>
                    </w:rPr>
                  </w:pPr>
                  <w:r>
                    <w:rPr>
                      <w:rFonts w:ascii="Times New Roman" w:hAnsi="Times New Roman"/>
                      <w:color w:val="auto"/>
                      <w:sz w:val="21"/>
                      <w:szCs w:val="21"/>
                    </w:rPr>
                    <w:t>禁止夜间施工。</w:t>
                  </w:r>
                </w:p>
                <w:p>
                  <w:pPr>
                    <w:pStyle w:val="84"/>
                    <w:numPr>
                      <w:ilvl w:val="0"/>
                      <w:numId w:val="12"/>
                    </w:numPr>
                    <w:adjustRightInd w:val="0"/>
                    <w:snapToGrid w:val="0"/>
                    <w:rPr>
                      <w:rFonts w:ascii="Times New Roman" w:hAnsi="Times New Roman"/>
                      <w:color w:val="auto"/>
                      <w:sz w:val="21"/>
                      <w:szCs w:val="21"/>
                    </w:rPr>
                  </w:pPr>
                  <w:r>
                    <w:rPr>
                      <w:rFonts w:hint="eastAsia" w:ascii="Times New Roman" w:hAnsi="Times New Roman"/>
                      <w:bCs/>
                      <w:color w:val="auto"/>
                      <w:sz w:val="21"/>
                      <w:szCs w:val="21"/>
                    </w:rPr>
                    <w:t>运输车辆在经过居民点时减速慢行，禁止鸣笛。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vAlign w:val="center"/>
                </w:tcPr>
                <w:p>
                  <w:pPr>
                    <w:adjustRightInd w:val="0"/>
                    <w:snapToGrid w:val="0"/>
                    <w:jc w:val="center"/>
                    <w:rPr>
                      <w:rFonts w:ascii="Times New Roman" w:hAnsi="Times New Roman"/>
                      <w:color w:val="auto"/>
                      <w:sz w:val="21"/>
                      <w:szCs w:val="21"/>
                    </w:rPr>
                  </w:pPr>
                </w:p>
              </w:tc>
              <w:tc>
                <w:tcPr>
                  <w:tcW w:w="433" w:type="pct"/>
                  <w:vAlign w:val="center"/>
                </w:tcPr>
                <w:p>
                  <w:pPr>
                    <w:adjustRightInd w:val="0"/>
                    <w:snapToGrid w:val="0"/>
                    <w:rPr>
                      <w:rFonts w:ascii="Times New Roman" w:hAnsi="Times New Roman"/>
                      <w:color w:val="auto"/>
                      <w:sz w:val="21"/>
                      <w:szCs w:val="21"/>
                    </w:rPr>
                  </w:pPr>
                  <w:r>
                    <w:rPr>
                      <w:rFonts w:ascii="Times New Roman" w:hAnsi="Times New Roman"/>
                      <w:color w:val="auto"/>
                      <w:sz w:val="21"/>
                      <w:szCs w:val="21"/>
                    </w:rPr>
                    <w:t>固废</w:t>
                  </w:r>
                </w:p>
              </w:tc>
              <w:tc>
                <w:tcPr>
                  <w:tcW w:w="4107" w:type="pct"/>
                  <w:vAlign w:val="center"/>
                </w:tcPr>
                <w:p>
                  <w:pPr>
                    <w:pStyle w:val="84"/>
                    <w:numPr>
                      <w:ilvl w:val="0"/>
                      <w:numId w:val="13"/>
                    </w:numPr>
                    <w:adjustRightInd w:val="0"/>
                    <w:snapToGrid w:val="0"/>
                    <w:rPr>
                      <w:rFonts w:ascii="Times New Roman" w:hAnsi="Times New Roman"/>
                      <w:color w:val="auto"/>
                      <w:sz w:val="21"/>
                      <w:szCs w:val="21"/>
                    </w:rPr>
                  </w:pPr>
                  <w:r>
                    <w:rPr>
                      <w:rFonts w:ascii="Times New Roman" w:hAnsi="Times New Roman"/>
                      <w:color w:val="auto"/>
                      <w:sz w:val="21"/>
                      <w:szCs w:val="21"/>
                    </w:rPr>
                    <w:t>建筑垃圾严格按照《昆明市城市建筑垃圾管理实施办法》实施细则的规定，确定具备资质的建筑垃圾承运企业，并与承运企业签订《承运协议》后付费运输至</w:t>
                  </w:r>
                  <w:r>
                    <w:rPr>
                      <w:rFonts w:hint="eastAsia" w:ascii="Times New Roman" w:hAnsi="Times New Roman"/>
                      <w:color w:val="auto"/>
                      <w:sz w:val="21"/>
                      <w:szCs w:val="21"/>
                    </w:rPr>
                    <w:t>合法</w:t>
                  </w:r>
                  <w:r>
                    <w:rPr>
                      <w:rFonts w:ascii="Times New Roman" w:hAnsi="Times New Roman"/>
                      <w:color w:val="auto"/>
                      <w:sz w:val="21"/>
                      <w:szCs w:val="21"/>
                    </w:rPr>
                    <w:t>建筑垃圾消纳处置场进行处置，禁止外排。</w:t>
                  </w:r>
                </w:p>
                <w:p>
                  <w:pPr>
                    <w:pStyle w:val="37"/>
                    <w:numPr>
                      <w:ilvl w:val="0"/>
                      <w:numId w:val="13"/>
                    </w:numPr>
                    <w:adjustRightInd w:val="0"/>
                    <w:snapToGrid w:val="0"/>
                    <w:ind w:firstLineChars="0"/>
                    <w:rPr>
                      <w:rFonts w:ascii="Times New Roman" w:hAnsi="Times New Roman"/>
                      <w:color w:val="auto"/>
                      <w:sz w:val="21"/>
                      <w:szCs w:val="21"/>
                    </w:rPr>
                  </w:pPr>
                  <w:r>
                    <w:rPr>
                      <w:rFonts w:ascii="Times New Roman" w:hAnsi="Times New Roman"/>
                      <w:color w:val="auto"/>
                      <w:sz w:val="21"/>
                      <w:szCs w:val="21"/>
                    </w:rPr>
                    <w:t>其他施工固废禁止外排。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vAlign w:val="center"/>
                </w:tcPr>
                <w:p>
                  <w:pPr>
                    <w:adjustRightInd w:val="0"/>
                    <w:snapToGrid w:val="0"/>
                    <w:jc w:val="center"/>
                    <w:rPr>
                      <w:rFonts w:ascii="Times New Roman" w:hAnsi="Times New Roman"/>
                      <w:color w:val="auto"/>
                      <w:sz w:val="21"/>
                      <w:szCs w:val="21"/>
                    </w:rPr>
                  </w:pPr>
                </w:p>
              </w:tc>
              <w:tc>
                <w:tcPr>
                  <w:tcW w:w="433"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生态环境</w:t>
                  </w:r>
                </w:p>
              </w:tc>
              <w:tc>
                <w:tcPr>
                  <w:tcW w:w="4107" w:type="pct"/>
                  <w:vAlign w:val="center"/>
                </w:tcPr>
                <w:p>
                  <w:pPr>
                    <w:pStyle w:val="84"/>
                    <w:numPr>
                      <w:ilvl w:val="0"/>
                      <w:numId w:val="14"/>
                    </w:numPr>
                    <w:adjustRightInd w:val="0"/>
                    <w:snapToGrid w:val="0"/>
                    <w:rPr>
                      <w:rFonts w:ascii="Times New Roman" w:hAnsi="Times New Roman"/>
                      <w:color w:val="auto"/>
                      <w:sz w:val="21"/>
                      <w:szCs w:val="21"/>
                    </w:rPr>
                  </w:pPr>
                  <w:r>
                    <w:rPr>
                      <w:rFonts w:ascii="Times New Roman" w:hAnsi="Times New Roman"/>
                      <w:color w:val="auto"/>
                      <w:sz w:val="21"/>
                      <w:szCs w:val="21"/>
                    </w:rPr>
                    <w:t>限制施工场地范围，禁止在厂界范围外新增占地。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restar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运</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rPr>
                    <w:t>营</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rPr>
                    <w:t>期</w:t>
                  </w:r>
                </w:p>
              </w:tc>
              <w:tc>
                <w:tcPr>
                  <w:tcW w:w="433"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废气</w:t>
                  </w:r>
                </w:p>
              </w:tc>
              <w:tc>
                <w:tcPr>
                  <w:tcW w:w="4107" w:type="pct"/>
                  <w:vAlign w:val="center"/>
                </w:tcPr>
                <w:p>
                  <w:pPr>
                    <w:pStyle w:val="84"/>
                    <w:numPr>
                      <w:ilvl w:val="0"/>
                      <w:numId w:val="15"/>
                    </w:numPr>
                    <w:adjustRightInd w:val="0"/>
                    <w:snapToGrid w:val="0"/>
                    <w:rPr>
                      <w:rFonts w:ascii="Times New Roman" w:hAnsi="Times New Roman"/>
                      <w:color w:val="auto"/>
                      <w:sz w:val="21"/>
                      <w:szCs w:val="21"/>
                      <w:lang w:val="zh-CN"/>
                    </w:rPr>
                  </w:pPr>
                  <w:r>
                    <w:rPr>
                      <w:rFonts w:ascii="Times New Roman" w:hAnsi="Times New Roman"/>
                      <w:color w:val="auto"/>
                      <w:sz w:val="21"/>
                      <w:szCs w:val="21"/>
                      <w:lang w:val="zh-CN"/>
                    </w:rPr>
                    <w:t>每台锅炉配套安装一套布袋除尘器，</w:t>
                  </w:r>
                  <w:r>
                    <w:rPr>
                      <w:rFonts w:hint="eastAsia" w:ascii="Times New Roman" w:hAnsi="Times New Roman"/>
                      <w:color w:val="auto"/>
                      <w:sz w:val="21"/>
                      <w:szCs w:val="21"/>
                      <w:lang w:val="zh-CN"/>
                    </w:rPr>
                    <w:t>除尘效率不低于9</w:t>
                  </w:r>
                  <w:r>
                    <w:rPr>
                      <w:rFonts w:ascii="Times New Roman" w:hAnsi="Times New Roman"/>
                      <w:color w:val="auto"/>
                      <w:sz w:val="21"/>
                      <w:szCs w:val="21"/>
                      <w:lang w:val="zh-CN"/>
                    </w:rPr>
                    <w:t>9%</w:t>
                  </w:r>
                  <w:r>
                    <w:rPr>
                      <w:rFonts w:hint="eastAsia" w:ascii="Times New Roman" w:hAnsi="Times New Roman"/>
                      <w:color w:val="auto"/>
                      <w:sz w:val="21"/>
                      <w:szCs w:val="21"/>
                      <w:lang w:val="zh-CN"/>
                    </w:rPr>
                    <w:t>，</w:t>
                  </w:r>
                  <w:r>
                    <w:rPr>
                      <w:rFonts w:ascii="Times New Roman" w:hAnsi="Times New Roman"/>
                      <w:color w:val="auto"/>
                      <w:sz w:val="21"/>
                      <w:szCs w:val="21"/>
                    </w:rPr>
                    <w:t>锅炉烟气</w:t>
                  </w:r>
                  <w:r>
                    <w:rPr>
                      <w:rFonts w:ascii="Times New Roman" w:hAnsi="Times New Roman"/>
                      <w:color w:val="auto"/>
                      <w:sz w:val="21"/>
                      <w:szCs w:val="21"/>
                      <w:lang w:val="zh-CN"/>
                    </w:rPr>
                    <w:t>经布袋除尘器处理后经现有</w:t>
                  </w:r>
                  <w:r>
                    <w:rPr>
                      <w:rFonts w:ascii="Times New Roman" w:hAnsi="Times New Roman"/>
                      <w:color w:val="auto"/>
                      <w:sz w:val="21"/>
                      <w:szCs w:val="21"/>
                    </w:rPr>
                    <w:t>1根45m高排气筒</w:t>
                  </w:r>
                  <w:r>
                    <w:rPr>
                      <w:rFonts w:ascii="Times New Roman" w:hAnsi="Times New Roman"/>
                      <w:color w:val="auto"/>
                      <w:sz w:val="21"/>
                      <w:szCs w:val="21"/>
                      <w:lang w:val="zh-CN"/>
                    </w:rPr>
                    <w:t>排放，排放的SO</w:t>
                  </w:r>
                  <w:r>
                    <w:rPr>
                      <w:rFonts w:ascii="Times New Roman" w:hAnsi="Times New Roman"/>
                      <w:color w:val="auto"/>
                      <w:sz w:val="21"/>
                      <w:szCs w:val="21"/>
                      <w:vertAlign w:val="subscript"/>
                      <w:lang w:val="zh-CN"/>
                    </w:rPr>
                    <w:t>2</w:t>
                  </w:r>
                  <w:r>
                    <w:rPr>
                      <w:rFonts w:ascii="Times New Roman" w:hAnsi="Times New Roman"/>
                      <w:color w:val="auto"/>
                      <w:sz w:val="21"/>
                      <w:szCs w:val="21"/>
                      <w:lang w:val="zh-CN"/>
                    </w:rPr>
                    <w:t>、NO</w:t>
                  </w:r>
                  <w:r>
                    <w:rPr>
                      <w:rFonts w:ascii="Times New Roman" w:hAnsi="Times New Roman"/>
                      <w:color w:val="auto"/>
                      <w:sz w:val="21"/>
                      <w:szCs w:val="21"/>
                      <w:vertAlign w:val="subscript"/>
                      <w:lang w:val="zh-CN"/>
                    </w:rPr>
                    <w:t>X</w:t>
                  </w:r>
                  <w:r>
                    <w:rPr>
                      <w:rFonts w:ascii="Times New Roman" w:hAnsi="Times New Roman"/>
                      <w:color w:val="auto"/>
                      <w:sz w:val="21"/>
                      <w:szCs w:val="21"/>
                      <w:lang w:val="zh-CN"/>
                    </w:rPr>
                    <w:t>、颗粒物应满足</w:t>
                  </w:r>
                  <w:r>
                    <w:rPr>
                      <w:rFonts w:ascii="Times New Roman" w:hAnsi="Times New Roman"/>
                      <w:color w:val="auto"/>
                      <w:sz w:val="21"/>
                      <w:szCs w:val="21"/>
                    </w:rPr>
                    <w:t>《锅炉大气污染物排放标准》（GB13271-2014）中的表2中燃煤锅炉排放标准要求</w:t>
                  </w:r>
                  <w:r>
                    <w:rPr>
                      <w:rFonts w:ascii="Times New Roman" w:hAnsi="Times New Roman"/>
                      <w:color w:val="auto"/>
                      <w:sz w:val="21"/>
                      <w:szCs w:val="21"/>
                      <w:lang w:val="zh-CN"/>
                    </w:rPr>
                    <w:t>。</w:t>
                  </w:r>
                </w:p>
                <w:p>
                  <w:pPr>
                    <w:pStyle w:val="84"/>
                    <w:numPr>
                      <w:ilvl w:val="0"/>
                      <w:numId w:val="15"/>
                    </w:numPr>
                    <w:adjustRightInd w:val="0"/>
                    <w:snapToGrid w:val="0"/>
                    <w:rPr>
                      <w:rFonts w:ascii="Times New Roman" w:hAnsi="Times New Roman"/>
                      <w:color w:val="auto"/>
                      <w:sz w:val="21"/>
                      <w:szCs w:val="21"/>
                    </w:rPr>
                  </w:pPr>
                  <w:r>
                    <w:rPr>
                      <w:rFonts w:ascii="Times New Roman" w:hAnsi="Times New Roman"/>
                      <w:color w:val="auto"/>
                      <w:sz w:val="21"/>
                      <w:szCs w:val="21"/>
                    </w:rPr>
                    <w:t>生物质燃料棚除进出口外的区域应进行封闭改造，并定期对堆放物料进行洒水降尘，无组织粉尘的排放浓度应满足《大气污染物综合排放标准》（GB16297-1996）表2中无组织排放监控浓度限。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vAlign w:val="center"/>
                </w:tcPr>
                <w:p>
                  <w:pPr>
                    <w:adjustRightInd w:val="0"/>
                    <w:snapToGrid w:val="0"/>
                    <w:jc w:val="center"/>
                    <w:rPr>
                      <w:rFonts w:ascii="Times New Roman" w:hAnsi="Times New Roman"/>
                      <w:color w:val="auto"/>
                      <w:sz w:val="21"/>
                      <w:szCs w:val="21"/>
                    </w:rPr>
                  </w:pPr>
                </w:p>
              </w:tc>
              <w:tc>
                <w:tcPr>
                  <w:tcW w:w="433"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噪声</w:t>
                  </w:r>
                </w:p>
              </w:tc>
              <w:tc>
                <w:tcPr>
                  <w:tcW w:w="4107" w:type="pct"/>
                  <w:vAlign w:val="center"/>
                </w:tcPr>
                <w:p>
                  <w:pPr>
                    <w:pStyle w:val="84"/>
                    <w:numPr>
                      <w:ilvl w:val="0"/>
                      <w:numId w:val="16"/>
                    </w:numPr>
                    <w:adjustRightInd w:val="0"/>
                    <w:snapToGrid w:val="0"/>
                    <w:rPr>
                      <w:rFonts w:ascii="Times New Roman" w:hAnsi="Times New Roman"/>
                      <w:color w:val="auto"/>
                      <w:sz w:val="21"/>
                      <w:szCs w:val="21"/>
                    </w:rPr>
                  </w:pPr>
                  <w:r>
                    <w:rPr>
                      <w:rFonts w:ascii="Times New Roman" w:hAnsi="Times New Roman"/>
                      <w:color w:val="auto"/>
                      <w:sz w:val="21"/>
                      <w:szCs w:val="21"/>
                    </w:rPr>
                    <w:t>鼓风机尽量选用低噪声设备。</w:t>
                  </w:r>
                </w:p>
                <w:p>
                  <w:pPr>
                    <w:pStyle w:val="84"/>
                    <w:numPr>
                      <w:ilvl w:val="0"/>
                      <w:numId w:val="16"/>
                    </w:numPr>
                    <w:adjustRightInd w:val="0"/>
                    <w:snapToGrid w:val="0"/>
                    <w:rPr>
                      <w:rFonts w:ascii="Times New Roman" w:hAnsi="Times New Roman"/>
                      <w:color w:val="auto"/>
                      <w:sz w:val="21"/>
                      <w:szCs w:val="21"/>
                    </w:rPr>
                  </w:pPr>
                  <w:r>
                    <w:rPr>
                      <w:rFonts w:ascii="Times New Roman" w:hAnsi="Times New Roman"/>
                      <w:color w:val="auto"/>
                      <w:sz w:val="21"/>
                      <w:szCs w:val="21"/>
                    </w:rPr>
                    <w:t>鼓风机</w:t>
                  </w:r>
                  <w:r>
                    <w:rPr>
                      <w:rFonts w:hint="eastAsia" w:ascii="Times New Roman" w:hAnsi="Times New Roman"/>
                      <w:color w:val="auto"/>
                      <w:sz w:val="21"/>
                      <w:szCs w:val="21"/>
                    </w:rPr>
                    <w:t>布置于室内，</w:t>
                  </w:r>
                  <w:r>
                    <w:rPr>
                      <w:rFonts w:ascii="Times New Roman" w:hAnsi="Times New Roman"/>
                      <w:color w:val="auto"/>
                      <w:sz w:val="21"/>
                      <w:szCs w:val="21"/>
                    </w:rPr>
                    <w:t>进出气口安装消声器。</w:t>
                  </w:r>
                </w:p>
                <w:p>
                  <w:pPr>
                    <w:pStyle w:val="84"/>
                    <w:numPr>
                      <w:ilvl w:val="0"/>
                      <w:numId w:val="16"/>
                    </w:numPr>
                    <w:adjustRightInd w:val="0"/>
                    <w:snapToGrid w:val="0"/>
                    <w:rPr>
                      <w:rFonts w:ascii="Times New Roman" w:hAnsi="Times New Roman"/>
                      <w:color w:val="auto"/>
                      <w:sz w:val="21"/>
                      <w:szCs w:val="21"/>
                    </w:rPr>
                  </w:pPr>
                  <w:r>
                    <w:rPr>
                      <w:rFonts w:ascii="Times New Roman" w:hAnsi="Times New Roman"/>
                      <w:color w:val="auto"/>
                      <w:sz w:val="21"/>
                      <w:szCs w:val="21"/>
                    </w:rPr>
                    <w:t>定期检查鼓风机和消声器，保证其正常运行。</w:t>
                  </w:r>
                </w:p>
                <w:p>
                  <w:pPr>
                    <w:pStyle w:val="84"/>
                    <w:numPr>
                      <w:ilvl w:val="0"/>
                      <w:numId w:val="16"/>
                    </w:numPr>
                    <w:adjustRightInd w:val="0"/>
                    <w:snapToGrid w:val="0"/>
                    <w:rPr>
                      <w:rFonts w:ascii="Times New Roman" w:hAnsi="Times New Roman"/>
                      <w:color w:val="auto"/>
                      <w:sz w:val="21"/>
                      <w:szCs w:val="21"/>
                    </w:rPr>
                  </w:pPr>
                  <w:r>
                    <w:rPr>
                      <w:rFonts w:hint="eastAsia" w:ascii="Times New Roman" w:hAnsi="Times New Roman"/>
                      <w:color w:val="auto"/>
                      <w:sz w:val="21"/>
                      <w:szCs w:val="21"/>
                      <w:lang w:eastAsia="zh-CN"/>
                    </w:rPr>
                    <w:t>非临路侧</w:t>
                  </w:r>
                  <w:r>
                    <w:rPr>
                      <w:rFonts w:hint="eastAsia" w:ascii="Times New Roman" w:hAnsi="Times New Roman"/>
                      <w:color w:val="auto"/>
                      <w:sz w:val="21"/>
                      <w:szCs w:val="21"/>
                    </w:rPr>
                    <w:t>噪声满足</w:t>
                  </w:r>
                  <w:r>
                    <w:rPr>
                      <w:rFonts w:ascii="Times New Roman" w:hAnsi="Times New Roman"/>
                      <w:color w:val="auto"/>
                      <w:sz w:val="21"/>
                      <w:szCs w:val="21"/>
                    </w:rPr>
                    <w:t>《工业企业厂界环境噪声排放标准》（GB12348-2008）2类标准</w:t>
                  </w:r>
                  <w:r>
                    <w:rPr>
                      <w:rFonts w:hint="eastAsia" w:ascii="Times New Roman" w:hAnsi="Times New Roman"/>
                      <w:color w:val="auto"/>
                      <w:sz w:val="21"/>
                      <w:szCs w:val="21"/>
                    </w:rPr>
                    <w:t>要求，</w:t>
                  </w:r>
                  <w:r>
                    <w:rPr>
                      <w:rFonts w:hint="eastAsia" w:ascii="Times New Roman" w:hAnsi="Times New Roman"/>
                      <w:color w:val="auto"/>
                      <w:sz w:val="21"/>
                      <w:szCs w:val="21"/>
                      <w:lang w:eastAsia="zh-CN"/>
                    </w:rPr>
                    <w:t>临路侧</w:t>
                  </w:r>
                  <w:r>
                    <w:rPr>
                      <w:rFonts w:hint="eastAsia" w:ascii="Times New Roman" w:hAnsi="Times New Roman"/>
                      <w:color w:val="auto"/>
                      <w:sz w:val="21"/>
                      <w:szCs w:val="21"/>
                    </w:rPr>
                    <w:t>厂界噪声满足</w:t>
                  </w:r>
                  <w:r>
                    <w:rPr>
                      <w:rFonts w:ascii="Times New Roman" w:hAnsi="Times New Roman"/>
                      <w:color w:val="auto"/>
                      <w:sz w:val="21"/>
                      <w:szCs w:val="21"/>
                    </w:rPr>
                    <w:t>《工业企业厂界环境噪声排放标准》（GB12348-2008）4a类标准</w:t>
                  </w:r>
                  <w:r>
                    <w:rPr>
                      <w:rFonts w:hint="eastAsia" w:ascii="Times New Roman" w:hAnsi="Times New Roman"/>
                      <w:color w:val="auto"/>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vAlign w:val="center"/>
                </w:tcPr>
                <w:p>
                  <w:pPr>
                    <w:adjustRightInd w:val="0"/>
                    <w:snapToGrid w:val="0"/>
                    <w:jc w:val="center"/>
                    <w:rPr>
                      <w:rFonts w:ascii="Times New Roman" w:hAnsi="Times New Roman"/>
                      <w:color w:val="auto"/>
                      <w:sz w:val="21"/>
                      <w:szCs w:val="21"/>
                    </w:rPr>
                  </w:pPr>
                </w:p>
              </w:tc>
              <w:tc>
                <w:tcPr>
                  <w:tcW w:w="433"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固废</w:t>
                  </w:r>
                </w:p>
              </w:tc>
              <w:tc>
                <w:tcPr>
                  <w:tcW w:w="4107" w:type="pct"/>
                  <w:vAlign w:val="center"/>
                </w:tcPr>
                <w:p>
                  <w:pPr>
                    <w:pStyle w:val="84"/>
                    <w:numPr>
                      <w:ilvl w:val="0"/>
                      <w:numId w:val="17"/>
                    </w:numPr>
                    <w:adjustRightInd w:val="0"/>
                    <w:snapToGrid w:val="0"/>
                    <w:rPr>
                      <w:rFonts w:ascii="Times New Roman" w:hAnsi="Times New Roman"/>
                      <w:color w:val="auto"/>
                      <w:sz w:val="21"/>
                      <w:szCs w:val="21"/>
                    </w:rPr>
                  </w:pPr>
                  <w:r>
                    <w:rPr>
                      <w:rFonts w:ascii="Times New Roman" w:hAnsi="Times New Roman"/>
                      <w:color w:val="auto"/>
                      <w:sz w:val="21"/>
                      <w:szCs w:val="21"/>
                    </w:rPr>
                    <w:t>锅炉炉渣统一收集后暂存在生物质燃料棚的渣棚中，部分作为肥料回用于周边农田，剩余部分与袋式除尘器将产生的收尘灰一同委托环卫部门清运处置，禁止外排。</w:t>
                  </w:r>
                </w:p>
                <w:p>
                  <w:pPr>
                    <w:pStyle w:val="84"/>
                    <w:numPr>
                      <w:ilvl w:val="0"/>
                      <w:numId w:val="17"/>
                    </w:numPr>
                    <w:adjustRightInd w:val="0"/>
                    <w:snapToGrid w:val="0"/>
                    <w:rPr>
                      <w:rFonts w:ascii="Times New Roman" w:hAnsi="Times New Roman"/>
                      <w:color w:val="auto"/>
                      <w:sz w:val="21"/>
                      <w:szCs w:val="21"/>
                      <w:lang w:val="zh-CN"/>
                    </w:rPr>
                  </w:pPr>
                  <w:r>
                    <w:rPr>
                      <w:rFonts w:ascii="Times New Roman" w:hAnsi="Times New Roman"/>
                      <w:color w:val="auto"/>
                      <w:sz w:val="21"/>
                      <w:szCs w:val="21"/>
                    </w:rPr>
                    <w:t>软水处理产生的废离子交换树脂由交厂家回收处置，禁止外排。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vAlign w:val="center"/>
                </w:tcPr>
                <w:p>
                  <w:pPr>
                    <w:adjustRightInd w:val="0"/>
                    <w:snapToGrid w:val="0"/>
                    <w:jc w:val="center"/>
                    <w:rPr>
                      <w:rFonts w:ascii="Times New Roman" w:hAnsi="Times New Roman"/>
                      <w:color w:val="auto"/>
                      <w:sz w:val="21"/>
                      <w:szCs w:val="21"/>
                    </w:rPr>
                  </w:pPr>
                </w:p>
              </w:tc>
              <w:tc>
                <w:tcPr>
                  <w:tcW w:w="433"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废水</w:t>
                  </w:r>
                </w:p>
              </w:tc>
              <w:tc>
                <w:tcPr>
                  <w:tcW w:w="4107" w:type="pct"/>
                  <w:vAlign w:val="center"/>
                </w:tcPr>
                <w:p>
                  <w:pPr>
                    <w:pStyle w:val="84"/>
                    <w:numPr>
                      <w:ilvl w:val="0"/>
                      <w:numId w:val="18"/>
                    </w:numPr>
                    <w:adjustRightInd w:val="0"/>
                    <w:snapToGrid w:val="0"/>
                    <w:rPr>
                      <w:rFonts w:ascii="Times New Roman" w:hAnsi="Times New Roman"/>
                      <w:color w:val="auto"/>
                      <w:sz w:val="21"/>
                      <w:szCs w:val="21"/>
                      <w:lang w:val="zh-CN"/>
                    </w:rPr>
                  </w:pPr>
                  <w:r>
                    <w:rPr>
                      <w:rFonts w:ascii="Times New Roman" w:hAnsi="Times New Roman"/>
                      <w:color w:val="auto"/>
                      <w:sz w:val="21"/>
                      <w:szCs w:val="21"/>
                    </w:rPr>
                    <w:t>锅炉废水全部回用于现有项目造纸工段，禁止外排。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gridSpan w:val="2"/>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“以新带老”措施</w:t>
                  </w:r>
                </w:p>
              </w:tc>
              <w:tc>
                <w:tcPr>
                  <w:tcW w:w="4107" w:type="pct"/>
                  <w:vAlign w:val="center"/>
                </w:tcPr>
                <w:p>
                  <w:pPr>
                    <w:pStyle w:val="37"/>
                    <w:numPr>
                      <w:ilvl w:val="0"/>
                      <w:numId w:val="19"/>
                    </w:numPr>
                    <w:adjustRightInd w:val="0"/>
                    <w:snapToGrid w:val="0"/>
                    <w:ind w:firstLineChars="0"/>
                    <w:rPr>
                      <w:rFonts w:ascii="Times New Roman" w:hAnsi="Times New Roman"/>
                      <w:color w:val="auto"/>
                      <w:sz w:val="21"/>
                      <w:szCs w:val="21"/>
                    </w:rPr>
                  </w:pPr>
                  <w:r>
                    <w:rPr>
                      <w:rFonts w:ascii="Times New Roman" w:hAnsi="Times New Roman"/>
                      <w:color w:val="auto"/>
                      <w:sz w:val="21"/>
                      <w:szCs w:val="21"/>
                    </w:rPr>
                    <w:t>拆除原有1台10t/h燃煤锅炉。</w:t>
                  </w:r>
                </w:p>
                <w:p>
                  <w:pPr>
                    <w:pStyle w:val="37"/>
                    <w:numPr>
                      <w:ilvl w:val="0"/>
                      <w:numId w:val="19"/>
                    </w:numPr>
                    <w:adjustRightInd w:val="0"/>
                    <w:snapToGrid w:val="0"/>
                    <w:ind w:firstLineChars="0"/>
                    <w:rPr>
                      <w:rFonts w:ascii="Times New Roman" w:hAnsi="Times New Roman"/>
                      <w:color w:val="auto"/>
                      <w:sz w:val="21"/>
                      <w:szCs w:val="21"/>
                    </w:rPr>
                  </w:pPr>
                  <w:r>
                    <w:rPr>
                      <w:rFonts w:ascii="Times New Roman" w:hAnsi="Times New Roman"/>
                      <w:color w:val="auto"/>
                      <w:sz w:val="21"/>
                      <w:szCs w:val="21"/>
                    </w:rPr>
                    <w:t>拆除原有除排气筒外的所有烟气处理设施。</w:t>
                  </w:r>
                </w:p>
                <w:p>
                  <w:pPr>
                    <w:pStyle w:val="37"/>
                    <w:numPr>
                      <w:ilvl w:val="0"/>
                      <w:numId w:val="19"/>
                    </w:numPr>
                    <w:adjustRightInd w:val="0"/>
                    <w:snapToGrid w:val="0"/>
                    <w:ind w:firstLineChars="0"/>
                    <w:rPr>
                      <w:rFonts w:ascii="Times New Roman" w:hAnsi="Times New Roman"/>
                      <w:color w:val="auto"/>
                      <w:sz w:val="21"/>
                      <w:szCs w:val="21"/>
                    </w:rPr>
                  </w:pPr>
                  <w:r>
                    <w:rPr>
                      <w:rFonts w:ascii="Times New Roman" w:hAnsi="Times New Roman"/>
                      <w:color w:val="auto"/>
                      <w:sz w:val="21"/>
                      <w:szCs w:val="21"/>
                    </w:rPr>
                    <w:t>将原有燃煤堆棚</w:t>
                  </w:r>
                  <w:r>
                    <w:rPr>
                      <w:rFonts w:hint="eastAsia" w:ascii="Times New Roman" w:hAnsi="Times New Roman"/>
                      <w:color w:val="auto"/>
                      <w:sz w:val="21"/>
                      <w:szCs w:val="21"/>
                    </w:rPr>
                    <w:t>、渣棚</w:t>
                  </w:r>
                  <w:r>
                    <w:rPr>
                      <w:rFonts w:ascii="Times New Roman" w:hAnsi="Times New Roman"/>
                      <w:color w:val="auto"/>
                      <w:sz w:val="21"/>
                      <w:szCs w:val="21"/>
                    </w:rPr>
                    <w:t>除进出口外改为封闭厂房。</w:t>
                  </w:r>
                </w:p>
              </w:tc>
            </w:tr>
          </w:tbl>
          <w:p>
            <w:pPr>
              <w:adjustRightInd w:val="0"/>
              <w:snapToGrid w:val="0"/>
              <w:spacing w:before="163" w:beforeLines="50" w:line="360" w:lineRule="auto"/>
              <w:rPr>
                <w:rFonts w:ascii="Times New Roman" w:hAnsi="Times New Roman"/>
                <w:b/>
                <w:bCs/>
                <w:color w:val="auto"/>
                <w:szCs w:val="22"/>
              </w:rPr>
            </w:pPr>
            <w:r>
              <w:rPr>
                <w:rFonts w:ascii="Times New Roman" w:hAnsi="Times New Roman"/>
                <w:b/>
                <w:bCs/>
                <w:color w:val="auto"/>
                <w:szCs w:val="22"/>
              </w:rPr>
              <w:t>三、环境</w:t>
            </w:r>
            <w:r>
              <w:rPr>
                <w:rFonts w:hint="eastAsia" w:ascii="Times New Roman" w:hAnsi="Times New Roman"/>
                <w:b/>
                <w:bCs/>
                <w:color w:val="auto"/>
                <w:szCs w:val="22"/>
              </w:rPr>
              <w:t>管理</w:t>
            </w:r>
            <w:r>
              <w:rPr>
                <w:rFonts w:ascii="Times New Roman" w:hAnsi="Times New Roman"/>
                <w:b/>
                <w:bCs/>
                <w:color w:val="auto"/>
                <w:szCs w:val="22"/>
              </w:rPr>
              <w:t>与监测计划</w:t>
            </w:r>
          </w:p>
          <w:p>
            <w:pPr>
              <w:adjustRightInd w:val="0"/>
              <w:snapToGrid w:val="0"/>
              <w:spacing w:line="360" w:lineRule="auto"/>
              <w:rPr>
                <w:rFonts w:ascii="Times New Roman" w:hAnsi="Times New Roman"/>
                <w:b/>
                <w:bCs/>
                <w:color w:val="auto"/>
                <w:szCs w:val="22"/>
              </w:rPr>
            </w:pPr>
            <w:r>
              <w:rPr>
                <w:rFonts w:ascii="Times New Roman" w:hAnsi="Times New Roman"/>
                <w:b/>
                <w:bCs/>
                <w:color w:val="auto"/>
                <w:szCs w:val="22"/>
              </w:rPr>
              <w:t>1、环境管理</w:t>
            </w:r>
          </w:p>
          <w:p>
            <w:pPr>
              <w:adjustRightInd w:val="0"/>
              <w:snapToGrid w:val="0"/>
              <w:spacing w:line="360" w:lineRule="auto"/>
              <w:ind w:firstLine="480" w:firstLineChars="200"/>
              <w:rPr>
                <w:rFonts w:ascii="Times New Roman" w:hAnsi="Times New Roman"/>
                <w:color w:val="auto"/>
              </w:rPr>
            </w:pPr>
            <w:r>
              <w:rPr>
                <w:rFonts w:hint="eastAsia" w:ascii="Times New Roman" w:hAnsi="Times New Roman"/>
                <w:color w:val="auto"/>
              </w:rPr>
              <w:t>技改项目</w:t>
            </w:r>
            <w:r>
              <w:rPr>
                <w:rFonts w:ascii="Times New Roman" w:hAnsi="Times New Roman"/>
                <w:color w:val="auto"/>
              </w:rPr>
              <w:t>施工期产生的污染物相对较少，在运行期主要污染物是废气</w:t>
            </w:r>
            <w:r>
              <w:rPr>
                <w:rFonts w:hint="eastAsia" w:ascii="Times New Roman" w:hAnsi="Times New Roman"/>
                <w:color w:val="auto"/>
              </w:rPr>
              <w:t>、</w:t>
            </w:r>
            <w:r>
              <w:rPr>
                <w:rFonts w:ascii="Times New Roman" w:hAnsi="Times New Roman"/>
                <w:color w:val="auto"/>
              </w:rPr>
              <w:t>噪声</w:t>
            </w:r>
            <w:r>
              <w:rPr>
                <w:rFonts w:hint="eastAsia" w:ascii="Times New Roman" w:hAnsi="Times New Roman"/>
                <w:color w:val="auto"/>
              </w:rPr>
              <w:t>和</w:t>
            </w:r>
            <w:r>
              <w:rPr>
                <w:rFonts w:ascii="Times New Roman" w:hAnsi="Times New Roman"/>
                <w:color w:val="auto"/>
              </w:rPr>
              <w:t>固废</w:t>
            </w:r>
            <w:r>
              <w:rPr>
                <w:rFonts w:hint="eastAsia" w:ascii="Times New Roman" w:hAnsi="Times New Roman"/>
                <w:color w:val="auto"/>
              </w:rPr>
              <w:t>，不产生</w:t>
            </w:r>
            <w:r>
              <w:rPr>
                <w:rFonts w:ascii="Times New Roman" w:hAnsi="Times New Roman"/>
                <w:color w:val="auto"/>
              </w:rPr>
              <w:t>废水。</w:t>
            </w:r>
            <w:r>
              <w:rPr>
                <w:rFonts w:ascii="Times New Roman" w:hAnsi="Times New Roman"/>
                <w:color w:val="auto"/>
              </w:rPr>
              <w:t>根据项目实际情况，项目实施后应设置环境管理机制，制定环境日常管理制度，并配备相关环保工作专职或兼职人员，负责项目建成后的环保日常工作和环保设施的运行维护管理，保证环保设施正常运转，同时配合上级环保主管部门和环境监测机构做好工程竣工验收、环保宣传、治理监督等工作，按各级环境保护部门及行业部门的要求如实填报环境统计报表等。</w:t>
            </w:r>
          </w:p>
          <w:p>
            <w:pPr>
              <w:adjustRightInd w:val="0"/>
              <w:snapToGrid w:val="0"/>
              <w:spacing w:line="360" w:lineRule="auto"/>
              <w:rPr>
                <w:rFonts w:ascii="Times New Roman" w:hAnsi="Times New Roman"/>
                <w:b/>
                <w:bCs/>
                <w:color w:val="auto"/>
                <w:szCs w:val="22"/>
              </w:rPr>
            </w:pPr>
            <w:r>
              <w:rPr>
                <w:rFonts w:ascii="Times New Roman" w:hAnsi="Times New Roman"/>
                <w:b/>
                <w:bCs/>
                <w:color w:val="auto"/>
                <w:szCs w:val="22"/>
              </w:rPr>
              <w:t>2、环境监测</w:t>
            </w:r>
          </w:p>
          <w:p>
            <w:pPr>
              <w:adjustRightInd w:val="0"/>
              <w:snapToGrid w:val="0"/>
              <w:spacing w:line="360" w:lineRule="auto"/>
              <w:ind w:firstLine="480" w:firstLineChars="200"/>
              <w:rPr>
                <w:rFonts w:ascii="Times New Roman" w:hAnsi="Times New Roman"/>
                <w:color w:val="auto"/>
                <w:kern w:val="2"/>
                <w:szCs w:val="20"/>
                <w:lang w:val="zh-CN"/>
              </w:rPr>
            </w:pPr>
            <w:r>
              <w:rPr>
                <w:rFonts w:ascii="Times New Roman" w:hAnsi="Times New Roman"/>
                <w:color w:val="auto"/>
              </w:rPr>
              <w:t>参照《排污单位自行监测技术指南总则》（HJ819-2017），结合项目实际情况，</w:t>
            </w:r>
            <w:r>
              <w:rPr>
                <w:rFonts w:hint="eastAsia" w:ascii="Times New Roman" w:hAnsi="Times New Roman"/>
                <w:color w:val="auto"/>
              </w:rPr>
              <w:t>项目施工期产生的污染物较少，可不进行监测，</w:t>
            </w:r>
            <w:r>
              <w:rPr>
                <w:rFonts w:ascii="Times New Roman" w:hAnsi="Times New Roman"/>
                <w:color w:val="auto"/>
              </w:rPr>
              <w:t>项目运营期监测计划见表</w:t>
            </w:r>
            <w:r>
              <w:rPr>
                <w:rFonts w:hint="eastAsia" w:ascii="Times New Roman" w:hAnsi="Times New Roman"/>
                <w:color w:val="auto"/>
              </w:rPr>
              <w:t>9</w:t>
            </w:r>
            <w:r>
              <w:rPr>
                <w:rFonts w:ascii="Times New Roman" w:hAnsi="Times New Roman"/>
                <w:color w:val="auto"/>
              </w:rPr>
              <w:t>-2。</w:t>
            </w:r>
          </w:p>
          <w:p>
            <w:pPr>
              <w:adjustRightInd w:val="0"/>
              <w:snapToGrid w:val="0"/>
              <w:spacing w:line="240" w:lineRule="atLeast"/>
              <w:jc w:val="center"/>
              <w:rPr>
                <w:rFonts w:ascii="Times New Roman" w:hAnsi="Times New Roman"/>
                <w:b/>
                <w:bCs/>
                <w:color w:val="auto"/>
                <w:kern w:val="2"/>
                <w:sz w:val="21"/>
                <w:szCs w:val="20"/>
              </w:rPr>
            </w:pPr>
            <w:r>
              <w:rPr>
                <w:rFonts w:ascii="Times New Roman" w:hAnsi="Times New Roman"/>
                <w:b/>
                <w:bCs/>
                <w:color w:val="auto"/>
                <w:kern w:val="2"/>
                <w:sz w:val="21"/>
                <w:szCs w:val="20"/>
              </w:rPr>
              <w:t>表9-2   运营期环境监测计划表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584"/>
              <w:gridCol w:w="1298"/>
              <w:gridCol w:w="1544"/>
              <w:gridCol w:w="1387"/>
              <w:gridCol w:w="3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7" w:type="pct"/>
                  <w:vAlign w:val="center"/>
                </w:tcPr>
                <w:p>
                  <w:pPr>
                    <w:adjustRightInd w:val="0"/>
                    <w:snapToGrid w:val="0"/>
                    <w:spacing w:line="276" w:lineRule="auto"/>
                    <w:jc w:val="center"/>
                    <w:rPr>
                      <w:rFonts w:ascii="Times New Roman" w:hAnsi="Times New Roman"/>
                      <w:b/>
                      <w:bCs/>
                      <w:color w:val="auto"/>
                      <w:kern w:val="2"/>
                      <w:sz w:val="21"/>
                      <w:szCs w:val="21"/>
                    </w:rPr>
                  </w:pPr>
                  <w:r>
                    <w:rPr>
                      <w:rFonts w:ascii="Times New Roman" w:hAnsi="Times New Roman"/>
                      <w:b/>
                      <w:bCs/>
                      <w:color w:val="auto"/>
                      <w:kern w:val="2"/>
                      <w:sz w:val="21"/>
                      <w:szCs w:val="21"/>
                    </w:rPr>
                    <w:t>监测</w:t>
                  </w:r>
                </w:p>
                <w:p>
                  <w:pPr>
                    <w:adjustRightInd w:val="0"/>
                    <w:snapToGrid w:val="0"/>
                    <w:spacing w:line="276" w:lineRule="auto"/>
                    <w:jc w:val="center"/>
                    <w:rPr>
                      <w:rFonts w:ascii="Times New Roman" w:hAnsi="Times New Roman"/>
                      <w:b/>
                      <w:bCs/>
                      <w:color w:val="auto"/>
                      <w:kern w:val="2"/>
                      <w:sz w:val="21"/>
                      <w:szCs w:val="21"/>
                    </w:rPr>
                  </w:pPr>
                  <w:r>
                    <w:rPr>
                      <w:rFonts w:ascii="Times New Roman" w:hAnsi="Times New Roman"/>
                      <w:b/>
                      <w:bCs/>
                      <w:color w:val="auto"/>
                      <w:kern w:val="2"/>
                      <w:sz w:val="21"/>
                      <w:szCs w:val="21"/>
                    </w:rPr>
                    <w:t>时段</w:t>
                  </w:r>
                </w:p>
              </w:tc>
              <w:tc>
                <w:tcPr>
                  <w:tcW w:w="343" w:type="pct"/>
                  <w:vAlign w:val="center"/>
                </w:tcPr>
                <w:p>
                  <w:pPr>
                    <w:adjustRightInd w:val="0"/>
                    <w:snapToGrid w:val="0"/>
                    <w:spacing w:line="276" w:lineRule="auto"/>
                    <w:jc w:val="center"/>
                    <w:rPr>
                      <w:rFonts w:ascii="Times New Roman" w:hAnsi="Times New Roman"/>
                      <w:b/>
                      <w:bCs/>
                      <w:color w:val="auto"/>
                      <w:kern w:val="2"/>
                      <w:sz w:val="21"/>
                      <w:szCs w:val="21"/>
                    </w:rPr>
                  </w:pPr>
                  <w:r>
                    <w:rPr>
                      <w:rFonts w:ascii="Times New Roman" w:hAnsi="Times New Roman"/>
                      <w:b/>
                      <w:bCs/>
                      <w:color w:val="auto"/>
                      <w:kern w:val="2"/>
                      <w:sz w:val="21"/>
                      <w:szCs w:val="21"/>
                    </w:rPr>
                    <w:t>监测对象</w:t>
                  </w:r>
                </w:p>
              </w:tc>
              <w:tc>
                <w:tcPr>
                  <w:tcW w:w="762" w:type="pct"/>
                  <w:vAlign w:val="center"/>
                </w:tcPr>
                <w:p>
                  <w:pPr>
                    <w:adjustRightInd w:val="0"/>
                    <w:snapToGrid w:val="0"/>
                    <w:spacing w:line="276" w:lineRule="auto"/>
                    <w:jc w:val="center"/>
                    <w:rPr>
                      <w:rFonts w:ascii="Times New Roman" w:hAnsi="Times New Roman"/>
                      <w:b/>
                      <w:bCs/>
                      <w:color w:val="auto"/>
                      <w:kern w:val="2"/>
                      <w:sz w:val="21"/>
                      <w:szCs w:val="21"/>
                    </w:rPr>
                  </w:pPr>
                  <w:r>
                    <w:rPr>
                      <w:rFonts w:ascii="Times New Roman" w:hAnsi="Times New Roman"/>
                      <w:b/>
                      <w:bCs/>
                      <w:color w:val="auto"/>
                      <w:kern w:val="2"/>
                      <w:sz w:val="21"/>
                      <w:szCs w:val="21"/>
                    </w:rPr>
                    <w:t>监测点位</w:t>
                  </w:r>
                </w:p>
              </w:tc>
              <w:tc>
                <w:tcPr>
                  <w:tcW w:w="906" w:type="pct"/>
                  <w:vAlign w:val="center"/>
                </w:tcPr>
                <w:p>
                  <w:pPr>
                    <w:adjustRightInd w:val="0"/>
                    <w:snapToGrid w:val="0"/>
                    <w:spacing w:line="276" w:lineRule="auto"/>
                    <w:jc w:val="center"/>
                    <w:rPr>
                      <w:rFonts w:ascii="Times New Roman" w:hAnsi="Times New Roman"/>
                      <w:b/>
                      <w:bCs/>
                      <w:color w:val="auto"/>
                      <w:kern w:val="2"/>
                      <w:sz w:val="21"/>
                      <w:szCs w:val="21"/>
                    </w:rPr>
                  </w:pPr>
                  <w:r>
                    <w:rPr>
                      <w:rFonts w:ascii="Times New Roman" w:hAnsi="Times New Roman"/>
                      <w:b/>
                      <w:bCs/>
                      <w:color w:val="auto"/>
                      <w:kern w:val="2"/>
                      <w:sz w:val="21"/>
                      <w:szCs w:val="21"/>
                    </w:rPr>
                    <w:t>监测项目</w:t>
                  </w:r>
                </w:p>
              </w:tc>
              <w:tc>
                <w:tcPr>
                  <w:tcW w:w="814" w:type="pct"/>
                  <w:vAlign w:val="center"/>
                </w:tcPr>
                <w:p>
                  <w:pPr>
                    <w:adjustRightInd w:val="0"/>
                    <w:snapToGrid w:val="0"/>
                    <w:spacing w:line="276" w:lineRule="auto"/>
                    <w:jc w:val="center"/>
                    <w:rPr>
                      <w:rFonts w:ascii="Times New Roman" w:hAnsi="Times New Roman"/>
                      <w:b/>
                      <w:bCs/>
                      <w:color w:val="auto"/>
                      <w:kern w:val="2"/>
                      <w:sz w:val="21"/>
                      <w:szCs w:val="21"/>
                    </w:rPr>
                  </w:pPr>
                  <w:r>
                    <w:rPr>
                      <w:rFonts w:ascii="Times New Roman" w:hAnsi="Times New Roman"/>
                      <w:b/>
                      <w:bCs/>
                      <w:color w:val="auto"/>
                      <w:kern w:val="2"/>
                      <w:sz w:val="21"/>
                      <w:szCs w:val="21"/>
                    </w:rPr>
                    <w:t>监测</w:t>
                  </w:r>
                </w:p>
                <w:p>
                  <w:pPr>
                    <w:adjustRightInd w:val="0"/>
                    <w:snapToGrid w:val="0"/>
                    <w:spacing w:line="276" w:lineRule="auto"/>
                    <w:jc w:val="center"/>
                    <w:rPr>
                      <w:rFonts w:ascii="Times New Roman" w:hAnsi="Times New Roman"/>
                      <w:b/>
                      <w:bCs/>
                      <w:color w:val="auto"/>
                      <w:kern w:val="2"/>
                      <w:sz w:val="21"/>
                      <w:szCs w:val="21"/>
                    </w:rPr>
                  </w:pPr>
                  <w:r>
                    <w:rPr>
                      <w:rFonts w:ascii="Times New Roman" w:hAnsi="Times New Roman"/>
                      <w:b/>
                      <w:bCs/>
                      <w:color w:val="auto"/>
                      <w:kern w:val="2"/>
                      <w:sz w:val="21"/>
                      <w:szCs w:val="21"/>
                    </w:rPr>
                    <w:t>频率</w:t>
                  </w:r>
                </w:p>
              </w:tc>
              <w:tc>
                <w:tcPr>
                  <w:tcW w:w="1859" w:type="pct"/>
                  <w:vAlign w:val="center"/>
                </w:tcPr>
                <w:p>
                  <w:pPr>
                    <w:adjustRightInd w:val="0"/>
                    <w:snapToGrid w:val="0"/>
                    <w:spacing w:line="276" w:lineRule="auto"/>
                    <w:jc w:val="center"/>
                    <w:rPr>
                      <w:rFonts w:ascii="Times New Roman" w:hAnsi="Times New Roman"/>
                      <w:b/>
                      <w:bCs/>
                      <w:color w:val="auto"/>
                      <w:kern w:val="2"/>
                      <w:sz w:val="21"/>
                      <w:szCs w:val="21"/>
                    </w:rPr>
                  </w:pPr>
                  <w:r>
                    <w:rPr>
                      <w:rFonts w:ascii="Times New Roman" w:hAnsi="Times New Roman"/>
                      <w:b/>
                      <w:bCs/>
                      <w:color w:val="auto"/>
                      <w:kern w:val="2"/>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7" w:type="pct"/>
                  <w:vMerge w:val="restart"/>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运营期</w:t>
                  </w:r>
                </w:p>
              </w:tc>
              <w:tc>
                <w:tcPr>
                  <w:tcW w:w="343" w:type="pct"/>
                  <w:vMerge w:val="restart"/>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噪声</w:t>
                  </w:r>
                </w:p>
              </w:tc>
              <w:tc>
                <w:tcPr>
                  <w:tcW w:w="762" w:type="pct"/>
                  <w:vAlign w:val="center"/>
                </w:tcPr>
                <w:p>
                  <w:pPr>
                    <w:adjustRightInd w:val="0"/>
                    <w:snapToGrid w:val="0"/>
                    <w:spacing w:line="276" w:lineRule="auto"/>
                    <w:rPr>
                      <w:rFonts w:ascii="Times New Roman" w:hAnsi="Times New Roman"/>
                      <w:color w:val="auto"/>
                      <w:kern w:val="2"/>
                      <w:sz w:val="21"/>
                      <w:szCs w:val="21"/>
                    </w:rPr>
                  </w:pPr>
                  <w:r>
                    <w:rPr>
                      <w:rFonts w:ascii="Times New Roman" w:hAnsi="Times New Roman"/>
                      <w:color w:val="auto"/>
                      <w:kern w:val="2"/>
                      <w:sz w:val="21"/>
                      <w:szCs w:val="21"/>
                    </w:rPr>
                    <w:t>四周</w:t>
                  </w:r>
                  <w:r>
                    <w:rPr>
                      <w:rFonts w:hint="eastAsia" w:ascii="Times New Roman" w:hAnsi="Times New Roman"/>
                      <w:color w:val="auto"/>
                      <w:kern w:val="2"/>
                      <w:sz w:val="21"/>
                      <w:szCs w:val="21"/>
                    </w:rPr>
                    <w:t>厂</w:t>
                  </w:r>
                  <w:r>
                    <w:rPr>
                      <w:rFonts w:ascii="Times New Roman" w:hAnsi="Times New Roman"/>
                      <w:color w:val="auto"/>
                      <w:kern w:val="2"/>
                      <w:sz w:val="21"/>
                      <w:szCs w:val="21"/>
                    </w:rPr>
                    <w:t>界外1m处各1个</w:t>
                  </w:r>
                </w:p>
              </w:tc>
              <w:tc>
                <w:tcPr>
                  <w:tcW w:w="906" w:type="pct"/>
                  <w:vMerge w:val="restart"/>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等效连续A声级</w:t>
                  </w:r>
                </w:p>
              </w:tc>
              <w:tc>
                <w:tcPr>
                  <w:tcW w:w="814" w:type="pct"/>
                  <w:vMerge w:val="restart"/>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每年1次</w:t>
                  </w:r>
                </w:p>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，每次2天，每天昼夜各一次</w:t>
                  </w:r>
                </w:p>
              </w:tc>
              <w:tc>
                <w:tcPr>
                  <w:tcW w:w="1859" w:type="pct"/>
                  <w:vAlign w:val="center"/>
                </w:tcPr>
                <w:p>
                  <w:pPr>
                    <w:adjustRightInd w:val="0"/>
                    <w:snapToGrid w:val="0"/>
                    <w:spacing w:line="276" w:lineRule="auto"/>
                    <w:jc w:val="center"/>
                    <w:rPr>
                      <w:rFonts w:ascii="Times New Roman" w:hAnsi="Times New Roman"/>
                      <w:color w:val="auto"/>
                      <w:kern w:val="2"/>
                      <w:sz w:val="21"/>
                      <w:szCs w:val="21"/>
                    </w:rPr>
                  </w:pPr>
                  <w:r>
                    <w:rPr>
                      <w:rFonts w:hint="eastAsia" w:ascii="Times New Roman" w:hAnsi="Times New Roman"/>
                      <w:color w:val="auto"/>
                      <w:kern w:val="2"/>
                      <w:sz w:val="21"/>
                      <w:szCs w:val="21"/>
                      <w:lang w:eastAsia="zh-CN"/>
                    </w:rPr>
                    <w:t>非临路侧</w:t>
                  </w:r>
                  <w:r>
                    <w:rPr>
                      <w:rFonts w:hint="eastAsia" w:ascii="Times New Roman" w:hAnsi="Times New Roman"/>
                      <w:color w:val="auto"/>
                      <w:kern w:val="2"/>
                      <w:sz w:val="21"/>
                      <w:szCs w:val="21"/>
                    </w:rPr>
                    <w:t>厂界：</w:t>
                  </w:r>
                  <w:r>
                    <w:rPr>
                      <w:rFonts w:ascii="Times New Roman" w:hAnsi="Times New Roman"/>
                      <w:color w:val="auto"/>
                      <w:kern w:val="2"/>
                      <w:sz w:val="21"/>
                      <w:szCs w:val="21"/>
                    </w:rPr>
                    <w:t>《工业企业厂界环境噪声排放标准》（GB12348-2008）2类标准</w:t>
                  </w:r>
                </w:p>
                <w:p>
                  <w:pPr>
                    <w:pStyle w:val="37"/>
                    <w:adjustRightInd w:val="0"/>
                    <w:snapToGrid w:val="0"/>
                    <w:ind w:firstLine="0" w:firstLineChars="0"/>
                    <w:rPr>
                      <w:rFonts w:ascii="Times New Roman" w:hAnsi="Times New Roman"/>
                      <w:color w:val="auto"/>
                      <w:kern w:val="2"/>
                      <w:sz w:val="21"/>
                      <w:szCs w:val="21"/>
                    </w:rPr>
                  </w:pPr>
                  <w:r>
                    <w:rPr>
                      <w:rFonts w:hint="eastAsia" w:ascii="Times New Roman" w:hAnsi="Times New Roman"/>
                      <w:color w:val="auto"/>
                      <w:kern w:val="2"/>
                      <w:sz w:val="21"/>
                      <w:szCs w:val="21"/>
                      <w:lang w:eastAsia="zh-CN"/>
                    </w:rPr>
                    <w:t>临路侧</w:t>
                  </w:r>
                  <w:r>
                    <w:rPr>
                      <w:rFonts w:hint="eastAsia" w:ascii="Times New Roman" w:hAnsi="Times New Roman"/>
                      <w:color w:val="auto"/>
                      <w:kern w:val="2"/>
                      <w:sz w:val="21"/>
                      <w:szCs w:val="21"/>
                    </w:rPr>
                    <w:t>厂界：</w:t>
                  </w:r>
                  <w:r>
                    <w:rPr>
                      <w:rFonts w:ascii="Times New Roman" w:hAnsi="Times New Roman"/>
                      <w:color w:val="auto"/>
                      <w:kern w:val="2"/>
                      <w:sz w:val="21"/>
                      <w:szCs w:val="21"/>
                    </w:rPr>
                    <w:t>《工业企业厂界环境噪声排放标准》（GB12348-2008）4a类标准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7" w:type="pct"/>
                  <w:vMerge w:val="continue"/>
                  <w:vAlign w:val="center"/>
                </w:tcPr>
                <w:p>
                  <w:pPr>
                    <w:adjustRightInd w:val="0"/>
                    <w:snapToGrid w:val="0"/>
                    <w:spacing w:line="276" w:lineRule="auto"/>
                    <w:jc w:val="center"/>
                    <w:rPr>
                      <w:rFonts w:ascii="Times New Roman" w:hAnsi="Times New Roman"/>
                      <w:color w:val="auto"/>
                      <w:kern w:val="2"/>
                      <w:sz w:val="21"/>
                      <w:szCs w:val="21"/>
                    </w:rPr>
                  </w:pPr>
                </w:p>
              </w:tc>
              <w:tc>
                <w:tcPr>
                  <w:tcW w:w="343" w:type="pct"/>
                  <w:vMerge w:val="continue"/>
                  <w:vAlign w:val="center"/>
                </w:tcPr>
                <w:p>
                  <w:pPr>
                    <w:adjustRightInd w:val="0"/>
                    <w:snapToGrid w:val="0"/>
                    <w:spacing w:line="276" w:lineRule="auto"/>
                    <w:jc w:val="center"/>
                    <w:rPr>
                      <w:rFonts w:ascii="Times New Roman" w:hAnsi="Times New Roman"/>
                      <w:color w:val="auto"/>
                      <w:kern w:val="2"/>
                      <w:sz w:val="21"/>
                      <w:szCs w:val="21"/>
                    </w:rPr>
                  </w:pPr>
                </w:p>
              </w:tc>
              <w:tc>
                <w:tcPr>
                  <w:tcW w:w="762" w:type="pct"/>
                  <w:vAlign w:val="center"/>
                </w:tcPr>
                <w:p>
                  <w:pPr>
                    <w:adjustRightInd w:val="0"/>
                    <w:snapToGrid w:val="0"/>
                    <w:spacing w:line="276" w:lineRule="auto"/>
                    <w:rPr>
                      <w:rFonts w:ascii="Times New Roman" w:hAnsi="Times New Roman"/>
                      <w:color w:val="auto"/>
                      <w:kern w:val="2"/>
                      <w:sz w:val="21"/>
                      <w:szCs w:val="21"/>
                    </w:rPr>
                  </w:pPr>
                  <w:r>
                    <w:rPr>
                      <w:rFonts w:hint="eastAsia" w:ascii="Times New Roman" w:hAnsi="Times New Roman"/>
                      <w:color w:val="auto"/>
                      <w:kern w:val="2"/>
                      <w:sz w:val="21"/>
                      <w:szCs w:val="21"/>
                    </w:rPr>
                    <w:t>西南侧小唐营散户处</w:t>
                  </w:r>
                </w:p>
              </w:tc>
              <w:tc>
                <w:tcPr>
                  <w:tcW w:w="906" w:type="pct"/>
                  <w:vMerge w:val="continue"/>
                  <w:vAlign w:val="center"/>
                </w:tcPr>
                <w:p>
                  <w:pPr>
                    <w:adjustRightInd w:val="0"/>
                    <w:snapToGrid w:val="0"/>
                    <w:spacing w:line="276" w:lineRule="auto"/>
                    <w:jc w:val="center"/>
                    <w:rPr>
                      <w:rFonts w:ascii="Times New Roman" w:hAnsi="Times New Roman"/>
                      <w:color w:val="auto"/>
                      <w:kern w:val="2"/>
                      <w:sz w:val="21"/>
                      <w:szCs w:val="21"/>
                    </w:rPr>
                  </w:pPr>
                </w:p>
              </w:tc>
              <w:tc>
                <w:tcPr>
                  <w:tcW w:w="814" w:type="pct"/>
                  <w:vMerge w:val="continue"/>
                  <w:vAlign w:val="center"/>
                </w:tcPr>
                <w:p>
                  <w:pPr>
                    <w:adjustRightInd w:val="0"/>
                    <w:snapToGrid w:val="0"/>
                    <w:spacing w:line="276" w:lineRule="auto"/>
                    <w:jc w:val="center"/>
                    <w:rPr>
                      <w:rFonts w:ascii="Times New Roman" w:hAnsi="Times New Roman"/>
                      <w:color w:val="auto"/>
                      <w:kern w:val="2"/>
                      <w:sz w:val="21"/>
                      <w:szCs w:val="21"/>
                    </w:rPr>
                  </w:pPr>
                </w:p>
              </w:tc>
              <w:tc>
                <w:tcPr>
                  <w:tcW w:w="1859" w:type="pct"/>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《声环境质量标准》（GB3096-2008）4a类标准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7" w:type="pct"/>
                  <w:vMerge w:val="continue"/>
                  <w:vAlign w:val="center"/>
                </w:tcPr>
                <w:p>
                  <w:pPr>
                    <w:adjustRightInd w:val="0"/>
                    <w:snapToGrid w:val="0"/>
                    <w:spacing w:line="276" w:lineRule="auto"/>
                    <w:jc w:val="center"/>
                    <w:rPr>
                      <w:rFonts w:ascii="Times New Roman" w:hAnsi="Times New Roman"/>
                      <w:color w:val="auto"/>
                      <w:kern w:val="2"/>
                      <w:sz w:val="21"/>
                      <w:szCs w:val="21"/>
                    </w:rPr>
                  </w:pPr>
                </w:p>
              </w:tc>
              <w:tc>
                <w:tcPr>
                  <w:tcW w:w="343" w:type="pct"/>
                  <w:vMerge w:val="restart"/>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废气</w:t>
                  </w:r>
                </w:p>
              </w:tc>
              <w:tc>
                <w:tcPr>
                  <w:tcW w:w="762" w:type="pct"/>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G1排气筒出口处</w:t>
                  </w:r>
                </w:p>
              </w:tc>
              <w:tc>
                <w:tcPr>
                  <w:tcW w:w="906" w:type="pct"/>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PM</w:t>
                  </w:r>
                  <w:r>
                    <w:rPr>
                      <w:rFonts w:ascii="Times New Roman" w:hAnsi="Times New Roman"/>
                      <w:color w:val="auto"/>
                      <w:kern w:val="2"/>
                      <w:sz w:val="21"/>
                      <w:szCs w:val="21"/>
                      <w:vertAlign w:val="subscript"/>
                    </w:rPr>
                    <w:t>10</w:t>
                  </w:r>
                  <w:r>
                    <w:rPr>
                      <w:rFonts w:ascii="Times New Roman" w:hAnsi="Times New Roman"/>
                      <w:color w:val="auto"/>
                      <w:kern w:val="2"/>
                      <w:sz w:val="21"/>
                      <w:szCs w:val="21"/>
                    </w:rPr>
                    <w:t>、SO</w:t>
                  </w:r>
                  <w:r>
                    <w:rPr>
                      <w:rFonts w:ascii="Times New Roman" w:hAnsi="Times New Roman"/>
                      <w:color w:val="auto"/>
                      <w:kern w:val="2"/>
                      <w:sz w:val="21"/>
                      <w:szCs w:val="21"/>
                      <w:vertAlign w:val="subscript"/>
                    </w:rPr>
                    <w:t>2</w:t>
                  </w:r>
                  <w:r>
                    <w:rPr>
                      <w:rFonts w:ascii="Times New Roman" w:hAnsi="Times New Roman"/>
                      <w:color w:val="auto"/>
                      <w:kern w:val="2"/>
                      <w:sz w:val="21"/>
                      <w:szCs w:val="21"/>
                    </w:rPr>
                    <w:t>、NO</w:t>
                  </w:r>
                  <w:r>
                    <w:rPr>
                      <w:rFonts w:ascii="Times New Roman" w:hAnsi="Times New Roman"/>
                      <w:color w:val="auto"/>
                      <w:kern w:val="2"/>
                      <w:sz w:val="21"/>
                      <w:szCs w:val="21"/>
                      <w:vertAlign w:val="subscript"/>
                    </w:rPr>
                    <w:t>X</w:t>
                  </w:r>
                </w:p>
              </w:tc>
              <w:tc>
                <w:tcPr>
                  <w:tcW w:w="814" w:type="pct"/>
                  <w:vMerge w:val="restart"/>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每年监测1次，监测2天，每天采样3次</w:t>
                  </w:r>
                </w:p>
              </w:tc>
              <w:tc>
                <w:tcPr>
                  <w:tcW w:w="1859" w:type="pct"/>
                  <w:vMerge w:val="restart"/>
                  <w:vAlign w:val="center"/>
                </w:tcPr>
                <w:p>
                  <w:pPr>
                    <w:adjustRightInd w:val="0"/>
                    <w:snapToGrid w:val="0"/>
                    <w:spacing w:line="276" w:lineRule="auto"/>
                    <w:rPr>
                      <w:rFonts w:ascii="Times New Roman" w:hAnsi="Times New Roman"/>
                      <w:color w:val="auto"/>
                      <w:kern w:val="2"/>
                      <w:sz w:val="21"/>
                      <w:szCs w:val="21"/>
                    </w:rPr>
                  </w:pPr>
                  <w:r>
                    <w:rPr>
                      <w:rFonts w:ascii="Times New Roman" w:hAnsi="Times New Roman"/>
                      <w:color w:val="auto"/>
                      <w:kern w:val="2"/>
                      <w:sz w:val="21"/>
                      <w:szCs w:val="21"/>
                    </w:rPr>
                    <w:t>PM</w:t>
                  </w:r>
                  <w:r>
                    <w:rPr>
                      <w:rFonts w:ascii="Times New Roman" w:hAnsi="Times New Roman"/>
                      <w:color w:val="auto"/>
                      <w:kern w:val="2"/>
                      <w:sz w:val="21"/>
                      <w:szCs w:val="21"/>
                      <w:vertAlign w:val="subscript"/>
                    </w:rPr>
                    <w:t>10</w:t>
                  </w:r>
                  <w:r>
                    <w:rPr>
                      <w:rFonts w:ascii="Times New Roman" w:hAnsi="Times New Roman"/>
                      <w:color w:val="auto"/>
                      <w:kern w:val="2"/>
                      <w:sz w:val="21"/>
                      <w:szCs w:val="21"/>
                    </w:rPr>
                    <w:t>、SO</w:t>
                  </w:r>
                  <w:r>
                    <w:rPr>
                      <w:rFonts w:ascii="Times New Roman" w:hAnsi="Times New Roman"/>
                      <w:color w:val="auto"/>
                      <w:kern w:val="2"/>
                      <w:sz w:val="21"/>
                      <w:szCs w:val="21"/>
                      <w:vertAlign w:val="subscript"/>
                    </w:rPr>
                    <w:t>2</w:t>
                  </w:r>
                  <w:r>
                    <w:rPr>
                      <w:rFonts w:ascii="Times New Roman" w:hAnsi="Times New Roman"/>
                      <w:color w:val="auto"/>
                      <w:kern w:val="2"/>
                      <w:sz w:val="21"/>
                      <w:szCs w:val="21"/>
                    </w:rPr>
                    <w:t>、NO</w:t>
                  </w:r>
                  <w:r>
                    <w:rPr>
                      <w:rFonts w:ascii="Times New Roman" w:hAnsi="Times New Roman"/>
                      <w:color w:val="auto"/>
                      <w:kern w:val="2"/>
                      <w:sz w:val="21"/>
                      <w:szCs w:val="21"/>
                      <w:vertAlign w:val="subscript"/>
                    </w:rPr>
                    <w:t>X</w:t>
                  </w:r>
                  <w:r>
                    <w:rPr>
                      <w:rFonts w:ascii="Times New Roman" w:hAnsi="Times New Roman"/>
                      <w:color w:val="auto"/>
                      <w:kern w:val="2"/>
                      <w:sz w:val="21"/>
                      <w:szCs w:val="21"/>
                    </w:rPr>
                    <w:t>：《锅炉大气污染物排放标准》（GB13271-2014）中的表2</w:t>
                  </w:r>
                  <w:r>
                    <w:rPr>
                      <w:rFonts w:hint="eastAsia" w:ascii="Times New Roman" w:hAnsi="Times New Roman"/>
                      <w:color w:val="auto"/>
                      <w:kern w:val="2"/>
                      <w:sz w:val="21"/>
                      <w:szCs w:val="21"/>
                    </w:rPr>
                    <w:t>中燃煤锅炉排放</w:t>
                  </w:r>
                  <w:r>
                    <w:rPr>
                      <w:rFonts w:ascii="Times New Roman" w:hAnsi="Times New Roman"/>
                      <w:color w:val="auto"/>
                      <w:kern w:val="2"/>
                      <w:sz w:val="21"/>
                      <w:szCs w:val="21"/>
                    </w:rPr>
                    <w:t>标准</w:t>
                  </w:r>
                </w:p>
                <w:p>
                  <w:pPr>
                    <w:adjustRightInd w:val="0"/>
                    <w:snapToGrid w:val="0"/>
                    <w:spacing w:line="276" w:lineRule="auto"/>
                    <w:rPr>
                      <w:rFonts w:ascii="Times New Roman" w:hAnsi="Times New Roman"/>
                      <w:color w:val="auto"/>
                      <w:kern w:val="2"/>
                      <w:sz w:val="21"/>
                      <w:szCs w:val="21"/>
                    </w:rPr>
                  </w:pPr>
                  <w:r>
                    <w:rPr>
                      <w:rFonts w:ascii="Times New Roman" w:hAnsi="Times New Roman"/>
                      <w:color w:val="auto"/>
                      <w:kern w:val="2"/>
                      <w:sz w:val="21"/>
                      <w:szCs w:val="21"/>
                    </w:rPr>
                    <w:t>TSP</w:t>
                  </w:r>
                  <w:r>
                    <w:rPr>
                      <w:rFonts w:hint="eastAsia" w:ascii="Times New Roman" w:hAnsi="Times New Roman"/>
                      <w:color w:val="auto"/>
                      <w:kern w:val="2"/>
                      <w:sz w:val="21"/>
                      <w:szCs w:val="21"/>
                    </w:rPr>
                    <w:t>：</w:t>
                  </w:r>
                  <w:r>
                    <w:rPr>
                      <w:rFonts w:ascii="Times New Roman" w:hAnsi="Times New Roman"/>
                      <w:color w:val="auto"/>
                      <w:kern w:val="2"/>
                      <w:sz w:val="21"/>
                      <w:szCs w:val="21"/>
                    </w:rPr>
                    <w:t>《大气污染物综合排放标准》（GB16297-1996）中的表2标准限值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7" w:type="pct"/>
                  <w:vMerge w:val="continue"/>
                  <w:vAlign w:val="center"/>
                </w:tcPr>
                <w:p>
                  <w:pPr>
                    <w:adjustRightInd w:val="0"/>
                    <w:snapToGrid w:val="0"/>
                    <w:spacing w:line="276" w:lineRule="auto"/>
                    <w:jc w:val="center"/>
                    <w:rPr>
                      <w:rFonts w:ascii="Times New Roman" w:hAnsi="Times New Roman"/>
                      <w:color w:val="auto"/>
                      <w:kern w:val="2"/>
                      <w:sz w:val="21"/>
                      <w:szCs w:val="21"/>
                    </w:rPr>
                  </w:pPr>
                </w:p>
              </w:tc>
              <w:tc>
                <w:tcPr>
                  <w:tcW w:w="343" w:type="pct"/>
                  <w:vMerge w:val="continue"/>
                  <w:vAlign w:val="center"/>
                </w:tcPr>
                <w:p>
                  <w:pPr>
                    <w:adjustRightInd w:val="0"/>
                    <w:snapToGrid w:val="0"/>
                    <w:spacing w:line="276" w:lineRule="auto"/>
                    <w:jc w:val="center"/>
                    <w:rPr>
                      <w:rFonts w:ascii="Times New Roman" w:hAnsi="Times New Roman"/>
                      <w:color w:val="auto"/>
                      <w:kern w:val="2"/>
                      <w:sz w:val="21"/>
                      <w:szCs w:val="21"/>
                    </w:rPr>
                  </w:pPr>
                </w:p>
              </w:tc>
              <w:tc>
                <w:tcPr>
                  <w:tcW w:w="762" w:type="pct"/>
                  <w:vAlign w:val="center"/>
                </w:tcPr>
                <w:p>
                  <w:pPr>
                    <w:adjustRightInd w:val="0"/>
                    <w:snapToGrid w:val="0"/>
                    <w:spacing w:line="276" w:lineRule="auto"/>
                    <w:rPr>
                      <w:rFonts w:ascii="Times New Roman" w:hAnsi="Times New Roman"/>
                      <w:color w:val="auto"/>
                      <w:kern w:val="2"/>
                      <w:sz w:val="21"/>
                      <w:szCs w:val="21"/>
                    </w:rPr>
                  </w:pPr>
                  <w:r>
                    <w:rPr>
                      <w:rFonts w:ascii="Times New Roman" w:hAnsi="Times New Roman"/>
                      <w:color w:val="auto"/>
                      <w:kern w:val="2"/>
                      <w:sz w:val="21"/>
                      <w:szCs w:val="21"/>
                    </w:rPr>
                    <w:t>厂界上风向1个</w:t>
                  </w:r>
                  <w:r>
                    <w:rPr>
                      <w:rFonts w:ascii="Times New Roman" w:hAnsi="Times New Roman" w:eastAsia="仿宋_GB2312"/>
                      <w:color w:val="auto"/>
                      <w:kern w:val="2"/>
                      <w:sz w:val="21"/>
                      <w:szCs w:val="21"/>
                    </w:rPr>
                    <w:t>，</w:t>
                  </w:r>
                  <w:r>
                    <w:rPr>
                      <w:rFonts w:ascii="Times New Roman" w:hAnsi="Times New Roman"/>
                      <w:color w:val="auto"/>
                      <w:kern w:val="2"/>
                      <w:sz w:val="21"/>
                      <w:szCs w:val="21"/>
                    </w:rPr>
                    <w:t>厂界下风向1~3个</w:t>
                  </w:r>
                </w:p>
              </w:tc>
              <w:tc>
                <w:tcPr>
                  <w:tcW w:w="906" w:type="pct"/>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TSP</w:t>
                  </w:r>
                </w:p>
              </w:tc>
              <w:tc>
                <w:tcPr>
                  <w:tcW w:w="814" w:type="pct"/>
                  <w:vMerge w:val="continue"/>
                  <w:vAlign w:val="center"/>
                </w:tcPr>
                <w:p>
                  <w:pPr>
                    <w:adjustRightInd w:val="0"/>
                    <w:snapToGrid w:val="0"/>
                    <w:spacing w:line="276" w:lineRule="auto"/>
                    <w:jc w:val="center"/>
                    <w:rPr>
                      <w:rFonts w:ascii="Times New Roman" w:hAnsi="Times New Roman"/>
                      <w:color w:val="auto"/>
                      <w:kern w:val="2"/>
                      <w:sz w:val="21"/>
                      <w:szCs w:val="21"/>
                    </w:rPr>
                  </w:pPr>
                </w:p>
              </w:tc>
              <w:tc>
                <w:tcPr>
                  <w:tcW w:w="1859" w:type="pct"/>
                  <w:vMerge w:val="continue"/>
                  <w:vAlign w:val="center"/>
                </w:tcPr>
                <w:p>
                  <w:pPr>
                    <w:adjustRightInd w:val="0"/>
                    <w:snapToGrid w:val="0"/>
                    <w:spacing w:line="276" w:lineRule="auto"/>
                    <w:rPr>
                      <w:rFonts w:ascii="Times New Roman" w:hAnsi="Times New Roman"/>
                      <w:color w:val="auto"/>
                      <w:kern w:val="2"/>
                      <w:sz w:val="21"/>
                      <w:szCs w:val="21"/>
                    </w:rPr>
                  </w:pPr>
                </w:p>
              </w:tc>
            </w:tr>
          </w:tbl>
          <w:p>
            <w:pPr>
              <w:adjustRightInd w:val="0"/>
              <w:snapToGrid w:val="0"/>
              <w:spacing w:before="163" w:beforeLines="50" w:line="336" w:lineRule="auto"/>
              <w:ind w:firstLine="480" w:firstLineChars="200"/>
              <w:rPr>
                <w:rFonts w:ascii="Times New Roman" w:hAnsi="Times New Roman"/>
                <w:color w:val="auto"/>
                <w:kern w:val="2"/>
                <w:szCs w:val="20"/>
                <w:lang w:val="zh-CN"/>
              </w:rPr>
            </w:pPr>
            <w:r>
              <w:rPr>
                <w:rFonts w:ascii="Times New Roman" w:hAnsi="Times New Roman"/>
                <w:color w:val="auto"/>
                <w:kern w:val="2"/>
                <w:szCs w:val="20"/>
                <w:lang w:val="zh-CN"/>
              </w:rPr>
              <w:t>环境保护行政主管部门应加强对该项目的监督管理，监督各项环境保护措施落实。环境监察计划列于表</w:t>
            </w:r>
            <w:r>
              <w:rPr>
                <w:rFonts w:ascii="Times New Roman" w:hAnsi="Times New Roman"/>
                <w:color w:val="auto"/>
                <w:kern w:val="2"/>
                <w:szCs w:val="20"/>
              </w:rPr>
              <w:t>9-3</w:t>
            </w:r>
            <w:r>
              <w:rPr>
                <w:rFonts w:ascii="Times New Roman" w:hAnsi="Times New Roman"/>
                <w:color w:val="auto"/>
                <w:kern w:val="2"/>
                <w:szCs w:val="20"/>
                <w:lang w:val="zh-CN"/>
              </w:rPr>
              <w:t>。</w:t>
            </w:r>
          </w:p>
          <w:p>
            <w:pPr>
              <w:adjustRightInd w:val="0"/>
              <w:snapToGrid w:val="0"/>
              <w:spacing w:line="240" w:lineRule="atLeast"/>
              <w:jc w:val="center"/>
              <w:rPr>
                <w:rFonts w:ascii="Times New Roman" w:hAnsi="Times New Roman"/>
                <w:b/>
                <w:bCs/>
                <w:color w:val="auto"/>
                <w:kern w:val="2"/>
                <w:sz w:val="21"/>
                <w:szCs w:val="20"/>
              </w:rPr>
            </w:pPr>
            <w:r>
              <w:rPr>
                <w:rFonts w:ascii="Times New Roman" w:hAnsi="Times New Roman"/>
                <w:b/>
                <w:bCs/>
                <w:color w:val="auto"/>
                <w:kern w:val="2"/>
                <w:sz w:val="21"/>
                <w:szCs w:val="20"/>
              </w:rPr>
              <w:t>表9-3   环境监察计划一览表</w:t>
            </w:r>
          </w:p>
          <w:tbl>
            <w:tblPr>
              <w:tblStyle w:val="38"/>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6209"/>
              <w:gridCol w:w="690"/>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adjustRightInd w:val="0"/>
                    <w:snapToGrid w:val="0"/>
                    <w:spacing w:line="276" w:lineRule="auto"/>
                    <w:jc w:val="center"/>
                    <w:rPr>
                      <w:rFonts w:ascii="Times New Roman" w:hAnsi="Times New Roman"/>
                      <w:b/>
                      <w:color w:val="auto"/>
                      <w:kern w:val="2"/>
                      <w:sz w:val="21"/>
                      <w:szCs w:val="21"/>
                    </w:rPr>
                  </w:pPr>
                  <w:r>
                    <w:rPr>
                      <w:rFonts w:ascii="Times New Roman" w:hAnsi="Times New Roman"/>
                      <w:b/>
                      <w:color w:val="auto"/>
                      <w:kern w:val="2"/>
                      <w:sz w:val="21"/>
                      <w:szCs w:val="21"/>
                    </w:rPr>
                    <w:t>环境问题</w:t>
                  </w:r>
                </w:p>
              </w:tc>
              <w:tc>
                <w:tcPr>
                  <w:tcW w:w="6209" w:type="dxa"/>
                  <w:vAlign w:val="center"/>
                </w:tcPr>
                <w:p>
                  <w:pPr>
                    <w:adjustRightInd w:val="0"/>
                    <w:snapToGrid w:val="0"/>
                    <w:spacing w:line="276" w:lineRule="auto"/>
                    <w:jc w:val="center"/>
                    <w:rPr>
                      <w:rFonts w:ascii="Times New Roman" w:hAnsi="Times New Roman"/>
                      <w:b/>
                      <w:color w:val="auto"/>
                      <w:kern w:val="2"/>
                      <w:sz w:val="21"/>
                      <w:szCs w:val="21"/>
                    </w:rPr>
                  </w:pPr>
                  <w:r>
                    <w:rPr>
                      <w:rFonts w:ascii="Times New Roman" w:hAnsi="Times New Roman"/>
                      <w:b/>
                      <w:color w:val="auto"/>
                      <w:kern w:val="2"/>
                      <w:sz w:val="21"/>
                      <w:szCs w:val="21"/>
                    </w:rPr>
                    <w:t>环保措施要求</w:t>
                  </w:r>
                </w:p>
              </w:tc>
              <w:tc>
                <w:tcPr>
                  <w:tcW w:w="690" w:type="dxa"/>
                  <w:vAlign w:val="center"/>
                </w:tcPr>
                <w:p>
                  <w:pPr>
                    <w:adjustRightInd w:val="0"/>
                    <w:snapToGrid w:val="0"/>
                    <w:spacing w:line="276" w:lineRule="auto"/>
                    <w:jc w:val="center"/>
                    <w:rPr>
                      <w:rFonts w:ascii="Times New Roman" w:hAnsi="Times New Roman"/>
                      <w:b/>
                      <w:color w:val="auto"/>
                      <w:kern w:val="2"/>
                      <w:sz w:val="21"/>
                      <w:szCs w:val="21"/>
                    </w:rPr>
                  </w:pPr>
                  <w:r>
                    <w:rPr>
                      <w:rFonts w:ascii="Times New Roman" w:hAnsi="Times New Roman"/>
                      <w:b/>
                      <w:color w:val="auto"/>
                      <w:kern w:val="2"/>
                      <w:sz w:val="21"/>
                      <w:szCs w:val="21"/>
                    </w:rPr>
                    <w:t>执行单位</w:t>
                  </w:r>
                </w:p>
              </w:tc>
              <w:tc>
                <w:tcPr>
                  <w:tcW w:w="913" w:type="dxa"/>
                  <w:vAlign w:val="center"/>
                </w:tcPr>
                <w:p>
                  <w:pPr>
                    <w:adjustRightInd w:val="0"/>
                    <w:snapToGrid w:val="0"/>
                    <w:spacing w:line="276" w:lineRule="auto"/>
                    <w:jc w:val="center"/>
                    <w:rPr>
                      <w:rFonts w:ascii="Times New Roman" w:hAnsi="Times New Roman"/>
                      <w:b/>
                      <w:color w:val="auto"/>
                      <w:kern w:val="2"/>
                      <w:sz w:val="21"/>
                      <w:szCs w:val="21"/>
                    </w:rPr>
                  </w:pPr>
                  <w:r>
                    <w:rPr>
                      <w:rFonts w:ascii="Times New Roman" w:hAnsi="Times New Roman"/>
                      <w:b/>
                      <w:color w:val="auto"/>
                      <w:kern w:val="2"/>
                      <w:sz w:val="21"/>
                      <w:szCs w:val="21"/>
                    </w:rPr>
                    <w:t>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噪声</w:t>
                  </w:r>
                </w:p>
              </w:tc>
              <w:tc>
                <w:tcPr>
                  <w:tcW w:w="6209" w:type="dxa"/>
                  <w:vAlign w:val="center"/>
                </w:tcPr>
                <w:p>
                  <w:pPr>
                    <w:adjustRightInd w:val="0"/>
                    <w:snapToGrid w:val="0"/>
                    <w:spacing w:line="276" w:lineRule="auto"/>
                    <w:rPr>
                      <w:rFonts w:ascii="Times New Roman" w:hAnsi="Times New Roman"/>
                      <w:color w:val="auto"/>
                      <w:kern w:val="2"/>
                      <w:sz w:val="21"/>
                      <w:szCs w:val="21"/>
                    </w:rPr>
                  </w:pPr>
                  <w:r>
                    <w:rPr>
                      <w:rFonts w:hint="eastAsia" w:ascii="Times New Roman" w:hAnsi="Times New Roman"/>
                      <w:color w:val="auto"/>
                      <w:kern w:val="2"/>
                      <w:sz w:val="21"/>
                      <w:szCs w:val="21"/>
                    </w:rPr>
                    <w:t>鼓风机布置于室内，进出口</w:t>
                  </w:r>
                  <w:r>
                    <w:rPr>
                      <w:rFonts w:ascii="Times New Roman" w:hAnsi="Times New Roman"/>
                      <w:color w:val="auto"/>
                      <w:kern w:val="2"/>
                      <w:sz w:val="21"/>
                      <w:szCs w:val="21"/>
                    </w:rPr>
                    <w:t>加装</w:t>
                  </w:r>
                  <w:r>
                    <w:rPr>
                      <w:rFonts w:hint="eastAsia" w:ascii="Times New Roman" w:hAnsi="Times New Roman"/>
                      <w:color w:val="auto"/>
                      <w:kern w:val="2"/>
                      <w:sz w:val="21"/>
                      <w:szCs w:val="21"/>
                    </w:rPr>
                    <w:t>消声器</w:t>
                  </w:r>
                </w:p>
              </w:tc>
              <w:tc>
                <w:tcPr>
                  <w:tcW w:w="690" w:type="dxa"/>
                  <w:vMerge w:val="restart"/>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建设单位</w:t>
                  </w:r>
                </w:p>
              </w:tc>
              <w:tc>
                <w:tcPr>
                  <w:tcW w:w="913" w:type="dxa"/>
                  <w:vMerge w:val="restart"/>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环境监察部门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固废</w:t>
                  </w:r>
                </w:p>
              </w:tc>
              <w:tc>
                <w:tcPr>
                  <w:tcW w:w="6209" w:type="dxa"/>
                  <w:vAlign w:val="center"/>
                </w:tcPr>
                <w:p>
                  <w:pPr>
                    <w:adjustRightInd w:val="0"/>
                    <w:snapToGrid w:val="0"/>
                    <w:spacing w:line="276" w:lineRule="auto"/>
                    <w:rPr>
                      <w:rFonts w:ascii="Times New Roman" w:hAnsi="Times New Roman"/>
                      <w:color w:val="auto"/>
                      <w:kern w:val="2"/>
                      <w:sz w:val="21"/>
                      <w:szCs w:val="21"/>
                    </w:rPr>
                  </w:pPr>
                  <w:r>
                    <w:rPr>
                      <w:rFonts w:hint="eastAsia" w:ascii="Times New Roman" w:hAnsi="Times New Roman"/>
                      <w:color w:val="auto"/>
                      <w:kern w:val="2"/>
                      <w:sz w:val="21"/>
                      <w:szCs w:val="21"/>
                    </w:rPr>
                    <w:t>部分炉渣和全部收尘灰委托环卫部门清运处置</w:t>
                  </w:r>
                  <w:r>
                    <w:rPr>
                      <w:rFonts w:ascii="Times New Roman" w:hAnsi="Times New Roman"/>
                      <w:color w:val="auto"/>
                      <w:kern w:val="2"/>
                      <w:sz w:val="21"/>
                      <w:szCs w:val="21"/>
                    </w:rPr>
                    <w:t>，签订委托处置协议</w:t>
                  </w:r>
                </w:p>
              </w:tc>
              <w:tc>
                <w:tcPr>
                  <w:tcW w:w="690" w:type="dxa"/>
                  <w:vMerge w:val="continue"/>
                  <w:vAlign w:val="center"/>
                </w:tcPr>
                <w:p>
                  <w:pPr>
                    <w:adjustRightInd w:val="0"/>
                    <w:snapToGrid w:val="0"/>
                    <w:spacing w:line="276" w:lineRule="auto"/>
                    <w:jc w:val="center"/>
                    <w:rPr>
                      <w:rFonts w:ascii="Times New Roman" w:hAnsi="Times New Roman"/>
                      <w:color w:val="auto"/>
                      <w:kern w:val="2"/>
                      <w:sz w:val="21"/>
                      <w:szCs w:val="21"/>
                    </w:rPr>
                  </w:pPr>
                </w:p>
              </w:tc>
              <w:tc>
                <w:tcPr>
                  <w:tcW w:w="913" w:type="dxa"/>
                  <w:vMerge w:val="continue"/>
                  <w:vAlign w:val="center"/>
                </w:tcPr>
                <w:p>
                  <w:pPr>
                    <w:adjustRightInd w:val="0"/>
                    <w:snapToGrid w:val="0"/>
                    <w:spacing w:line="276" w:lineRule="auto"/>
                    <w:jc w:val="center"/>
                    <w:rPr>
                      <w:rFonts w:ascii="Times New Roman" w:hAnsi="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adjustRightInd w:val="0"/>
                    <w:snapToGrid w:val="0"/>
                    <w:spacing w:line="276" w:lineRule="auto"/>
                    <w:jc w:val="center"/>
                    <w:rPr>
                      <w:rFonts w:ascii="Times New Roman" w:hAnsi="Times New Roman"/>
                      <w:color w:val="auto"/>
                      <w:kern w:val="2"/>
                      <w:sz w:val="21"/>
                      <w:szCs w:val="21"/>
                    </w:rPr>
                  </w:pPr>
                  <w:r>
                    <w:rPr>
                      <w:rFonts w:ascii="Times New Roman" w:hAnsi="Times New Roman"/>
                      <w:color w:val="auto"/>
                      <w:kern w:val="2"/>
                      <w:sz w:val="21"/>
                      <w:szCs w:val="21"/>
                    </w:rPr>
                    <w:t>废气</w:t>
                  </w:r>
                </w:p>
              </w:tc>
              <w:tc>
                <w:tcPr>
                  <w:tcW w:w="6209" w:type="dxa"/>
                  <w:vAlign w:val="center"/>
                </w:tcPr>
                <w:p>
                  <w:pPr>
                    <w:adjustRightInd w:val="0"/>
                    <w:snapToGrid w:val="0"/>
                    <w:spacing w:line="276" w:lineRule="auto"/>
                    <w:rPr>
                      <w:rFonts w:ascii="Times New Roman" w:hAnsi="Times New Roman"/>
                      <w:color w:val="auto"/>
                      <w:kern w:val="2"/>
                      <w:sz w:val="21"/>
                      <w:szCs w:val="21"/>
                    </w:rPr>
                  </w:pPr>
                  <w:r>
                    <w:rPr>
                      <w:rFonts w:hint="eastAsia" w:ascii="Times New Roman" w:hAnsi="Times New Roman"/>
                      <w:color w:val="auto"/>
                      <w:kern w:val="2"/>
                      <w:sz w:val="21"/>
                      <w:szCs w:val="21"/>
                    </w:rPr>
                    <w:t>每台锅炉配套安装一套布袋除尘器，除尘效率不低于9</w:t>
                  </w:r>
                  <w:r>
                    <w:rPr>
                      <w:rFonts w:ascii="Times New Roman" w:hAnsi="Times New Roman"/>
                      <w:color w:val="auto"/>
                      <w:kern w:val="2"/>
                      <w:sz w:val="21"/>
                      <w:szCs w:val="21"/>
                    </w:rPr>
                    <w:t>9%</w:t>
                  </w:r>
                </w:p>
              </w:tc>
              <w:tc>
                <w:tcPr>
                  <w:tcW w:w="690" w:type="dxa"/>
                  <w:vMerge w:val="continue"/>
                  <w:vAlign w:val="center"/>
                </w:tcPr>
                <w:p>
                  <w:pPr>
                    <w:adjustRightInd w:val="0"/>
                    <w:snapToGrid w:val="0"/>
                    <w:spacing w:line="276" w:lineRule="auto"/>
                    <w:jc w:val="center"/>
                    <w:rPr>
                      <w:rFonts w:ascii="Times New Roman" w:hAnsi="Times New Roman"/>
                      <w:color w:val="auto"/>
                      <w:kern w:val="2"/>
                      <w:sz w:val="21"/>
                      <w:szCs w:val="21"/>
                    </w:rPr>
                  </w:pPr>
                </w:p>
              </w:tc>
              <w:tc>
                <w:tcPr>
                  <w:tcW w:w="913" w:type="dxa"/>
                  <w:vMerge w:val="continue"/>
                  <w:vAlign w:val="center"/>
                </w:tcPr>
                <w:p>
                  <w:pPr>
                    <w:adjustRightInd w:val="0"/>
                    <w:snapToGrid w:val="0"/>
                    <w:spacing w:line="276" w:lineRule="auto"/>
                    <w:jc w:val="center"/>
                    <w:rPr>
                      <w:rFonts w:ascii="Times New Roman" w:hAnsi="Times New Roman"/>
                      <w:color w:val="auto"/>
                      <w:kern w:val="2"/>
                      <w:sz w:val="21"/>
                      <w:szCs w:val="21"/>
                    </w:rPr>
                  </w:pPr>
                </w:p>
              </w:tc>
            </w:tr>
          </w:tbl>
          <w:p>
            <w:pPr>
              <w:adjustRightInd w:val="0"/>
              <w:snapToGrid w:val="0"/>
              <w:spacing w:before="163" w:beforeLines="50" w:line="360" w:lineRule="auto"/>
              <w:rPr>
                <w:rFonts w:ascii="Times New Roman" w:hAnsi="Times New Roman"/>
                <w:b/>
                <w:bCs/>
                <w:color w:val="auto"/>
                <w:szCs w:val="22"/>
              </w:rPr>
            </w:pPr>
            <w:r>
              <w:rPr>
                <w:rFonts w:hint="eastAsia" w:ascii="Times New Roman" w:hAnsi="Times New Roman"/>
                <w:b/>
                <w:bCs/>
                <w:color w:val="auto"/>
                <w:szCs w:val="22"/>
              </w:rPr>
              <w:t>3、排污口规范化管理</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根据国家环保部《排污口规范化整治技术要求(试行)》以及《云南省排污口管理办法》的技术要求，企业所有废气排放口，必须按照“符合污染物集中排放，便于采集样品，便于计量监测，便于日常现场监督检查的要求”的原则进行规范化要求，并设置环境保护图形标志牌，排污口的规范化符合当地环境监理部门的有关要求。</w:t>
            </w:r>
          </w:p>
          <w:p>
            <w:pPr>
              <w:adjustRightInd w:val="0"/>
              <w:snapToGrid w:val="0"/>
              <w:spacing w:line="360" w:lineRule="auto"/>
              <w:rPr>
                <w:rFonts w:ascii="Times New Roman" w:hAnsi="Times New Roman"/>
                <w:b/>
                <w:bCs/>
                <w:color w:val="auto"/>
                <w:szCs w:val="22"/>
              </w:rPr>
            </w:pPr>
            <w:r>
              <w:rPr>
                <w:rFonts w:ascii="Times New Roman" w:hAnsi="Times New Roman"/>
                <w:b/>
                <w:bCs/>
                <w:color w:val="auto"/>
                <w:szCs w:val="22"/>
              </w:rPr>
              <w:t>四、竣工环境保护验收</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根据《中华人民共和国环境影响评价法》和《建设项目竣工环境保护验收暂行办法》（国环环评[2017]4号）的有关规定要求，其中第四条规定建设单位是建设项目竣工环境保护验收的责任主体，应当按照本办法规定的程序和标准，组织对配套建设的环境保护设施进行验收。项目在运营期间必须全面落实各项环保对策及污染防治措施，严格执行污染防治设施和环境保护措施同时设计、同时施工、同时投入使用的环境保护“三同时”制度。</w:t>
            </w:r>
            <w:r>
              <w:rPr>
                <w:rFonts w:ascii="Times New Roman" w:hAnsi="Times New Roman"/>
                <w:color w:val="auto"/>
              </w:rPr>
              <w:t>本项目环保竣工验收一览表详见表9-4。</w:t>
            </w:r>
          </w:p>
          <w:p>
            <w:pPr>
              <w:adjustRightInd w:val="0"/>
              <w:snapToGrid w:val="0"/>
              <w:spacing w:line="240" w:lineRule="atLeast"/>
              <w:jc w:val="center"/>
              <w:rPr>
                <w:rFonts w:ascii="Times New Roman" w:hAnsi="Times New Roman"/>
                <w:b/>
                <w:bCs/>
                <w:color w:val="auto"/>
                <w:kern w:val="2"/>
                <w:sz w:val="21"/>
                <w:szCs w:val="20"/>
              </w:rPr>
            </w:pPr>
            <w:r>
              <w:rPr>
                <w:rFonts w:ascii="Times New Roman" w:hAnsi="Times New Roman"/>
                <w:b/>
                <w:bCs/>
                <w:color w:val="auto"/>
                <w:kern w:val="2"/>
                <w:sz w:val="21"/>
                <w:szCs w:val="20"/>
              </w:rPr>
              <w:t>表9-4   “三同时”环保竣工验收一览表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08"/>
              <w:gridCol w:w="981"/>
              <w:gridCol w:w="3353"/>
              <w:gridCol w:w="3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0" w:hRule="atLeast"/>
                <w:jc w:val="center"/>
              </w:trPr>
              <w:tc>
                <w:tcPr>
                  <w:tcW w:w="181" w:type="pct"/>
                  <w:vAlign w:val="center"/>
                </w:tcPr>
                <w:p>
                  <w:pPr>
                    <w:adjustRightInd w:val="0"/>
                    <w:snapToGrid w:val="0"/>
                    <w:jc w:val="center"/>
                    <w:rPr>
                      <w:rFonts w:ascii="Times New Roman" w:hAnsi="Times New Roman"/>
                      <w:b/>
                      <w:color w:val="auto"/>
                      <w:sz w:val="21"/>
                      <w:szCs w:val="21"/>
                    </w:rPr>
                  </w:pPr>
                  <w:r>
                    <w:rPr>
                      <w:rFonts w:ascii="Times New Roman" w:hAnsi="Times New Roman"/>
                      <w:b/>
                      <w:color w:val="auto"/>
                      <w:sz w:val="21"/>
                      <w:szCs w:val="21"/>
                    </w:rPr>
                    <w:t>项目</w:t>
                  </w:r>
                </w:p>
              </w:tc>
              <w:tc>
                <w:tcPr>
                  <w:tcW w:w="576" w:type="pct"/>
                  <w:vAlign w:val="center"/>
                </w:tcPr>
                <w:p>
                  <w:pPr>
                    <w:adjustRightInd w:val="0"/>
                    <w:snapToGrid w:val="0"/>
                    <w:jc w:val="center"/>
                    <w:rPr>
                      <w:rFonts w:ascii="Times New Roman" w:hAnsi="Times New Roman"/>
                      <w:b/>
                      <w:color w:val="auto"/>
                      <w:sz w:val="21"/>
                      <w:szCs w:val="21"/>
                    </w:rPr>
                  </w:pPr>
                  <w:r>
                    <w:rPr>
                      <w:rFonts w:ascii="Times New Roman" w:hAnsi="Times New Roman"/>
                      <w:b/>
                      <w:color w:val="auto"/>
                      <w:sz w:val="21"/>
                      <w:szCs w:val="21"/>
                    </w:rPr>
                    <w:t>验收对象</w:t>
                  </w:r>
                </w:p>
              </w:tc>
              <w:tc>
                <w:tcPr>
                  <w:tcW w:w="1968" w:type="pct"/>
                  <w:vAlign w:val="center"/>
                </w:tcPr>
                <w:p>
                  <w:pPr>
                    <w:adjustRightInd w:val="0"/>
                    <w:snapToGrid w:val="0"/>
                    <w:jc w:val="center"/>
                    <w:rPr>
                      <w:rFonts w:ascii="Times New Roman" w:hAnsi="Times New Roman"/>
                      <w:b/>
                      <w:color w:val="auto"/>
                      <w:sz w:val="21"/>
                      <w:szCs w:val="21"/>
                    </w:rPr>
                  </w:pPr>
                  <w:r>
                    <w:rPr>
                      <w:rFonts w:ascii="Times New Roman" w:hAnsi="Times New Roman"/>
                      <w:b/>
                      <w:color w:val="auto"/>
                      <w:sz w:val="21"/>
                      <w:szCs w:val="21"/>
                    </w:rPr>
                    <w:t>验收内容</w:t>
                  </w:r>
                </w:p>
              </w:tc>
              <w:tc>
                <w:tcPr>
                  <w:tcW w:w="2275" w:type="pct"/>
                  <w:vAlign w:val="center"/>
                </w:tcPr>
                <w:p>
                  <w:pPr>
                    <w:adjustRightInd w:val="0"/>
                    <w:snapToGrid w:val="0"/>
                    <w:jc w:val="center"/>
                    <w:rPr>
                      <w:rFonts w:ascii="Times New Roman" w:hAnsi="Times New Roman"/>
                      <w:b/>
                      <w:color w:val="auto"/>
                      <w:sz w:val="21"/>
                      <w:szCs w:val="21"/>
                    </w:rPr>
                  </w:pPr>
                  <w:r>
                    <w:rPr>
                      <w:rFonts w:ascii="Times New Roman" w:hAnsi="Times New Roman"/>
                      <w:b/>
                      <w:color w:val="auto"/>
                      <w:sz w:val="21"/>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0" w:hRule="atLeast"/>
                <w:jc w:val="center"/>
              </w:trPr>
              <w:tc>
                <w:tcPr>
                  <w:tcW w:w="181" w:type="pct"/>
                  <w:vMerge w:val="restart"/>
                  <w:vAlign w:val="center"/>
                </w:tcPr>
                <w:p>
                  <w:pPr>
                    <w:adjustRightInd w:val="0"/>
                    <w:snapToGrid w:val="0"/>
                    <w:jc w:val="center"/>
                    <w:rPr>
                      <w:rFonts w:ascii="Times New Roman" w:hAnsi="Times New Roman"/>
                      <w:bCs/>
                      <w:color w:val="auto"/>
                      <w:sz w:val="21"/>
                      <w:szCs w:val="21"/>
                    </w:rPr>
                  </w:pPr>
                  <w:r>
                    <w:rPr>
                      <w:rFonts w:ascii="Times New Roman" w:hAnsi="Times New Roman"/>
                      <w:bCs/>
                      <w:color w:val="auto"/>
                      <w:sz w:val="21"/>
                      <w:szCs w:val="21"/>
                    </w:rPr>
                    <w:t>废气</w:t>
                  </w:r>
                </w:p>
              </w:tc>
              <w:tc>
                <w:tcPr>
                  <w:tcW w:w="576" w:type="pct"/>
                  <w:vAlign w:val="center"/>
                </w:tcPr>
                <w:p>
                  <w:pPr>
                    <w:adjustRightInd w:val="0"/>
                    <w:snapToGrid w:val="0"/>
                    <w:jc w:val="center"/>
                    <w:rPr>
                      <w:rFonts w:ascii="Times New Roman" w:hAnsi="Times New Roman"/>
                      <w:bCs/>
                      <w:color w:val="auto"/>
                      <w:sz w:val="21"/>
                      <w:szCs w:val="21"/>
                    </w:rPr>
                  </w:pPr>
                  <w:r>
                    <w:rPr>
                      <w:rFonts w:hint="eastAsia" w:ascii="Times New Roman" w:hAnsi="Times New Roman"/>
                      <w:bCs/>
                      <w:color w:val="auto"/>
                      <w:sz w:val="21"/>
                      <w:szCs w:val="21"/>
                    </w:rPr>
                    <w:t>锅炉烟气</w:t>
                  </w:r>
                </w:p>
              </w:tc>
              <w:tc>
                <w:tcPr>
                  <w:tcW w:w="1968" w:type="pct"/>
                  <w:vAlign w:val="center"/>
                </w:tcPr>
                <w:p>
                  <w:pPr>
                    <w:adjustRightInd w:val="0"/>
                    <w:snapToGrid w:val="0"/>
                    <w:jc w:val="center"/>
                    <w:rPr>
                      <w:rFonts w:ascii="Times New Roman" w:hAnsi="Times New Roman"/>
                      <w:bCs/>
                      <w:color w:val="auto"/>
                      <w:sz w:val="21"/>
                      <w:szCs w:val="21"/>
                    </w:rPr>
                  </w:pPr>
                  <w:r>
                    <w:rPr>
                      <w:rFonts w:ascii="Times New Roman" w:hAnsi="Times New Roman"/>
                      <w:color w:val="auto"/>
                      <w:sz w:val="21"/>
                      <w:szCs w:val="21"/>
                      <w:lang w:val="zh-CN"/>
                    </w:rPr>
                    <w:t>每台锅炉配套安装一套布袋除尘器，</w:t>
                  </w:r>
                  <w:r>
                    <w:rPr>
                      <w:rFonts w:hint="eastAsia" w:ascii="Times New Roman" w:hAnsi="Times New Roman"/>
                      <w:color w:val="auto"/>
                      <w:sz w:val="21"/>
                      <w:szCs w:val="21"/>
                      <w:lang w:val="zh-CN"/>
                    </w:rPr>
                    <w:t>除尘效率不低于9</w:t>
                  </w:r>
                  <w:r>
                    <w:rPr>
                      <w:rFonts w:ascii="Times New Roman" w:hAnsi="Times New Roman"/>
                      <w:color w:val="auto"/>
                      <w:sz w:val="21"/>
                      <w:szCs w:val="21"/>
                      <w:lang w:val="zh-CN"/>
                    </w:rPr>
                    <w:t>9%</w:t>
                  </w:r>
                  <w:r>
                    <w:rPr>
                      <w:rFonts w:hint="eastAsia" w:ascii="Times New Roman" w:hAnsi="Times New Roman"/>
                      <w:color w:val="auto"/>
                      <w:sz w:val="21"/>
                      <w:szCs w:val="21"/>
                      <w:lang w:val="zh-CN"/>
                    </w:rPr>
                    <w:t>，共2套。</w:t>
                  </w:r>
                  <w:r>
                    <w:rPr>
                      <w:rFonts w:ascii="Times New Roman" w:hAnsi="Times New Roman"/>
                      <w:color w:val="auto"/>
                      <w:sz w:val="21"/>
                      <w:szCs w:val="21"/>
                    </w:rPr>
                    <w:t>锅炉烟气</w:t>
                  </w:r>
                  <w:r>
                    <w:rPr>
                      <w:rFonts w:ascii="Times New Roman" w:hAnsi="Times New Roman"/>
                      <w:color w:val="auto"/>
                      <w:sz w:val="21"/>
                      <w:szCs w:val="21"/>
                      <w:lang w:val="zh-CN"/>
                    </w:rPr>
                    <w:t>经布袋除尘器处理后经现有</w:t>
                  </w:r>
                  <w:r>
                    <w:rPr>
                      <w:rFonts w:ascii="Times New Roman" w:hAnsi="Times New Roman"/>
                      <w:color w:val="auto"/>
                      <w:sz w:val="21"/>
                      <w:szCs w:val="21"/>
                    </w:rPr>
                    <w:t>1根45m高</w:t>
                  </w:r>
                  <w:r>
                    <w:rPr>
                      <w:rFonts w:hint="eastAsia" w:ascii="Times New Roman" w:hAnsi="Times New Roman"/>
                      <w:color w:val="auto"/>
                      <w:sz w:val="21"/>
                      <w:szCs w:val="21"/>
                    </w:rPr>
                    <w:t>，出口内径0</w:t>
                  </w:r>
                  <w:r>
                    <w:rPr>
                      <w:rFonts w:ascii="Times New Roman" w:hAnsi="Times New Roman"/>
                      <w:color w:val="auto"/>
                      <w:sz w:val="21"/>
                      <w:szCs w:val="21"/>
                    </w:rPr>
                    <w:t>.8m</w:t>
                  </w:r>
                  <w:r>
                    <w:rPr>
                      <w:rFonts w:hint="eastAsia" w:ascii="Times New Roman" w:hAnsi="Times New Roman"/>
                      <w:color w:val="auto"/>
                      <w:sz w:val="21"/>
                      <w:szCs w:val="21"/>
                    </w:rPr>
                    <w:t>的</w:t>
                  </w:r>
                  <w:r>
                    <w:rPr>
                      <w:rFonts w:ascii="Times New Roman" w:hAnsi="Times New Roman"/>
                      <w:color w:val="auto"/>
                      <w:sz w:val="21"/>
                      <w:szCs w:val="21"/>
                    </w:rPr>
                    <w:t>排气筒</w:t>
                  </w:r>
                  <w:r>
                    <w:rPr>
                      <w:rFonts w:ascii="Times New Roman" w:hAnsi="Times New Roman"/>
                      <w:color w:val="auto"/>
                      <w:sz w:val="21"/>
                      <w:szCs w:val="21"/>
                      <w:lang w:val="zh-CN"/>
                    </w:rPr>
                    <w:t>排放</w:t>
                  </w:r>
                </w:p>
              </w:tc>
              <w:tc>
                <w:tcPr>
                  <w:tcW w:w="2275" w:type="pct"/>
                  <w:vAlign w:val="center"/>
                </w:tcPr>
                <w:p>
                  <w:pPr>
                    <w:adjustRightInd w:val="0"/>
                    <w:snapToGrid w:val="0"/>
                    <w:jc w:val="center"/>
                    <w:rPr>
                      <w:rFonts w:ascii="Times New Roman" w:hAnsi="Times New Roman"/>
                      <w:bCs/>
                      <w:color w:val="auto"/>
                      <w:sz w:val="21"/>
                      <w:szCs w:val="21"/>
                    </w:rPr>
                  </w:pPr>
                  <w:r>
                    <w:rPr>
                      <w:rFonts w:ascii="Times New Roman" w:hAnsi="Times New Roman"/>
                      <w:color w:val="auto"/>
                      <w:sz w:val="21"/>
                      <w:szCs w:val="21"/>
                    </w:rPr>
                    <w:t>《锅炉大气污染物排放标准》（GB13271-2014）中的表2中燃煤锅炉排放标准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0" w:hRule="atLeast"/>
                <w:jc w:val="center"/>
              </w:trPr>
              <w:tc>
                <w:tcPr>
                  <w:tcW w:w="181" w:type="pct"/>
                  <w:vMerge w:val="continue"/>
                  <w:vAlign w:val="center"/>
                </w:tcPr>
                <w:p>
                  <w:pPr>
                    <w:adjustRightInd w:val="0"/>
                    <w:snapToGrid w:val="0"/>
                    <w:jc w:val="center"/>
                    <w:rPr>
                      <w:rFonts w:ascii="Times New Roman" w:hAnsi="Times New Roman"/>
                      <w:bCs/>
                      <w:color w:val="auto"/>
                      <w:sz w:val="21"/>
                      <w:szCs w:val="21"/>
                    </w:rPr>
                  </w:pPr>
                </w:p>
              </w:tc>
              <w:tc>
                <w:tcPr>
                  <w:tcW w:w="576"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无组织粉尘</w:t>
                  </w:r>
                </w:p>
              </w:tc>
              <w:tc>
                <w:tcPr>
                  <w:tcW w:w="1968"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生物质燃料棚除进出口外的区域进行封闭改造</w:t>
                  </w:r>
                  <w:r>
                    <w:rPr>
                      <w:rFonts w:hint="eastAsia" w:ascii="Times New Roman" w:hAnsi="Times New Roman"/>
                      <w:color w:val="auto"/>
                      <w:sz w:val="21"/>
                      <w:szCs w:val="21"/>
                    </w:rPr>
                    <w:t>，定期洒水降尘</w:t>
                  </w:r>
                </w:p>
              </w:tc>
              <w:tc>
                <w:tcPr>
                  <w:tcW w:w="2275"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《大气污染物综合排放标准》（GB16297-1996）表2中无组织排放监控浓度限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0" w:hRule="atLeast"/>
                <w:jc w:val="center"/>
              </w:trPr>
              <w:tc>
                <w:tcPr>
                  <w:tcW w:w="181" w:type="pct"/>
                  <w:vAlign w:val="center"/>
                </w:tcPr>
                <w:p>
                  <w:pPr>
                    <w:adjustRightInd w:val="0"/>
                    <w:snapToGrid w:val="0"/>
                    <w:jc w:val="center"/>
                    <w:rPr>
                      <w:rFonts w:ascii="Times New Roman" w:hAnsi="Times New Roman"/>
                      <w:bCs/>
                      <w:color w:val="auto"/>
                      <w:sz w:val="21"/>
                      <w:szCs w:val="21"/>
                    </w:rPr>
                  </w:pPr>
                  <w:r>
                    <w:rPr>
                      <w:rFonts w:ascii="Times New Roman" w:hAnsi="Times New Roman"/>
                      <w:bCs/>
                      <w:color w:val="auto"/>
                      <w:sz w:val="21"/>
                      <w:szCs w:val="21"/>
                    </w:rPr>
                    <w:t>噪声</w:t>
                  </w:r>
                </w:p>
              </w:tc>
              <w:tc>
                <w:tcPr>
                  <w:tcW w:w="576" w:type="pct"/>
                  <w:vAlign w:val="center"/>
                </w:tcPr>
                <w:p>
                  <w:pPr>
                    <w:adjustRightInd w:val="0"/>
                    <w:snapToGrid w:val="0"/>
                    <w:jc w:val="center"/>
                    <w:rPr>
                      <w:rFonts w:ascii="Times New Roman" w:hAnsi="Times New Roman"/>
                      <w:bCs/>
                      <w:color w:val="auto"/>
                      <w:sz w:val="21"/>
                      <w:szCs w:val="21"/>
                    </w:rPr>
                  </w:pPr>
                  <w:r>
                    <w:rPr>
                      <w:rFonts w:ascii="Times New Roman" w:hAnsi="Times New Roman"/>
                      <w:bCs/>
                      <w:color w:val="auto"/>
                      <w:sz w:val="21"/>
                      <w:szCs w:val="21"/>
                    </w:rPr>
                    <w:t>噪声</w:t>
                  </w:r>
                </w:p>
              </w:tc>
              <w:tc>
                <w:tcPr>
                  <w:tcW w:w="1968" w:type="pct"/>
                  <w:vAlign w:val="center"/>
                </w:tcPr>
                <w:p>
                  <w:pPr>
                    <w:adjustRightInd w:val="0"/>
                    <w:snapToGrid w:val="0"/>
                    <w:jc w:val="center"/>
                    <w:rPr>
                      <w:rFonts w:ascii="Times New Roman" w:hAnsi="Times New Roman"/>
                      <w:bCs/>
                      <w:color w:val="auto"/>
                      <w:sz w:val="21"/>
                      <w:szCs w:val="21"/>
                    </w:rPr>
                  </w:pPr>
                  <w:r>
                    <w:rPr>
                      <w:rFonts w:ascii="Times New Roman" w:hAnsi="Times New Roman"/>
                      <w:color w:val="auto"/>
                      <w:sz w:val="21"/>
                      <w:szCs w:val="21"/>
                    </w:rPr>
                    <w:t>鼓风机</w:t>
                  </w:r>
                  <w:r>
                    <w:rPr>
                      <w:rFonts w:hint="eastAsia" w:ascii="Times New Roman" w:hAnsi="Times New Roman"/>
                      <w:color w:val="auto"/>
                      <w:sz w:val="21"/>
                      <w:szCs w:val="21"/>
                    </w:rPr>
                    <w:t>布置于室内，</w:t>
                  </w:r>
                  <w:r>
                    <w:rPr>
                      <w:rFonts w:ascii="Times New Roman" w:hAnsi="Times New Roman"/>
                      <w:color w:val="auto"/>
                      <w:sz w:val="21"/>
                      <w:szCs w:val="21"/>
                    </w:rPr>
                    <w:t>进出气口安装消声器</w:t>
                  </w:r>
                </w:p>
              </w:tc>
              <w:tc>
                <w:tcPr>
                  <w:tcW w:w="2275" w:type="pct"/>
                  <w:vAlign w:val="center"/>
                </w:tcPr>
                <w:p>
                  <w:pPr>
                    <w:adjustRightInd w:val="0"/>
                    <w:snapToGrid w:val="0"/>
                    <w:jc w:val="center"/>
                    <w:rPr>
                      <w:rFonts w:ascii="Times New Roman" w:hAnsi="Times New Roman"/>
                      <w:bCs/>
                      <w:color w:val="auto"/>
                      <w:sz w:val="21"/>
                      <w:szCs w:val="21"/>
                    </w:rPr>
                  </w:pPr>
                  <w:r>
                    <w:rPr>
                      <w:rFonts w:hint="eastAsia" w:ascii="Times New Roman" w:hAnsi="Times New Roman"/>
                      <w:color w:val="auto"/>
                      <w:sz w:val="21"/>
                      <w:szCs w:val="21"/>
                    </w:rPr>
                    <w:t>东、南厂界达到</w:t>
                  </w:r>
                  <w:r>
                    <w:rPr>
                      <w:rFonts w:ascii="Times New Roman" w:hAnsi="Times New Roman"/>
                      <w:color w:val="auto"/>
                      <w:sz w:val="21"/>
                      <w:szCs w:val="21"/>
                    </w:rPr>
                    <w:t>GB12348-2008《工业企业厂界环境噪声排放标准》2类标准</w:t>
                  </w:r>
                  <w:r>
                    <w:rPr>
                      <w:rFonts w:hint="eastAsia" w:ascii="Times New Roman" w:hAnsi="Times New Roman"/>
                      <w:color w:val="auto"/>
                      <w:sz w:val="21"/>
                      <w:szCs w:val="21"/>
                    </w:rPr>
                    <w:t>要求，北、西厂界达到</w:t>
                  </w:r>
                  <w:r>
                    <w:rPr>
                      <w:rFonts w:ascii="Times New Roman" w:hAnsi="Times New Roman"/>
                      <w:color w:val="auto"/>
                      <w:sz w:val="21"/>
                      <w:szCs w:val="21"/>
                    </w:rPr>
                    <w:t>GB12348-2008《工业企业厂界环境噪声排放标准》4a类标准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0" w:hRule="atLeast"/>
                <w:jc w:val="center"/>
              </w:trPr>
              <w:tc>
                <w:tcPr>
                  <w:tcW w:w="181" w:type="pct"/>
                  <w:vAlign w:val="center"/>
                </w:tcPr>
                <w:p>
                  <w:pPr>
                    <w:adjustRightInd w:val="0"/>
                    <w:snapToGrid w:val="0"/>
                    <w:jc w:val="center"/>
                    <w:rPr>
                      <w:rFonts w:ascii="Times New Roman" w:hAnsi="Times New Roman"/>
                      <w:bCs/>
                      <w:color w:val="auto"/>
                      <w:sz w:val="21"/>
                      <w:szCs w:val="21"/>
                    </w:rPr>
                  </w:pPr>
                  <w:r>
                    <w:rPr>
                      <w:rFonts w:ascii="Times New Roman" w:hAnsi="Times New Roman"/>
                      <w:bCs/>
                      <w:color w:val="auto"/>
                      <w:sz w:val="21"/>
                      <w:szCs w:val="21"/>
                    </w:rPr>
                    <w:t>固废</w:t>
                  </w:r>
                </w:p>
              </w:tc>
              <w:tc>
                <w:tcPr>
                  <w:tcW w:w="576" w:type="pct"/>
                  <w:vAlign w:val="center"/>
                </w:tcPr>
                <w:p>
                  <w:pPr>
                    <w:adjustRightInd w:val="0"/>
                    <w:snapToGrid w:val="0"/>
                    <w:jc w:val="center"/>
                    <w:rPr>
                      <w:rFonts w:ascii="Times New Roman" w:hAnsi="Times New Roman"/>
                      <w:bCs/>
                      <w:color w:val="auto"/>
                      <w:sz w:val="21"/>
                      <w:szCs w:val="21"/>
                    </w:rPr>
                  </w:pPr>
                  <w:r>
                    <w:rPr>
                      <w:rFonts w:hint="eastAsia" w:ascii="Times New Roman" w:hAnsi="Times New Roman"/>
                      <w:color w:val="auto"/>
                      <w:sz w:val="21"/>
                      <w:szCs w:val="21"/>
                    </w:rPr>
                    <w:t>炉渣、收尘灰、</w:t>
                  </w:r>
                  <w:r>
                    <w:rPr>
                      <w:rFonts w:ascii="Times New Roman" w:hAnsi="Times New Roman"/>
                      <w:color w:val="auto"/>
                      <w:sz w:val="21"/>
                      <w:szCs w:val="21"/>
                    </w:rPr>
                    <w:t>废离子交换树脂</w:t>
                  </w:r>
                </w:p>
              </w:tc>
              <w:tc>
                <w:tcPr>
                  <w:tcW w:w="1968" w:type="pct"/>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锅炉炉渣统一</w:t>
                  </w:r>
                  <w:r>
                    <w:rPr>
                      <w:rFonts w:ascii="Times New Roman" w:hAnsi="Times New Roman"/>
                      <w:color w:val="auto"/>
                      <w:sz w:val="21"/>
                      <w:szCs w:val="21"/>
                    </w:rPr>
                    <w:t>收集后</w:t>
                  </w:r>
                  <w:r>
                    <w:rPr>
                      <w:rFonts w:hint="eastAsia" w:ascii="Times New Roman" w:hAnsi="Times New Roman"/>
                      <w:color w:val="auto"/>
                      <w:sz w:val="21"/>
                      <w:szCs w:val="21"/>
                    </w:rPr>
                    <w:t>暂存在生物质燃料棚的渣棚中，</w:t>
                  </w:r>
                  <w:r>
                    <w:rPr>
                      <w:rFonts w:ascii="Times New Roman" w:hAnsi="Times New Roman"/>
                      <w:color w:val="auto"/>
                      <w:sz w:val="21"/>
                      <w:szCs w:val="21"/>
                    </w:rPr>
                    <w:t>部分作为肥料回用于周边农田，</w:t>
                  </w:r>
                  <w:r>
                    <w:rPr>
                      <w:rFonts w:hint="eastAsia" w:ascii="Times New Roman" w:hAnsi="Times New Roman"/>
                      <w:color w:val="auto"/>
                      <w:sz w:val="21"/>
                      <w:szCs w:val="21"/>
                    </w:rPr>
                    <w:t>剩余</w:t>
                  </w:r>
                  <w:r>
                    <w:rPr>
                      <w:rFonts w:ascii="Times New Roman" w:hAnsi="Times New Roman"/>
                      <w:color w:val="auto"/>
                      <w:sz w:val="21"/>
                      <w:szCs w:val="21"/>
                    </w:rPr>
                    <w:t>部分</w:t>
                  </w:r>
                  <w:r>
                    <w:rPr>
                      <w:rFonts w:hint="eastAsia" w:ascii="Times New Roman" w:hAnsi="Times New Roman"/>
                      <w:color w:val="auto"/>
                      <w:sz w:val="21"/>
                      <w:szCs w:val="21"/>
                    </w:rPr>
                    <w:t>与袋式除尘器将产生的收尘灰一同委托</w:t>
                  </w:r>
                  <w:r>
                    <w:rPr>
                      <w:rFonts w:ascii="Times New Roman" w:hAnsi="Times New Roman"/>
                      <w:color w:val="auto"/>
                      <w:sz w:val="21"/>
                      <w:szCs w:val="21"/>
                    </w:rPr>
                    <w:t>环卫</w:t>
                  </w:r>
                  <w:r>
                    <w:rPr>
                      <w:rFonts w:hint="eastAsia" w:ascii="Times New Roman" w:hAnsi="Times New Roman"/>
                      <w:color w:val="auto"/>
                      <w:sz w:val="21"/>
                      <w:szCs w:val="21"/>
                    </w:rPr>
                    <w:t>部门清运处置</w:t>
                  </w:r>
                  <w:r>
                    <w:rPr>
                      <w:rFonts w:ascii="Times New Roman" w:hAnsi="Times New Roman"/>
                      <w:color w:val="auto"/>
                      <w:sz w:val="21"/>
                      <w:szCs w:val="21"/>
                    </w:rPr>
                    <w:t>。</w:t>
                  </w:r>
                </w:p>
                <w:p>
                  <w:pPr>
                    <w:adjustRightInd w:val="0"/>
                    <w:snapToGrid w:val="0"/>
                    <w:jc w:val="center"/>
                    <w:rPr>
                      <w:rFonts w:ascii="Times New Roman" w:hAnsi="Times New Roman"/>
                      <w:bCs/>
                      <w:color w:val="auto"/>
                      <w:sz w:val="21"/>
                      <w:szCs w:val="21"/>
                    </w:rPr>
                  </w:pPr>
                  <w:r>
                    <w:rPr>
                      <w:rFonts w:hint="eastAsia" w:ascii="Times New Roman" w:hAnsi="Times New Roman"/>
                      <w:color w:val="auto"/>
                      <w:sz w:val="21"/>
                      <w:szCs w:val="21"/>
                    </w:rPr>
                    <w:t>软水处理产生的</w:t>
                  </w:r>
                  <w:r>
                    <w:rPr>
                      <w:rFonts w:ascii="Times New Roman" w:hAnsi="Times New Roman"/>
                      <w:color w:val="auto"/>
                      <w:sz w:val="21"/>
                      <w:szCs w:val="21"/>
                    </w:rPr>
                    <w:t>废离子交换树脂</w:t>
                  </w:r>
                  <w:r>
                    <w:rPr>
                      <w:rFonts w:hint="eastAsia" w:ascii="Times New Roman" w:hAnsi="Times New Roman"/>
                      <w:color w:val="auto"/>
                      <w:sz w:val="21"/>
                      <w:szCs w:val="21"/>
                    </w:rPr>
                    <w:t>由</w:t>
                  </w:r>
                  <w:r>
                    <w:rPr>
                      <w:rFonts w:ascii="Times New Roman" w:hAnsi="Times New Roman"/>
                      <w:color w:val="auto"/>
                      <w:sz w:val="21"/>
                      <w:szCs w:val="21"/>
                    </w:rPr>
                    <w:t>交厂家回收</w:t>
                  </w:r>
                  <w:r>
                    <w:rPr>
                      <w:rFonts w:hint="eastAsia" w:ascii="Times New Roman" w:hAnsi="Times New Roman"/>
                      <w:color w:val="auto"/>
                      <w:sz w:val="21"/>
                      <w:szCs w:val="21"/>
                    </w:rPr>
                    <w:t>处置</w:t>
                  </w:r>
                </w:p>
              </w:tc>
              <w:tc>
                <w:tcPr>
                  <w:tcW w:w="2275" w:type="pct"/>
                  <w:vAlign w:val="center"/>
                </w:tcPr>
                <w:p>
                  <w:pPr>
                    <w:adjustRightInd w:val="0"/>
                    <w:snapToGrid w:val="0"/>
                    <w:jc w:val="center"/>
                    <w:rPr>
                      <w:rFonts w:ascii="Times New Roman" w:hAnsi="Times New Roman"/>
                      <w:bCs/>
                      <w:color w:val="auto"/>
                      <w:sz w:val="21"/>
                      <w:szCs w:val="21"/>
                    </w:rPr>
                  </w:pPr>
                  <w:r>
                    <w:rPr>
                      <w:rFonts w:ascii="Times New Roman" w:hAnsi="Times New Roman"/>
                      <w:bCs/>
                      <w:color w:val="auto"/>
                      <w:sz w:val="21"/>
                      <w:szCs w:val="21"/>
                    </w:rPr>
                    <w:t>固体废物处置率达到100%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0" w:hRule="atLeast"/>
                <w:jc w:val="center"/>
              </w:trPr>
              <w:tc>
                <w:tcPr>
                  <w:tcW w:w="181" w:type="pct"/>
                  <w:vAlign w:val="center"/>
                </w:tcPr>
                <w:p>
                  <w:pPr>
                    <w:adjustRightInd w:val="0"/>
                    <w:snapToGrid w:val="0"/>
                    <w:jc w:val="center"/>
                    <w:rPr>
                      <w:rFonts w:ascii="Times New Roman" w:hAnsi="Times New Roman"/>
                      <w:bCs/>
                      <w:color w:val="auto"/>
                      <w:sz w:val="21"/>
                      <w:szCs w:val="21"/>
                    </w:rPr>
                  </w:pPr>
                  <w:r>
                    <w:rPr>
                      <w:rFonts w:hint="eastAsia" w:ascii="Times New Roman" w:hAnsi="Times New Roman"/>
                      <w:bCs/>
                      <w:color w:val="auto"/>
                      <w:sz w:val="21"/>
                      <w:szCs w:val="21"/>
                    </w:rPr>
                    <w:t>废水</w:t>
                  </w:r>
                </w:p>
              </w:tc>
              <w:tc>
                <w:tcPr>
                  <w:tcW w:w="576" w:type="pct"/>
                  <w:vAlign w:val="center"/>
                </w:tcPr>
                <w:p>
                  <w:pPr>
                    <w:adjustRightInd w:val="0"/>
                    <w:snapToGrid w:val="0"/>
                    <w:jc w:val="center"/>
                    <w:rPr>
                      <w:rFonts w:ascii="Times New Roman" w:hAnsi="Times New Roman"/>
                      <w:bCs/>
                      <w:color w:val="auto"/>
                      <w:sz w:val="21"/>
                      <w:szCs w:val="21"/>
                    </w:rPr>
                  </w:pPr>
                  <w:r>
                    <w:rPr>
                      <w:rFonts w:ascii="Times New Roman" w:hAnsi="Times New Roman"/>
                      <w:color w:val="auto"/>
                      <w:sz w:val="21"/>
                      <w:szCs w:val="21"/>
                    </w:rPr>
                    <w:t>锅炉废水</w:t>
                  </w:r>
                </w:p>
              </w:tc>
              <w:tc>
                <w:tcPr>
                  <w:tcW w:w="1968" w:type="pct"/>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全部回用于现有项目造纸工段</w:t>
                  </w:r>
                </w:p>
              </w:tc>
              <w:tc>
                <w:tcPr>
                  <w:tcW w:w="2275" w:type="pct"/>
                  <w:vAlign w:val="center"/>
                </w:tcPr>
                <w:p>
                  <w:pPr>
                    <w:adjustRightInd w:val="0"/>
                    <w:snapToGrid w:val="0"/>
                    <w:jc w:val="center"/>
                    <w:rPr>
                      <w:rFonts w:ascii="Times New Roman" w:hAnsi="Times New Roman"/>
                      <w:bCs/>
                      <w:color w:val="auto"/>
                      <w:sz w:val="21"/>
                      <w:szCs w:val="21"/>
                    </w:rPr>
                  </w:pPr>
                  <w:r>
                    <w:rPr>
                      <w:rFonts w:hint="eastAsia" w:ascii="Times New Roman" w:hAnsi="Times New Roman"/>
                      <w:bCs/>
                      <w:color w:val="auto"/>
                      <w:sz w:val="21"/>
                      <w:szCs w:val="21"/>
                    </w:rPr>
                    <w:t>不外排</w:t>
                  </w:r>
                </w:p>
              </w:tc>
            </w:tr>
          </w:tbl>
          <w:p>
            <w:pPr>
              <w:adjustRightInd w:val="0"/>
              <w:snapToGrid w:val="0"/>
              <w:spacing w:line="360" w:lineRule="auto"/>
              <w:rPr>
                <w:rFonts w:ascii="Times New Roman" w:hAnsi="Times New Roman"/>
                <w:b/>
                <w:bCs/>
                <w:color w:val="auto"/>
                <w:szCs w:val="22"/>
              </w:rPr>
            </w:pPr>
            <w:r>
              <w:rPr>
                <w:rFonts w:ascii="Times New Roman" w:hAnsi="Times New Roman"/>
                <w:b/>
                <w:bCs/>
                <w:color w:val="auto"/>
                <w:szCs w:val="22"/>
              </w:rPr>
              <w:t>五、建议</w:t>
            </w:r>
          </w:p>
          <w:p>
            <w:pPr>
              <w:pStyle w:val="84"/>
              <w:numPr>
                <w:ilvl w:val="0"/>
                <w:numId w:val="20"/>
              </w:numPr>
              <w:adjustRightInd w:val="0"/>
              <w:snapToGrid w:val="0"/>
              <w:spacing w:line="360" w:lineRule="auto"/>
              <w:ind w:left="22" w:firstLine="480" w:firstLineChars="200"/>
              <w:rPr>
                <w:rFonts w:ascii="Times New Roman" w:hAnsi="Times New Roman"/>
                <w:color w:val="auto"/>
              </w:rPr>
            </w:pPr>
            <w:r>
              <w:rPr>
                <w:rFonts w:ascii="Times New Roman" w:hAnsi="Times New Roman"/>
                <w:color w:val="auto"/>
                <w:lang w:val="zh-CN"/>
              </w:rPr>
              <w:t>按照昆明市政府有关“禁磷”、“禁白”、“禁煤”的要求，项目禁止使用含磷洗衣粉和含磷洗涤剂，禁止使用一次性不可降解餐饮器具和塑料袋，禁止使用燃煤污染型能源。</w:t>
            </w:r>
          </w:p>
          <w:p>
            <w:pPr>
              <w:pStyle w:val="84"/>
              <w:numPr>
                <w:ilvl w:val="0"/>
                <w:numId w:val="20"/>
              </w:numPr>
              <w:adjustRightInd w:val="0"/>
              <w:snapToGrid w:val="0"/>
              <w:spacing w:line="360" w:lineRule="auto"/>
              <w:ind w:left="22" w:firstLine="480" w:firstLineChars="200"/>
              <w:rPr>
                <w:rFonts w:ascii="Times New Roman" w:hAnsi="Times New Roman"/>
                <w:color w:val="auto"/>
              </w:rPr>
            </w:pPr>
            <w:r>
              <w:rPr>
                <w:rFonts w:ascii="Times New Roman" w:hAnsi="Times New Roman"/>
                <w:color w:val="auto"/>
                <w:lang w:val="zh-CN"/>
              </w:rPr>
              <w:t>加强内部环境管理，设立环保兼职人员，定期检查或监督本单位的环境保护工作，发现问题及时处置，严禁将不达标的污染物外排；加强环境保护方面宣传教育，增强员工及活动人员的环保意识。</w:t>
            </w:r>
          </w:p>
          <w:p>
            <w:pPr>
              <w:adjustRightInd w:val="0"/>
              <w:snapToGrid w:val="0"/>
              <w:spacing w:line="360" w:lineRule="auto"/>
              <w:rPr>
                <w:rFonts w:ascii="Times New Roman" w:hAnsi="Times New Roman"/>
                <w:color w:val="auto"/>
              </w:rPr>
            </w:pPr>
          </w:p>
          <w:p>
            <w:pPr>
              <w:pStyle w:val="37"/>
              <w:ind w:firstLine="480"/>
              <w:rPr>
                <w:color w:val="auto"/>
              </w:rPr>
            </w:pPr>
          </w:p>
          <w:p>
            <w:pPr>
              <w:pStyle w:val="36"/>
              <w:ind w:firstLine="240"/>
              <w:rPr>
                <w:color w:val="auto"/>
              </w:rPr>
            </w:pPr>
          </w:p>
          <w:p>
            <w:pPr>
              <w:rPr>
                <w:color w:val="auto"/>
              </w:rPr>
            </w:pPr>
          </w:p>
          <w:p>
            <w:pPr>
              <w:pStyle w:val="37"/>
              <w:ind w:firstLine="480"/>
              <w:rPr>
                <w:color w:val="auto"/>
              </w:rPr>
            </w:pPr>
          </w:p>
          <w:p>
            <w:pPr>
              <w:pStyle w:val="36"/>
              <w:ind w:firstLine="240"/>
              <w:rPr>
                <w:color w:val="auto"/>
              </w:rPr>
            </w:pPr>
          </w:p>
          <w:p>
            <w:pPr>
              <w:rPr>
                <w:color w:val="auto"/>
              </w:rPr>
            </w:pPr>
          </w:p>
          <w:p>
            <w:pPr>
              <w:pStyle w:val="37"/>
              <w:ind w:firstLine="480"/>
              <w:rPr>
                <w:color w:val="auto"/>
              </w:rPr>
            </w:pPr>
          </w:p>
          <w:p>
            <w:pPr>
              <w:pStyle w:val="36"/>
              <w:ind w:firstLine="240"/>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pPr>
            <w:bookmarkStart w:id="51" w:name="_GoBack"/>
            <w:bookmarkEnd w:id="51"/>
          </w:p>
          <w:p>
            <w:pPr>
              <w:rPr>
                <w:rFonts w:hint="eastAsia"/>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2" w:hRule="atLeast"/>
        </w:trPr>
        <w:tc>
          <w:tcPr>
            <w:tcW w:w="8523" w:type="dxa"/>
            <w:tcBorders>
              <w:top w:val="single" w:color="auto" w:sz="4" w:space="0"/>
              <w:left w:val="single" w:color="auto" w:sz="4" w:space="0"/>
              <w:bottom w:val="nil"/>
              <w:right w:val="single" w:color="auto" w:sz="4" w:space="0"/>
            </w:tcBorders>
          </w:tcPr>
          <w:p>
            <w:pPr>
              <w:adjustRightInd w:val="0"/>
              <w:snapToGrid w:val="0"/>
              <w:spacing w:before="120" w:after="120" w:line="360" w:lineRule="atLeast"/>
              <w:ind w:left="113"/>
              <w:rPr>
                <w:rFonts w:ascii="Times New Roman" w:hAnsi="Times New Roman"/>
                <w:b/>
                <w:bCs/>
                <w:color w:val="auto"/>
              </w:rPr>
            </w:pPr>
            <w:r>
              <w:rPr>
                <w:rFonts w:ascii="Times New Roman" w:hAnsi="Times New Roman"/>
                <w:b/>
                <w:bCs/>
                <w:color w:val="auto"/>
              </w:rPr>
              <w:t>预审意见：</w:t>
            </w:r>
          </w:p>
          <w:p>
            <w:pPr>
              <w:pStyle w:val="26"/>
              <w:adjustRightInd w:val="0"/>
              <w:snapToGrid w:val="0"/>
              <w:spacing w:line="360" w:lineRule="atLeast"/>
              <w:rPr>
                <w:rFonts w:ascii="Times New Roman" w:hAnsi="Times New Roman"/>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3" w:type="dxa"/>
            <w:tcBorders>
              <w:top w:val="nil"/>
              <w:left w:val="single" w:color="auto" w:sz="4" w:space="0"/>
              <w:bottom w:val="nil"/>
              <w:right w:val="single" w:color="auto" w:sz="4" w:space="0"/>
            </w:tcBorders>
            <w:vAlign w:val="center"/>
          </w:tcPr>
          <w:p>
            <w:pPr>
              <w:adjustRightInd w:val="0"/>
              <w:snapToGrid w:val="0"/>
              <w:spacing w:line="360" w:lineRule="atLeast"/>
              <w:ind w:left="113"/>
              <w:rPr>
                <w:rFonts w:ascii="Times New Roman" w:hAnsi="Times New Roman"/>
                <w:b/>
                <w:bCs/>
                <w:color w:val="auto"/>
              </w:rPr>
            </w:pPr>
            <w:r>
              <w:rPr>
                <w:rFonts w:ascii="Times New Roman" w:hAnsi="Times New Roman"/>
                <w:b/>
                <w:bCs/>
                <w:color w:val="auto"/>
              </w:rPr>
              <w:t xml:space="preserve">                                                      公  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2" w:hRule="atLeast"/>
        </w:trPr>
        <w:tc>
          <w:tcPr>
            <w:tcW w:w="8523" w:type="dxa"/>
            <w:tcBorders>
              <w:top w:val="nil"/>
              <w:left w:val="single" w:color="auto" w:sz="4" w:space="0"/>
              <w:bottom w:val="single" w:color="auto" w:sz="4" w:space="0"/>
              <w:right w:val="single" w:color="auto" w:sz="4" w:space="0"/>
            </w:tcBorders>
            <w:vAlign w:val="center"/>
          </w:tcPr>
          <w:p>
            <w:pPr>
              <w:adjustRightInd w:val="0"/>
              <w:snapToGrid w:val="0"/>
              <w:spacing w:line="360" w:lineRule="atLeast"/>
              <w:ind w:left="113"/>
              <w:rPr>
                <w:rFonts w:ascii="Times New Roman" w:hAnsi="Times New Roman"/>
                <w:b/>
                <w:bCs/>
                <w:color w:val="auto"/>
              </w:rPr>
            </w:pPr>
            <w:r>
              <w:rPr>
                <w:rFonts w:ascii="Times New Roman" w:hAnsi="Times New Roman"/>
                <w:b/>
                <w:bCs/>
                <w:color w:val="auto"/>
              </w:rPr>
              <w:t>经办人：                                        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0" w:hRule="atLeast"/>
        </w:trPr>
        <w:tc>
          <w:tcPr>
            <w:tcW w:w="8523" w:type="dxa"/>
            <w:tcBorders>
              <w:top w:val="nil"/>
              <w:left w:val="single" w:color="auto" w:sz="4" w:space="0"/>
              <w:bottom w:val="nil"/>
              <w:right w:val="single" w:color="auto" w:sz="4" w:space="0"/>
            </w:tcBorders>
          </w:tcPr>
          <w:p>
            <w:pPr>
              <w:adjustRightInd w:val="0"/>
              <w:snapToGrid w:val="0"/>
              <w:spacing w:before="120" w:after="120" w:line="360" w:lineRule="atLeast"/>
              <w:ind w:left="113"/>
              <w:rPr>
                <w:rFonts w:ascii="Times New Roman" w:hAnsi="Times New Roman"/>
                <w:b/>
                <w:bCs/>
                <w:color w:val="auto"/>
              </w:rPr>
            </w:pPr>
            <w:r>
              <w:rPr>
                <w:rFonts w:ascii="Times New Roman" w:hAnsi="Times New Roman"/>
                <w:b/>
                <w:bCs/>
                <w:color w:val="auto"/>
              </w:rPr>
              <w:t>下一级环境保护行政主管部门审查意见：</w:t>
            </w: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7" w:hRule="atLeast"/>
        </w:trPr>
        <w:tc>
          <w:tcPr>
            <w:tcW w:w="8523" w:type="dxa"/>
            <w:tcBorders>
              <w:top w:val="nil"/>
              <w:left w:val="single" w:color="auto" w:sz="4" w:space="0"/>
              <w:bottom w:val="nil"/>
              <w:right w:val="single" w:color="auto" w:sz="4" w:space="0"/>
            </w:tcBorders>
            <w:vAlign w:val="center"/>
          </w:tcPr>
          <w:p>
            <w:pPr>
              <w:adjustRightInd w:val="0"/>
              <w:snapToGrid w:val="0"/>
              <w:spacing w:line="360" w:lineRule="atLeast"/>
              <w:ind w:left="113"/>
              <w:rPr>
                <w:rFonts w:ascii="Times New Roman" w:hAnsi="Times New Roman"/>
                <w:b/>
                <w:bCs/>
                <w:color w:val="auto"/>
              </w:rPr>
            </w:pPr>
            <w:r>
              <w:rPr>
                <w:rFonts w:ascii="Times New Roman" w:hAnsi="Times New Roman"/>
                <w:b/>
                <w:bCs/>
                <w:color w:val="auto"/>
              </w:rPr>
              <w:t xml:space="preserve">                                                     公  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6" w:hRule="atLeast"/>
        </w:trPr>
        <w:tc>
          <w:tcPr>
            <w:tcW w:w="8523" w:type="dxa"/>
            <w:tcBorders>
              <w:top w:val="nil"/>
              <w:left w:val="single" w:color="auto" w:sz="4" w:space="0"/>
              <w:bottom w:val="single" w:color="auto" w:sz="4" w:space="0"/>
              <w:right w:val="single" w:color="auto" w:sz="4" w:space="0"/>
            </w:tcBorders>
            <w:vAlign w:val="center"/>
          </w:tcPr>
          <w:p>
            <w:pPr>
              <w:adjustRightInd w:val="0"/>
              <w:snapToGrid w:val="0"/>
              <w:spacing w:line="360" w:lineRule="atLeast"/>
              <w:rPr>
                <w:rFonts w:ascii="Times New Roman" w:hAnsi="Times New Roman"/>
                <w:b/>
                <w:bCs/>
                <w:color w:val="auto"/>
              </w:rPr>
            </w:pPr>
            <w:r>
              <w:rPr>
                <w:rFonts w:ascii="Times New Roman" w:hAnsi="Times New Roman"/>
                <w:b/>
                <w:bCs/>
                <w:color w:val="auto"/>
              </w:rPr>
              <w:t>经办人：                                        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02" w:hRule="atLeast"/>
        </w:trPr>
        <w:tc>
          <w:tcPr>
            <w:tcW w:w="8523" w:type="dxa"/>
            <w:tcBorders>
              <w:top w:val="single" w:color="auto" w:sz="4" w:space="0"/>
              <w:left w:val="single" w:color="auto" w:sz="4" w:space="0"/>
              <w:bottom w:val="nil"/>
              <w:right w:val="single" w:color="auto" w:sz="4" w:space="0"/>
            </w:tcBorders>
          </w:tcPr>
          <w:p>
            <w:pPr>
              <w:adjustRightInd w:val="0"/>
              <w:snapToGrid w:val="0"/>
              <w:spacing w:before="120" w:after="120" w:line="360" w:lineRule="atLeast"/>
              <w:ind w:left="113"/>
              <w:rPr>
                <w:rFonts w:ascii="Times New Roman" w:hAnsi="Times New Roman"/>
                <w:b/>
                <w:bCs/>
                <w:color w:val="auto"/>
              </w:rPr>
            </w:pPr>
            <w:r>
              <w:rPr>
                <w:rFonts w:ascii="Times New Roman" w:hAnsi="Times New Roman"/>
                <w:b/>
                <w:bCs/>
                <w:color w:val="auto"/>
              </w:rPr>
              <w:t>审批意见：</w:t>
            </w: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p>
            <w:pPr>
              <w:adjustRightInd w:val="0"/>
              <w:snapToGrid w:val="0"/>
              <w:spacing w:before="120" w:after="120" w:line="360" w:lineRule="atLeast"/>
              <w:ind w:left="113"/>
              <w:rPr>
                <w:rFonts w:ascii="Times New Roman" w:hAnsi="Times New Roman"/>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23" w:type="dxa"/>
            <w:tcBorders>
              <w:top w:val="nil"/>
              <w:left w:val="single" w:color="auto" w:sz="4" w:space="0"/>
              <w:bottom w:val="nil"/>
              <w:right w:val="single" w:color="auto" w:sz="4" w:space="0"/>
            </w:tcBorders>
            <w:vAlign w:val="center"/>
          </w:tcPr>
          <w:p>
            <w:pPr>
              <w:adjustRightInd w:val="0"/>
              <w:snapToGrid w:val="0"/>
              <w:spacing w:line="360" w:lineRule="atLeast"/>
              <w:ind w:left="113"/>
              <w:rPr>
                <w:rFonts w:ascii="Times New Roman" w:hAnsi="Times New Roman"/>
                <w:color w:val="auto"/>
              </w:rPr>
            </w:pPr>
            <w:r>
              <w:rPr>
                <w:rFonts w:ascii="Times New Roman" w:hAnsi="Times New Roman"/>
                <w:color w:val="auto"/>
              </w:rPr>
              <w:t xml:space="preserve">                                                     公  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6" w:hRule="atLeast"/>
        </w:trPr>
        <w:tc>
          <w:tcPr>
            <w:tcW w:w="8523" w:type="dxa"/>
            <w:tcBorders>
              <w:top w:val="nil"/>
              <w:left w:val="single" w:color="auto" w:sz="4" w:space="0"/>
              <w:bottom w:val="single" w:color="auto" w:sz="4" w:space="0"/>
              <w:right w:val="single" w:color="auto" w:sz="4" w:space="0"/>
            </w:tcBorders>
            <w:vAlign w:val="center"/>
          </w:tcPr>
          <w:p>
            <w:pPr>
              <w:adjustRightInd w:val="0"/>
              <w:snapToGrid w:val="0"/>
              <w:spacing w:line="360" w:lineRule="atLeast"/>
              <w:rPr>
                <w:rFonts w:ascii="Times New Roman" w:hAnsi="Times New Roman"/>
                <w:color w:val="auto"/>
              </w:rPr>
            </w:pPr>
            <w:r>
              <w:rPr>
                <w:rFonts w:ascii="Times New Roman" w:hAnsi="Times New Roman"/>
                <w:color w:val="auto"/>
              </w:rPr>
              <w:t>经办人：                                        年     月     日</w:t>
            </w:r>
          </w:p>
        </w:tc>
      </w:tr>
    </w:tbl>
    <w:p>
      <w:pPr>
        <w:adjustRightInd w:val="0"/>
        <w:snapToGrid w:val="0"/>
        <w:rPr>
          <w:rFonts w:ascii="Times New Roman" w:hAnsi="Times New Roman"/>
          <w:color w:val="auto"/>
        </w:rPr>
      </w:pPr>
    </w:p>
    <w:p>
      <w:pPr>
        <w:adjustRightInd w:val="0"/>
        <w:snapToGrid w:val="0"/>
        <w:rPr>
          <w:rFonts w:ascii="Times New Roman" w:hAnsi="Times New Roman"/>
          <w:color w:val="auto"/>
        </w:rPr>
      </w:pPr>
    </w:p>
    <w:sectPr>
      <w:pgSz w:w="11907" w:h="16840"/>
      <w:pgMar w:top="1440" w:right="1227" w:bottom="1440" w:left="1560" w:header="567" w:footer="567" w:gutter="0"/>
      <w:pgNumType w:fmt="numberInDash"/>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STHeiti">
    <w:altName w:val="AMGDT"/>
    <w:panose1 w:val="00000000000000000000"/>
    <w:charset w:val="00"/>
    <w:family w:val="auto"/>
    <w:pitch w:val="default"/>
    <w:sig w:usb0="00000000" w:usb1="00000000" w:usb2="00000000" w:usb3="00000000" w:csb0="00040001" w:csb1="00000000"/>
  </w:font>
  <w:font w:name="Geneva">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TimesNewRoman">
    <w:altName w:val="MS Mincho"/>
    <w:panose1 w:val="00000000000000000000"/>
    <w:charset w:val="80"/>
    <w:family w:val="auto"/>
    <w:pitch w:val="default"/>
    <w:sig w:usb0="00000000" w:usb1="00000000" w:usb2="00000010" w:usb3="00000000" w:csb0="00020000" w:csb1="00000000"/>
  </w:font>
  <w:font w:name="Cambria Math">
    <w:panose1 w:val="02040503050406030204"/>
    <w:charset w:val="00"/>
    <w:family w:val="roman"/>
    <w:pitch w:val="default"/>
    <w:sig w:usb0="E00002FF" w:usb1="42002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AMGDT">
    <w:panose1 w:val="02000400000000000000"/>
    <w:charset w:val="00"/>
    <w:family w:val="auto"/>
    <w:pitch w:val="default"/>
    <w:sig w:usb0="80000003" w:usb1="10000000" w:usb2="00000000" w:usb3="00000000" w:csb0="00000001" w:csb1="00000000"/>
  </w:font>
  <w:font w:name="MS Mincho">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page" w:x="5881" w:y="-275"/>
      <w:rPr>
        <w:rStyle w:val="42"/>
        <w:rFonts w:ascii="黑体" w:hAnsi="黑体" w:eastAsia="黑体"/>
        <w:i/>
        <w:iCs/>
      </w:rPr>
    </w:pPr>
    <w:r>
      <w:rPr>
        <w:rFonts w:ascii="黑体" w:hAnsi="黑体" w:eastAsia="黑体" w:cs="黑体"/>
        <w:i/>
        <w:iCs/>
      </w:rPr>
      <w:fldChar w:fldCharType="begin"/>
    </w:r>
    <w:r>
      <w:rPr>
        <w:rStyle w:val="42"/>
        <w:rFonts w:ascii="黑体" w:hAnsi="黑体" w:eastAsia="黑体" w:cs="黑体"/>
        <w:i/>
        <w:iCs/>
      </w:rPr>
      <w:instrText xml:space="preserve">PAGE  </w:instrText>
    </w:r>
    <w:r>
      <w:rPr>
        <w:rFonts w:ascii="黑体" w:hAnsi="黑体" w:eastAsia="黑体" w:cs="黑体"/>
        <w:i/>
        <w:iCs/>
      </w:rPr>
      <w:fldChar w:fldCharType="separate"/>
    </w:r>
    <w:r>
      <w:rPr>
        <w:rStyle w:val="42"/>
        <w:rFonts w:ascii="黑体" w:hAnsi="黑体" w:eastAsia="黑体" w:cs="黑体"/>
        <w:i/>
        <w:iCs/>
      </w:rPr>
      <w:t>- 1 -</w:t>
    </w:r>
    <w:r>
      <w:rPr>
        <w:rFonts w:ascii="黑体" w:hAnsi="黑体" w:eastAsia="黑体" w:cs="黑体"/>
        <w:i/>
        <w:iCs/>
      </w:rPr>
      <w:fldChar w:fldCharType="end"/>
    </w:r>
  </w:p>
  <w:p>
    <w:pPr>
      <w:pStyle w:val="2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E0381A"/>
    <w:multiLevelType w:val="singleLevel"/>
    <w:tmpl w:val="CFE0381A"/>
    <w:lvl w:ilvl="0" w:tentative="0">
      <w:start w:val="1"/>
      <w:numFmt w:val="decimal"/>
      <w:suff w:val="nothing"/>
      <w:lvlText w:val="（%1）"/>
      <w:lvlJc w:val="left"/>
    </w:lvl>
  </w:abstractNum>
  <w:abstractNum w:abstractNumId="1">
    <w:nsid w:val="EEE64C46"/>
    <w:multiLevelType w:val="singleLevel"/>
    <w:tmpl w:val="EEE64C46"/>
    <w:lvl w:ilvl="0" w:tentative="0">
      <w:start w:val="3"/>
      <w:numFmt w:val="decimal"/>
      <w:suff w:val="nothing"/>
      <w:lvlText w:val="%1、"/>
      <w:lvlJc w:val="left"/>
    </w:lvl>
  </w:abstractNum>
  <w:abstractNum w:abstractNumId="2">
    <w:nsid w:val="00000011"/>
    <w:multiLevelType w:val="multilevel"/>
    <w:tmpl w:val="00000011"/>
    <w:lvl w:ilvl="0" w:tentative="0">
      <w:start w:val="1"/>
      <w:numFmt w:val="decimal"/>
      <w:lvlText w:val="%1."/>
      <w:legacy w:legacy="1" w:legacySpace="144" w:legacyIndent="0"/>
      <w:lvlJc w:val="left"/>
      <w:rPr>
        <w:rFonts w:hint="eastAsia" w:ascii="宋体" w:eastAsia="宋体"/>
        <w:b/>
        <w:i w:val="0"/>
        <w:sz w:val="30"/>
      </w:rPr>
    </w:lvl>
    <w:lvl w:ilvl="1" w:tentative="0">
      <w:start w:val="1"/>
      <w:numFmt w:val="decimal"/>
      <w:pStyle w:val="4"/>
      <w:lvlText w:val="%1.%2."/>
      <w:legacy w:legacy="1" w:legacySpace="144" w:legacyIndent="0"/>
      <w:lvlJc w:val="left"/>
      <w:rPr>
        <w:rFonts w:hint="default" w:ascii="Times New Roman" w:hAnsi="Times New Roman"/>
        <w:b w:val="0"/>
        <w:i w:val="0"/>
        <w:sz w:val="28"/>
      </w:rPr>
    </w:lvl>
    <w:lvl w:ilvl="2" w:tentative="0">
      <w:start w:val="1"/>
      <w:numFmt w:val="decimal"/>
      <w:lvlText w:val="%1.%2.%3."/>
      <w:legacy w:legacy="1" w:legacySpace="144" w:legacyIndent="0"/>
      <w:lvlJc w:val="left"/>
      <w:rPr>
        <w:rFonts w:hint="default" w:ascii="Times New Roman" w:hAnsi="Times New Roman"/>
        <w:b w:val="0"/>
        <w:i w:val="0"/>
        <w:sz w:val="28"/>
      </w:rPr>
    </w:lvl>
    <w:lvl w:ilvl="3" w:tentative="0">
      <w:start w:val="1"/>
      <w:numFmt w:val="decimal"/>
      <w:lvlText w:val="%1.%2.%3.%4."/>
      <w:legacy w:legacy="1" w:legacySpace="144" w:legacyIndent="0"/>
      <w:lvlJc w:val="left"/>
      <w:rPr>
        <w:rFonts w:hint="default" w:ascii="Times New Roman" w:hAnsi="Times New Roman"/>
        <w:b w:val="0"/>
        <w:i w:val="0"/>
        <w:sz w:val="28"/>
      </w:rPr>
    </w:lvl>
    <w:lvl w:ilvl="4" w:tentative="0">
      <w:start w:val="1"/>
      <w:numFmt w:val="decimal"/>
      <w:lvlText w:val="%1.%2.%3.%4.%5."/>
      <w:legacy w:legacy="1" w:legacySpace="144" w:legacyIndent="0"/>
      <w:lvlJc w:val="left"/>
      <w:rPr>
        <w:rFonts w:hint="default" w:ascii="Times New Roman" w:hAnsi="Times New Roman"/>
        <w:b w:val="0"/>
        <w:i w:val="0"/>
        <w:sz w:val="24"/>
      </w:rPr>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abstractNum w:abstractNumId="3">
    <w:nsid w:val="06232606"/>
    <w:multiLevelType w:val="multilevel"/>
    <w:tmpl w:val="0623260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D3A2715"/>
    <w:multiLevelType w:val="multilevel"/>
    <w:tmpl w:val="0D3A271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126152D"/>
    <w:multiLevelType w:val="multilevel"/>
    <w:tmpl w:val="1126152D"/>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1D3E7883"/>
    <w:multiLevelType w:val="multilevel"/>
    <w:tmpl w:val="1D3E788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DF73B38"/>
    <w:multiLevelType w:val="multilevel"/>
    <w:tmpl w:val="1DF73B3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16E27BA"/>
    <w:multiLevelType w:val="multilevel"/>
    <w:tmpl w:val="216E27B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D8F1243"/>
    <w:multiLevelType w:val="multilevel"/>
    <w:tmpl w:val="2D8F1243"/>
    <w:lvl w:ilvl="0" w:tentative="0">
      <w:start w:val="1"/>
      <w:numFmt w:val="decimal"/>
      <w:pStyle w:val="13"/>
      <w:lvlText w:val="表%1"/>
      <w:lvlJc w:val="left"/>
      <w:pPr>
        <w:ind w:left="1130" w:hanging="420"/>
      </w:pPr>
      <w:rPr>
        <w:rFonts w:hint="default" w:ascii="Times New Roman" w:hAnsi="Times New Roman" w:eastAsia="宋体"/>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0">
    <w:nsid w:val="3CE02700"/>
    <w:multiLevelType w:val="multilevel"/>
    <w:tmpl w:val="3CE0270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47C10D6E"/>
    <w:multiLevelType w:val="multilevel"/>
    <w:tmpl w:val="47C10D6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2567C1C"/>
    <w:multiLevelType w:val="multilevel"/>
    <w:tmpl w:val="52567C1C"/>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5A732EFB"/>
    <w:multiLevelType w:val="singleLevel"/>
    <w:tmpl w:val="5A732EFB"/>
    <w:lvl w:ilvl="0" w:tentative="0">
      <w:start w:val="1"/>
      <w:numFmt w:val="chineseCounting"/>
      <w:suff w:val="nothing"/>
      <w:lvlText w:val="%1、"/>
      <w:lvlJc w:val="left"/>
    </w:lvl>
  </w:abstractNum>
  <w:abstractNum w:abstractNumId="14">
    <w:nsid w:val="5B1D39B8"/>
    <w:multiLevelType w:val="multilevel"/>
    <w:tmpl w:val="5B1D39B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9647AD4"/>
    <w:multiLevelType w:val="multilevel"/>
    <w:tmpl w:val="69647AD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28766AA"/>
    <w:multiLevelType w:val="multilevel"/>
    <w:tmpl w:val="728766AA"/>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7">
    <w:nsid w:val="7A334F69"/>
    <w:multiLevelType w:val="multilevel"/>
    <w:tmpl w:val="7A334F6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7D8A73A3"/>
    <w:multiLevelType w:val="multilevel"/>
    <w:tmpl w:val="7D8A73A3"/>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7DD8208E"/>
    <w:multiLevelType w:val="multilevel"/>
    <w:tmpl w:val="7DD8208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9"/>
  </w:num>
  <w:num w:numId="3">
    <w:abstractNumId w:val="0"/>
  </w:num>
  <w:num w:numId="4">
    <w:abstractNumId w:val="1"/>
  </w:num>
  <w:num w:numId="5">
    <w:abstractNumId w:val="12"/>
  </w:num>
  <w:num w:numId="6">
    <w:abstractNumId w:val="13"/>
  </w:num>
  <w:num w:numId="7">
    <w:abstractNumId w:val="16"/>
  </w:num>
  <w:num w:numId="8">
    <w:abstractNumId w:val="17"/>
  </w:num>
  <w:num w:numId="9">
    <w:abstractNumId w:val="10"/>
  </w:num>
  <w:num w:numId="10">
    <w:abstractNumId w:val="5"/>
  </w:num>
  <w:num w:numId="11">
    <w:abstractNumId w:val="3"/>
  </w:num>
  <w:num w:numId="12">
    <w:abstractNumId w:val="11"/>
  </w:num>
  <w:num w:numId="13">
    <w:abstractNumId w:val="14"/>
  </w:num>
  <w:num w:numId="14">
    <w:abstractNumId w:val="4"/>
  </w:num>
  <w:num w:numId="15">
    <w:abstractNumId w:val="19"/>
  </w:num>
  <w:num w:numId="16">
    <w:abstractNumId w:val="6"/>
  </w:num>
  <w:num w:numId="17">
    <w:abstractNumId w:val="7"/>
  </w:num>
  <w:num w:numId="18">
    <w:abstractNumId w:val="8"/>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oNotHyphenateCaps/>
  <w:drawingGridHorizontalSpacing w:val="120"/>
  <w:drawingGridVerticalSpacing w:val="163"/>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3311"/>
    <w:rsid w:val="00003741"/>
    <w:rsid w:val="000046BF"/>
    <w:rsid w:val="000132EE"/>
    <w:rsid w:val="00025949"/>
    <w:rsid w:val="0003229C"/>
    <w:rsid w:val="000334A6"/>
    <w:rsid w:val="000540A3"/>
    <w:rsid w:val="000552BD"/>
    <w:rsid w:val="00062150"/>
    <w:rsid w:val="00062CD0"/>
    <w:rsid w:val="00082538"/>
    <w:rsid w:val="00082BA5"/>
    <w:rsid w:val="00083A85"/>
    <w:rsid w:val="0009030A"/>
    <w:rsid w:val="00090A8F"/>
    <w:rsid w:val="00091860"/>
    <w:rsid w:val="00091C28"/>
    <w:rsid w:val="00094582"/>
    <w:rsid w:val="0009623B"/>
    <w:rsid w:val="00096439"/>
    <w:rsid w:val="0009723E"/>
    <w:rsid w:val="00097B05"/>
    <w:rsid w:val="000A65AE"/>
    <w:rsid w:val="000B02A3"/>
    <w:rsid w:val="000B145E"/>
    <w:rsid w:val="000C0681"/>
    <w:rsid w:val="000C3E04"/>
    <w:rsid w:val="000D1AE9"/>
    <w:rsid w:val="000D37C8"/>
    <w:rsid w:val="000D3FD8"/>
    <w:rsid w:val="000D4955"/>
    <w:rsid w:val="000D54AE"/>
    <w:rsid w:val="000E62F1"/>
    <w:rsid w:val="00100641"/>
    <w:rsid w:val="0010367B"/>
    <w:rsid w:val="001076E7"/>
    <w:rsid w:val="0011737D"/>
    <w:rsid w:val="00121396"/>
    <w:rsid w:val="001340DF"/>
    <w:rsid w:val="00146303"/>
    <w:rsid w:val="001478DC"/>
    <w:rsid w:val="00151FB1"/>
    <w:rsid w:val="00162D28"/>
    <w:rsid w:val="001654D4"/>
    <w:rsid w:val="00166BA5"/>
    <w:rsid w:val="00167FC1"/>
    <w:rsid w:val="00172A24"/>
    <w:rsid w:val="00172A27"/>
    <w:rsid w:val="00173226"/>
    <w:rsid w:val="001732F5"/>
    <w:rsid w:val="00177D49"/>
    <w:rsid w:val="0018156E"/>
    <w:rsid w:val="00181DB7"/>
    <w:rsid w:val="00183E20"/>
    <w:rsid w:val="001855C3"/>
    <w:rsid w:val="00185A4C"/>
    <w:rsid w:val="00187882"/>
    <w:rsid w:val="00192F66"/>
    <w:rsid w:val="00193BCA"/>
    <w:rsid w:val="001A2542"/>
    <w:rsid w:val="001A25C2"/>
    <w:rsid w:val="001A4850"/>
    <w:rsid w:val="001B4176"/>
    <w:rsid w:val="001B41B5"/>
    <w:rsid w:val="001B6B68"/>
    <w:rsid w:val="001B7561"/>
    <w:rsid w:val="001B7B1C"/>
    <w:rsid w:val="001C5AEB"/>
    <w:rsid w:val="001D30C3"/>
    <w:rsid w:val="001E0AB2"/>
    <w:rsid w:val="001E35A1"/>
    <w:rsid w:val="001F0E3E"/>
    <w:rsid w:val="00201639"/>
    <w:rsid w:val="0020733F"/>
    <w:rsid w:val="0021080B"/>
    <w:rsid w:val="00214E2F"/>
    <w:rsid w:val="00215E14"/>
    <w:rsid w:val="00220401"/>
    <w:rsid w:val="00220596"/>
    <w:rsid w:val="0022246F"/>
    <w:rsid w:val="00225FEB"/>
    <w:rsid w:val="00230478"/>
    <w:rsid w:val="00232BFC"/>
    <w:rsid w:val="00234A5E"/>
    <w:rsid w:val="00236165"/>
    <w:rsid w:val="00241DE0"/>
    <w:rsid w:val="00251D15"/>
    <w:rsid w:val="00260DCA"/>
    <w:rsid w:val="0026101E"/>
    <w:rsid w:val="00261427"/>
    <w:rsid w:val="00265BE4"/>
    <w:rsid w:val="00265D8E"/>
    <w:rsid w:val="002712CE"/>
    <w:rsid w:val="00272F26"/>
    <w:rsid w:val="00274ABF"/>
    <w:rsid w:val="0027553B"/>
    <w:rsid w:val="00276A0D"/>
    <w:rsid w:val="00283EBF"/>
    <w:rsid w:val="00286937"/>
    <w:rsid w:val="00290D5D"/>
    <w:rsid w:val="0029182D"/>
    <w:rsid w:val="002949FD"/>
    <w:rsid w:val="00296001"/>
    <w:rsid w:val="002A31EC"/>
    <w:rsid w:val="002A62DE"/>
    <w:rsid w:val="002A6BC5"/>
    <w:rsid w:val="002B09D7"/>
    <w:rsid w:val="002B10AF"/>
    <w:rsid w:val="002B1979"/>
    <w:rsid w:val="002C06A9"/>
    <w:rsid w:val="002C4ED8"/>
    <w:rsid w:val="002C5D43"/>
    <w:rsid w:val="002C5E7D"/>
    <w:rsid w:val="002D48AF"/>
    <w:rsid w:val="002D7ABD"/>
    <w:rsid w:val="002E5FC5"/>
    <w:rsid w:val="002E7698"/>
    <w:rsid w:val="00310920"/>
    <w:rsid w:val="00312DD7"/>
    <w:rsid w:val="003157B5"/>
    <w:rsid w:val="00320F91"/>
    <w:rsid w:val="00332B3A"/>
    <w:rsid w:val="003356AB"/>
    <w:rsid w:val="00337A9C"/>
    <w:rsid w:val="003422DA"/>
    <w:rsid w:val="00347FBD"/>
    <w:rsid w:val="00360FC9"/>
    <w:rsid w:val="00363217"/>
    <w:rsid w:val="00363A7C"/>
    <w:rsid w:val="00372EA1"/>
    <w:rsid w:val="003736FB"/>
    <w:rsid w:val="003739CD"/>
    <w:rsid w:val="0037501E"/>
    <w:rsid w:val="00375BFD"/>
    <w:rsid w:val="00376E3E"/>
    <w:rsid w:val="00380498"/>
    <w:rsid w:val="00390A02"/>
    <w:rsid w:val="00393D4F"/>
    <w:rsid w:val="00395CA4"/>
    <w:rsid w:val="003A0D54"/>
    <w:rsid w:val="003A0FE2"/>
    <w:rsid w:val="003A2D50"/>
    <w:rsid w:val="003A3E6E"/>
    <w:rsid w:val="003B01F0"/>
    <w:rsid w:val="003B6782"/>
    <w:rsid w:val="003C2609"/>
    <w:rsid w:val="003D0962"/>
    <w:rsid w:val="003D0A5D"/>
    <w:rsid w:val="003D1BD1"/>
    <w:rsid w:val="003D1C9B"/>
    <w:rsid w:val="003D2652"/>
    <w:rsid w:val="003D552A"/>
    <w:rsid w:val="003D7C1D"/>
    <w:rsid w:val="003D7DAA"/>
    <w:rsid w:val="003E1F5F"/>
    <w:rsid w:val="003E4AA1"/>
    <w:rsid w:val="003F2A35"/>
    <w:rsid w:val="003F6446"/>
    <w:rsid w:val="0040295C"/>
    <w:rsid w:val="00402C8B"/>
    <w:rsid w:val="004030A6"/>
    <w:rsid w:val="00404F7E"/>
    <w:rsid w:val="00414A92"/>
    <w:rsid w:val="004172B3"/>
    <w:rsid w:val="00421212"/>
    <w:rsid w:val="004232EF"/>
    <w:rsid w:val="00423EB3"/>
    <w:rsid w:val="00425809"/>
    <w:rsid w:val="00426E75"/>
    <w:rsid w:val="0042712C"/>
    <w:rsid w:val="00432B6C"/>
    <w:rsid w:val="00433812"/>
    <w:rsid w:val="00434034"/>
    <w:rsid w:val="00440E3C"/>
    <w:rsid w:val="00442050"/>
    <w:rsid w:val="00444A4B"/>
    <w:rsid w:val="00447D56"/>
    <w:rsid w:val="0045594C"/>
    <w:rsid w:val="0045603B"/>
    <w:rsid w:val="004562F7"/>
    <w:rsid w:val="00456966"/>
    <w:rsid w:val="00464AEF"/>
    <w:rsid w:val="00465957"/>
    <w:rsid w:val="0047230D"/>
    <w:rsid w:val="00473C06"/>
    <w:rsid w:val="0047545D"/>
    <w:rsid w:val="00476708"/>
    <w:rsid w:val="004768FC"/>
    <w:rsid w:val="0047738B"/>
    <w:rsid w:val="00480C96"/>
    <w:rsid w:val="00485B75"/>
    <w:rsid w:val="00486000"/>
    <w:rsid w:val="004A4024"/>
    <w:rsid w:val="004A450B"/>
    <w:rsid w:val="004A5D97"/>
    <w:rsid w:val="004B1E56"/>
    <w:rsid w:val="004B35BB"/>
    <w:rsid w:val="004B6979"/>
    <w:rsid w:val="004B6C66"/>
    <w:rsid w:val="004C34AB"/>
    <w:rsid w:val="004D3DE1"/>
    <w:rsid w:val="004D47CB"/>
    <w:rsid w:val="004D491E"/>
    <w:rsid w:val="004E3A8F"/>
    <w:rsid w:val="004F4712"/>
    <w:rsid w:val="004F5E5A"/>
    <w:rsid w:val="005002CD"/>
    <w:rsid w:val="00501BC3"/>
    <w:rsid w:val="005041E8"/>
    <w:rsid w:val="005046B0"/>
    <w:rsid w:val="00504ED0"/>
    <w:rsid w:val="00505809"/>
    <w:rsid w:val="00506F32"/>
    <w:rsid w:val="005107A9"/>
    <w:rsid w:val="005112AE"/>
    <w:rsid w:val="005167C9"/>
    <w:rsid w:val="00521EC4"/>
    <w:rsid w:val="005226B1"/>
    <w:rsid w:val="00523805"/>
    <w:rsid w:val="00530E34"/>
    <w:rsid w:val="005342B8"/>
    <w:rsid w:val="00535A76"/>
    <w:rsid w:val="005406FC"/>
    <w:rsid w:val="00553B77"/>
    <w:rsid w:val="00560532"/>
    <w:rsid w:val="00564CD1"/>
    <w:rsid w:val="005676D9"/>
    <w:rsid w:val="005679A9"/>
    <w:rsid w:val="00570A85"/>
    <w:rsid w:val="00571D76"/>
    <w:rsid w:val="00573ABA"/>
    <w:rsid w:val="00576A8E"/>
    <w:rsid w:val="0058250E"/>
    <w:rsid w:val="00585DFB"/>
    <w:rsid w:val="0059023E"/>
    <w:rsid w:val="005902B1"/>
    <w:rsid w:val="005973E6"/>
    <w:rsid w:val="0059752E"/>
    <w:rsid w:val="005A4F85"/>
    <w:rsid w:val="005A66F6"/>
    <w:rsid w:val="005A7279"/>
    <w:rsid w:val="005B3797"/>
    <w:rsid w:val="005B3BD3"/>
    <w:rsid w:val="005B3D0E"/>
    <w:rsid w:val="005B69EE"/>
    <w:rsid w:val="005B7C33"/>
    <w:rsid w:val="005C2CD2"/>
    <w:rsid w:val="005C5AFB"/>
    <w:rsid w:val="005C6DE3"/>
    <w:rsid w:val="005D0CE0"/>
    <w:rsid w:val="005D11DD"/>
    <w:rsid w:val="005D2C53"/>
    <w:rsid w:val="005D2E34"/>
    <w:rsid w:val="005D3548"/>
    <w:rsid w:val="005D4C1F"/>
    <w:rsid w:val="005E167C"/>
    <w:rsid w:val="005E1A90"/>
    <w:rsid w:val="005F0522"/>
    <w:rsid w:val="005F3E10"/>
    <w:rsid w:val="005F6997"/>
    <w:rsid w:val="005F7BA6"/>
    <w:rsid w:val="006008D1"/>
    <w:rsid w:val="006015F0"/>
    <w:rsid w:val="0060740B"/>
    <w:rsid w:val="00607E0A"/>
    <w:rsid w:val="00614305"/>
    <w:rsid w:val="00621D60"/>
    <w:rsid w:val="00626475"/>
    <w:rsid w:val="00635F15"/>
    <w:rsid w:val="0063726F"/>
    <w:rsid w:val="006422F8"/>
    <w:rsid w:val="00645D94"/>
    <w:rsid w:val="006465E6"/>
    <w:rsid w:val="00650D1F"/>
    <w:rsid w:val="00653A6A"/>
    <w:rsid w:val="006556FE"/>
    <w:rsid w:val="00656118"/>
    <w:rsid w:val="006601D1"/>
    <w:rsid w:val="006607D5"/>
    <w:rsid w:val="00660FA8"/>
    <w:rsid w:val="006614B7"/>
    <w:rsid w:val="00663F21"/>
    <w:rsid w:val="00670C8B"/>
    <w:rsid w:val="00672F14"/>
    <w:rsid w:val="006847A4"/>
    <w:rsid w:val="0068588A"/>
    <w:rsid w:val="00685A39"/>
    <w:rsid w:val="00687B09"/>
    <w:rsid w:val="00692EB9"/>
    <w:rsid w:val="006932D9"/>
    <w:rsid w:val="00697A12"/>
    <w:rsid w:val="006A0E0D"/>
    <w:rsid w:val="006A49C4"/>
    <w:rsid w:val="006A4C73"/>
    <w:rsid w:val="006A6AA7"/>
    <w:rsid w:val="006A71C7"/>
    <w:rsid w:val="006A7F0D"/>
    <w:rsid w:val="006B0083"/>
    <w:rsid w:val="006B0528"/>
    <w:rsid w:val="006B3C19"/>
    <w:rsid w:val="006B689F"/>
    <w:rsid w:val="006B74D9"/>
    <w:rsid w:val="006C1005"/>
    <w:rsid w:val="006C2AEC"/>
    <w:rsid w:val="006C70C8"/>
    <w:rsid w:val="006D11A1"/>
    <w:rsid w:val="006D19C5"/>
    <w:rsid w:val="006D4169"/>
    <w:rsid w:val="006D4F2B"/>
    <w:rsid w:val="006D7EEC"/>
    <w:rsid w:val="006E06BD"/>
    <w:rsid w:val="006E5B14"/>
    <w:rsid w:val="006F3000"/>
    <w:rsid w:val="007004BD"/>
    <w:rsid w:val="007012E3"/>
    <w:rsid w:val="00703A18"/>
    <w:rsid w:val="00706E83"/>
    <w:rsid w:val="00712049"/>
    <w:rsid w:val="00712277"/>
    <w:rsid w:val="00712A28"/>
    <w:rsid w:val="00714323"/>
    <w:rsid w:val="00714EF0"/>
    <w:rsid w:val="00726353"/>
    <w:rsid w:val="0073045D"/>
    <w:rsid w:val="007326A2"/>
    <w:rsid w:val="007338A3"/>
    <w:rsid w:val="0073504A"/>
    <w:rsid w:val="007362E3"/>
    <w:rsid w:val="007378AB"/>
    <w:rsid w:val="00743E61"/>
    <w:rsid w:val="00743EAC"/>
    <w:rsid w:val="0074799B"/>
    <w:rsid w:val="00750580"/>
    <w:rsid w:val="00750761"/>
    <w:rsid w:val="00751467"/>
    <w:rsid w:val="007519EC"/>
    <w:rsid w:val="00755BE7"/>
    <w:rsid w:val="00756789"/>
    <w:rsid w:val="00772357"/>
    <w:rsid w:val="00780B64"/>
    <w:rsid w:val="00781868"/>
    <w:rsid w:val="00782E0D"/>
    <w:rsid w:val="0078334F"/>
    <w:rsid w:val="007843AE"/>
    <w:rsid w:val="007848A4"/>
    <w:rsid w:val="007868F8"/>
    <w:rsid w:val="00786A49"/>
    <w:rsid w:val="00787F10"/>
    <w:rsid w:val="007904BA"/>
    <w:rsid w:val="007929E4"/>
    <w:rsid w:val="00794BAD"/>
    <w:rsid w:val="007966E4"/>
    <w:rsid w:val="00796D58"/>
    <w:rsid w:val="00796DF9"/>
    <w:rsid w:val="00797B47"/>
    <w:rsid w:val="007A139D"/>
    <w:rsid w:val="007A26C3"/>
    <w:rsid w:val="007A3136"/>
    <w:rsid w:val="007A3AB4"/>
    <w:rsid w:val="007A4083"/>
    <w:rsid w:val="007A5583"/>
    <w:rsid w:val="007B1CC7"/>
    <w:rsid w:val="007B24F0"/>
    <w:rsid w:val="007B3371"/>
    <w:rsid w:val="007B3676"/>
    <w:rsid w:val="007B3A2D"/>
    <w:rsid w:val="007B50CE"/>
    <w:rsid w:val="007B778D"/>
    <w:rsid w:val="007D1AEC"/>
    <w:rsid w:val="007D1CC6"/>
    <w:rsid w:val="007D25D0"/>
    <w:rsid w:val="007E0BB7"/>
    <w:rsid w:val="007E3E69"/>
    <w:rsid w:val="007F36D6"/>
    <w:rsid w:val="007F54BD"/>
    <w:rsid w:val="007F6F18"/>
    <w:rsid w:val="008073E9"/>
    <w:rsid w:val="008112CB"/>
    <w:rsid w:val="00812432"/>
    <w:rsid w:val="0081319F"/>
    <w:rsid w:val="0081337B"/>
    <w:rsid w:val="00821712"/>
    <w:rsid w:val="00821DE7"/>
    <w:rsid w:val="00825132"/>
    <w:rsid w:val="00825F8D"/>
    <w:rsid w:val="00825FED"/>
    <w:rsid w:val="0083153F"/>
    <w:rsid w:val="00831814"/>
    <w:rsid w:val="00833A44"/>
    <w:rsid w:val="008340FF"/>
    <w:rsid w:val="0084392E"/>
    <w:rsid w:val="00846E2E"/>
    <w:rsid w:val="00847BC4"/>
    <w:rsid w:val="00847E60"/>
    <w:rsid w:val="00853C2F"/>
    <w:rsid w:val="00855965"/>
    <w:rsid w:val="0086524E"/>
    <w:rsid w:val="008709BB"/>
    <w:rsid w:val="008717D7"/>
    <w:rsid w:val="008738CC"/>
    <w:rsid w:val="008751F9"/>
    <w:rsid w:val="00875FEC"/>
    <w:rsid w:val="008814E2"/>
    <w:rsid w:val="00882BA1"/>
    <w:rsid w:val="008868B8"/>
    <w:rsid w:val="008968A6"/>
    <w:rsid w:val="008A0980"/>
    <w:rsid w:val="008A1321"/>
    <w:rsid w:val="008A1571"/>
    <w:rsid w:val="008B0287"/>
    <w:rsid w:val="008B1BBF"/>
    <w:rsid w:val="008B236D"/>
    <w:rsid w:val="008B346B"/>
    <w:rsid w:val="008B452B"/>
    <w:rsid w:val="008C6E49"/>
    <w:rsid w:val="008D13C1"/>
    <w:rsid w:val="008D27BA"/>
    <w:rsid w:val="008D29BB"/>
    <w:rsid w:val="008D4A2D"/>
    <w:rsid w:val="008E1BED"/>
    <w:rsid w:val="008E2F8A"/>
    <w:rsid w:val="008E5271"/>
    <w:rsid w:val="008E6EA8"/>
    <w:rsid w:val="008E7429"/>
    <w:rsid w:val="008F0402"/>
    <w:rsid w:val="008F092E"/>
    <w:rsid w:val="008F2828"/>
    <w:rsid w:val="008F6B74"/>
    <w:rsid w:val="008F7C1F"/>
    <w:rsid w:val="008F7E79"/>
    <w:rsid w:val="0090196C"/>
    <w:rsid w:val="00903F26"/>
    <w:rsid w:val="00907E7E"/>
    <w:rsid w:val="00912E5E"/>
    <w:rsid w:val="00914DCA"/>
    <w:rsid w:val="00915624"/>
    <w:rsid w:val="0091708A"/>
    <w:rsid w:val="00917E66"/>
    <w:rsid w:val="00920FA7"/>
    <w:rsid w:val="009227D9"/>
    <w:rsid w:val="0092679D"/>
    <w:rsid w:val="00926FFC"/>
    <w:rsid w:val="009300FA"/>
    <w:rsid w:val="009306C1"/>
    <w:rsid w:val="00933564"/>
    <w:rsid w:val="00940109"/>
    <w:rsid w:val="0094021A"/>
    <w:rsid w:val="00943E42"/>
    <w:rsid w:val="00945604"/>
    <w:rsid w:val="00950202"/>
    <w:rsid w:val="00951431"/>
    <w:rsid w:val="00960A61"/>
    <w:rsid w:val="00960FF1"/>
    <w:rsid w:val="00962716"/>
    <w:rsid w:val="00971351"/>
    <w:rsid w:val="009719E9"/>
    <w:rsid w:val="009720B0"/>
    <w:rsid w:val="009761D4"/>
    <w:rsid w:val="00996076"/>
    <w:rsid w:val="00996847"/>
    <w:rsid w:val="009A57CF"/>
    <w:rsid w:val="009B3BFE"/>
    <w:rsid w:val="009B46A7"/>
    <w:rsid w:val="009B7EF5"/>
    <w:rsid w:val="009C16C4"/>
    <w:rsid w:val="009C1E29"/>
    <w:rsid w:val="009C37E2"/>
    <w:rsid w:val="009C5A5E"/>
    <w:rsid w:val="009C72DC"/>
    <w:rsid w:val="009C7C19"/>
    <w:rsid w:val="009D3469"/>
    <w:rsid w:val="009D55DD"/>
    <w:rsid w:val="009E4154"/>
    <w:rsid w:val="009E5A61"/>
    <w:rsid w:val="009F53FC"/>
    <w:rsid w:val="009F6BF5"/>
    <w:rsid w:val="00A05174"/>
    <w:rsid w:val="00A10124"/>
    <w:rsid w:val="00A200CB"/>
    <w:rsid w:val="00A22F01"/>
    <w:rsid w:val="00A3578F"/>
    <w:rsid w:val="00A3585B"/>
    <w:rsid w:val="00A37DFF"/>
    <w:rsid w:val="00A4005F"/>
    <w:rsid w:val="00A43924"/>
    <w:rsid w:val="00A46EC4"/>
    <w:rsid w:val="00A510F2"/>
    <w:rsid w:val="00A5176B"/>
    <w:rsid w:val="00A51D04"/>
    <w:rsid w:val="00A51D4A"/>
    <w:rsid w:val="00A54771"/>
    <w:rsid w:val="00A5618A"/>
    <w:rsid w:val="00A57CBB"/>
    <w:rsid w:val="00A6185A"/>
    <w:rsid w:val="00A66DA9"/>
    <w:rsid w:val="00A7105F"/>
    <w:rsid w:val="00A72700"/>
    <w:rsid w:val="00A73C2D"/>
    <w:rsid w:val="00A80A7D"/>
    <w:rsid w:val="00A83FAF"/>
    <w:rsid w:val="00A87E39"/>
    <w:rsid w:val="00A91B7C"/>
    <w:rsid w:val="00A94FEE"/>
    <w:rsid w:val="00A95EDD"/>
    <w:rsid w:val="00A96038"/>
    <w:rsid w:val="00AA1DF8"/>
    <w:rsid w:val="00AA2DE2"/>
    <w:rsid w:val="00AA5FA4"/>
    <w:rsid w:val="00AB6612"/>
    <w:rsid w:val="00AC2AEF"/>
    <w:rsid w:val="00AD02BA"/>
    <w:rsid w:val="00AD0AA0"/>
    <w:rsid w:val="00AD3281"/>
    <w:rsid w:val="00AD65F6"/>
    <w:rsid w:val="00AE467C"/>
    <w:rsid w:val="00AF05E5"/>
    <w:rsid w:val="00AF20A0"/>
    <w:rsid w:val="00AF27AF"/>
    <w:rsid w:val="00AF3153"/>
    <w:rsid w:val="00AF32F1"/>
    <w:rsid w:val="00AF5152"/>
    <w:rsid w:val="00B23ABB"/>
    <w:rsid w:val="00B24082"/>
    <w:rsid w:val="00B2441B"/>
    <w:rsid w:val="00B26E3E"/>
    <w:rsid w:val="00B36E07"/>
    <w:rsid w:val="00B41DAB"/>
    <w:rsid w:val="00B41F5F"/>
    <w:rsid w:val="00B4531C"/>
    <w:rsid w:val="00B46F87"/>
    <w:rsid w:val="00B51C33"/>
    <w:rsid w:val="00B52707"/>
    <w:rsid w:val="00B56294"/>
    <w:rsid w:val="00B579E1"/>
    <w:rsid w:val="00B62162"/>
    <w:rsid w:val="00B6235A"/>
    <w:rsid w:val="00B6293B"/>
    <w:rsid w:val="00B70BED"/>
    <w:rsid w:val="00B717AB"/>
    <w:rsid w:val="00B72FC5"/>
    <w:rsid w:val="00B803FB"/>
    <w:rsid w:val="00B83988"/>
    <w:rsid w:val="00B84A4C"/>
    <w:rsid w:val="00B86F09"/>
    <w:rsid w:val="00B8760D"/>
    <w:rsid w:val="00B94A76"/>
    <w:rsid w:val="00B96FF6"/>
    <w:rsid w:val="00BA270F"/>
    <w:rsid w:val="00BA402A"/>
    <w:rsid w:val="00BA49B2"/>
    <w:rsid w:val="00BB028F"/>
    <w:rsid w:val="00BB5907"/>
    <w:rsid w:val="00BB5E17"/>
    <w:rsid w:val="00BC02C6"/>
    <w:rsid w:val="00BC1492"/>
    <w:rsid w:val="00BC1D9F"/>
    <w:rsid w:val="00BC3A20"/>
    <w:rsid w:val="00BC6CDE"/>
    <w:rsid w:val="00BC71DC"/>
    <w:rsid w:val="00BD38A5"/>
    <w:rsid w:val="00BD5602"/>
    <w:rsid w:val="00BE2FA2"/>
    <w:rsid w:val="00BE41E9"/>
    <w:rsid w:val="00BE48A4"/>
    <w:rsid w:val="00BE506B"/>
    <w:rsid w:val="00BF27BF"/>
    <w:rsid w:val="00C060B6"/>
    <w:rsid w:val="00C066BF"/>
    <w:rsid w:val="00C0709B"/>
    <w:rsid w:val="00C07859"/>
    <w:rsid w:val="00C10E8D"/>
    <w:rsid w:val="00C17308"/>
    <w:rsid w:val="00C176E9"/>
    <w:rsid w:val="00C220D5"/>
    <w:rsid w:val="00C24530"/>
    <w:rsid w:val="00C3086D"/>
    <w:rsid w:val="00C3144B"/>
    <w:rsid w:val="00C32FF0"/>
    <w:rsid w:val="00C40BFB"/>
    <w:rsid w:val="00C41FB1"/>
    <w:rsid w:val="00C50F85"/>
    <w:rsid w:val="00C5258B"/>
    <w:rsid w:val="00C5513F"/>
    <w:rsid w:val="00C56D52"/>
    <w:rsid w:val="00C605B0"/>
    <w:rsid w:val="00C618BF"/>
    <w:rsid w:val="00C62C28"/>
    <w:rsid w:val="00C665B2"/>
    <w:rsid w:val="00C70D86"/>
    <w:rsid w:val="00C77306"/>
    <w:rsid w:val="00C776D6"/>
    <w:rsid w:val="00C80077"/>
    <w:rsid w:val="00C800E2"/>
    <w:rsid w:val="00C8398C"/>
    <w:rsid w:val="00C871AF"/>
    <w:rsid w:val="00C971B5"/>
    <w:rsid w:val="00CA00EE"/>
    <w:rsid w:val="00CA1717"/>
    <w:rsid w:val="00CA2475"/>
    <w:rsid w:val="00CA2C2F"/>
    <w:rsid w:val="00CA41B4"/>
    <w:rsid w:val="00CA5664"/>
    <w:rsid w:val="00CA6BA5"/>
    <w:rsid w:val="00CB1190"/>
    <w:rsid w:val="00CB1ACC"/>
    <w:rsid w:val="00CC1A29"/>
    <w:rsid w:val="00CC1BCA"/>
    <w:rsid w:val="00CC5864"/>
    <w:rsid w:val="00CC66F7"/>
    <w:rsid w:val="00CD1B8F"/>
    <w:rsid w:val="00CD61D0"/>
    <w:rsid w:val="00CD7704"/>
    <w:rsid w:val="00CD7A3F"/>
    <w:rsid w:val="00CD7C99"/>
    <w:rsid w:val="00CE2D5F"/>
    <w:rsid w:val="00CE5318"/>
    <w:rsid w:val="00CE60F9"/>
    <w:rsid w:val="00CE6364"/>
    <w:rsid w:val="00CF245E"/>
    <w:rsid w:val="00D0091D"/>
    <w:rsid w:val="00D00FE9"/>
    <w:rsid w:val="00D031DC"/>
    <w:rsid w:val="00D036B6"/>
    <w:rsid w:val="00D05ECB"/>
    <w:rsid w:val="00D05FAE"/>
    <w:rsid w:val="00D07F7B"/>
    <w:rsid w:val="00D153A1"/>
    <w:rsid w:val="00D20C2F"/>
    <w:rsid w:val="00D34912"/>
    <w:rsid w:val="00D3586C"/>
    <w:rsid w:val="00D3629B"/>
    <w:rsid w:val="00D369C2"/>
    <w:rsid w:val="00D40A2B"/>
    <w:rsid w:val="00D40D64"/>
    <w:rsid w:val="00D42517"/>
    <w:rsid w:val="00D571D4"/>
    <w:rsid w:val="00D60426"/>
    <w:rsid w:val="00D611A1"/>
    <w:rsid w:val="00D625EE"/>
    <w:rsid w:val="00D6783C"/>
    <w:rsid w:val="00D74012"/>
    <w:rsid w:val="00D860D5"/>
    <w:rsid w:val="00D946B6"/>
    <w:rsid w:val="00D95A2F"/>
    <w:rsid w:val="00D96C70"/>
    <w:rsid w:val="00DA33F1"/>
    <w:rsid w:val="00DB0524"/>
    <w:rsid w:val="00DB21FA"/>
    <w:rsid w:val="00DB4895"/>
    <w:rsid w:val="00DB6E85"/>
    <w:rsid w:val="00DB7A2B"/>
    <w:rsid w:val="00DC2CF7"/>
    <w:rsid w:val="00DC615D"/>
    <w:rsid w:val="00DC7399"/>
    <w:rsid w:val="00DD0145"/>
    <w:rsid w:val="00DD2D6E"/>
    <w:rsid w:val="00DD4ED3"/>
    <w:rsid w:val="00DE0FD1"/>
    <w:rsid w:val="00DE2AC4"/>
    <w:rsid w:val="00DE3E7D"/>
    <w:rsid w:val="00DE794C"/>
    <w:rsid w:val="00DF4B79"/>
    <w:rsid w:val="00DF7305"/>
    <w:rsid w:val="00DF77B3"/>
    <w:rsid w:val="00E00CEE"/>
    <w:rsid w:val="00E014FD"/>
    <w:rsid w:val="00E1255D"/>
    <w:rsid w:val="00E12F89"/>
    <w:rsid w:val="00E12FCD"/>
    <w:rsid w:val="00E165F0"/>
    <w:rsid w:val="00E2256F"/>
    <w:rsid w:val="00E242AD"/>
    <w:rsid w:val="00E32890"/>
    <w:rsid w:val="00E34E42"/>
    <w:rsid w:val="00E35516"/>
    <w:rsid w:val="00E412C1"/>
    <w:rsid w:val="00E439ED"/>
    <w:rsid w:val="00E44A5C"/>
    <w:rsid w:val="00E453F9"/>
    <w:rsid w:val="00E46D7B"/>
    <w:rsid w:val="00E47EA8"/>
    <w:rsid w:val="00E516F7"/>
    <w:rsid w:val="00E55443"/>
    <w:rsid w:val="00E61121"/>
    <w:rsid w:val="00E6724C"/>
    <w:rsid w:val="00E71A38"/>
    <w:rsid w:val="00E772DD"/>
    <w:rsid w:val="00E778BD"/>
    <w:rsid w:val="00E80DAA"/>
    <w:rsid w:val="00E8134F"/>
    <w:rsid w:val="00E82807"/>
    <w:rsid w:val="00E86F30"/>
    <w:rsid w:val="00E933C6"/>
    <w:rsid w:val="00E93EDE"/>
    <w:rsid w:val="00E941E6"/>
    <w:rsid w:val="00E958D9"/>
    <w:rsid w:val="00E97766"/>
    <w:rsid w:val="00EA14FB"/>
    <w:rsid w:val="00EB1132"/>
    <w:rsid w:val="00EB7906"/>
    <w:rsid w:val="00EC0ABC"/>
    <w:rsid w:val="00EC36A6"/>
    <w:rsid w:val="00EC4FCB"/>
    <w:rsid w:val="00EC5DD8"/>
    <w:rsid w:val="00ED04F9"/>
    <w:rsid w:val="00ED06B2"/>
    <w:rsid w:val="00ED136F"/>
    <w:rsid w:val="00ED2ABE"/>
    <w:rsid w:val="00ED4CCC"/>
    <w:rsid w:val="00ED4ECA"/>
    <w:rsid w:val="00EE3649"/>
    <w:rsid w:val="00EE533D"/>
    <w:rsid w:val="00EF0803"/>
    <w:rsid w:val="00EF0D14"/>
    <w:rsid w:val="00EF48D6"/>
    <w:rsid w:val="00EF553B"/>
    <w:rsid w:val="00EF60B2"/>
    <w:rsid w:val="00F0134A"/>
    <w:rsid w:val="00F06268"/>
    <w:rsid w:val="00F10971"/>
    <w:rsid w:val="00F15679"/>
    <w:rsid w:val="00F16318"/>
    <w:rsid w:val="00F232B7"/>
    <w:rsid w:val="00F26AF5"/>
    <w:rsid w:val="00F26D38"/>
    <w:rsid w:val="00F277E3"/>
    <w:rsid w:val="00F34551"/>
    <w:rsid w:val="00F352A5"/>
    <w:rsid w:val="00F35F03"/>
    <w:rsid w:val="00F40680"/>
    <w:rsid w:val="00F41E01"/>
    <w:rsid w:val="00F44CF7"/>
    <w:rsid w:val="00F5001D"/>
    <w:rsid w:val="00F502E3"/>
    <w:rsid w:val="00F57A18"/>
    <w:rsid w:val="00F654F0"/>
    <w:rsid w:val="00F67D7D"/>
    <w:rsid w:val="00F71B46"/>
    <w:rsid w:val="00F747D4"/>
    <w:rsid w:val="00F75AB8"/>
    <w:rsid w:val="00F77C18"/>
    <w:rsid w:val="00F84DFC"/>
    <w:rsid w:val="00F8569D"/>
    <w:rsid w:val="00F861B2"/>
    <w:rsid w:val="00F9139E"/>
    <w:rsid w:val="00FB01D8"/>
    <w:rsid w:val="00FC4AB2"/>
    <w:rsid w:val="00FD57EB"/>
    <w:rsid w:val="00FE3508"/>
    <w:rsid w:val="00FF088D"/>
    <w:rsid w:val="00FF1258"/>
    <w:rsid w:val="00FF2FD7"/>
    <w:rsid w:val="00FF30AA"/>
    <w:rsid w:val="00FF4D1F"/>
    <w:rsid w:val="00FF7B65"/>
    <w:rsid w:val="01030DDE"/>
    <w:rsid w:val="012B6F7B"/>
    <w:rsid w:val="012D0BAE"/>
    <w:rsid w:val="013830B0"/>
    <w:rsid w:val="013D0F43"/>
    <w:rsid w:val="014144CF"/>
    <w:rsid w:val="014E1339"/>
    <w:rsid w:val="014F0784"/>
    <w:rsid w:val="01504BE5"/>
    <w:rsid w:val="015065F0"/>
    <w:rsid w:val="015B46D8"/>
    <w:rsid w:val="015C357B"/>
    <w:rsid w:val="015E49AA"/>
    <w:rsid w:val="01832D9C"/>
    <w:rsid w:val="018C4E18"/>
    <w:rsid w:val="018E5502"/>
    <w:rsid w:val="01926EF3"/>
    <w:rsid w:val="01A551E6"/>
    <w:rsid w:val="01B10399"/>
    <w:rsid w:val="01B31136"/>
    <w:rsid w:val="01CA3BD3"/>
    <w:rsid w:val="01CD5C71"/>
    <w:rsid w:val="01E2381A"/>
    <w:rsid w:val="01F24FF9"/>
    <w:rsid w:val="01F93D06"/>
    <w:rsid w:val="0203671D"/>
    <w:rsid w:val="02066154"/>
    <w:rsid w:val="020F4306"/>
    <w:rsid w:val="02160C2D"/>
    <w:rsid w:val="021F30BD"/>
    <w:rsid w:val="0227225C"/>
    <w:rsid w:val="02361CD2"/>
    <w:rsid w:val="023D3150"/>
    <w:rsid w:val="023F3E13"/>
    <w:rsid w:val="025F65CF"/>
    <w:rsid w:val="02655676"/>
    <w:rsid w:val="027921C6"/>
    <w:rsid w:val="027A4C62"/>
    <w:rsid w:val="02851903"/>
    <w:rsid w:val="02932956"/>
    <w:rsid w:val="02946100"/>
    <w:rsid w:val="029B2153"/>
    <w:rsid w:val="029F091C"/>
    <w:rsid w:val="02AB3FEC"/>
    <w:rsid w:val="02B135BF"/>
    <w:rsid w:val="02C62CA3"/>
    <w:rsid w:val="02D46208"/>
    <w:rsid w:val="02E90BF0"/>
    <w:rsid w:val="03111E12"/>
    <w:rsid w:val="031A1110"/>
    <w:rsid w:val="031E4A07"/>
    <w:rsid w:val="03227A09"/>
    <w:rsid w:val="03351FCA"/>
    <w:rsid w:val="033F60A1"/>
    <w:rsid w:val="034A0FA6"/>
    <w:rsid w:val="034B3B25"/>
    <w:rsid w:val="035E0042"/>
    <w:rsid w:val="036D30B6"/>
    <w:rsid w:val="038B2FE8"/>
    <w:rsid w:val="03AF03D0"/>
    <w:rsid w:val="03C35897"/>
    <w:rsid w:val="03CB30CB"/>
    <w:rsid w:val="03D11BC1"/>
    <w:rsid w:val="03E01254"/>
    <w:rsid w:val="03E47FC0"/>
    <w:rsid w:val="03FD39DE"/>
    <w:rsid w:val="041173FE"/>
    <w:rsid w:val="044A39BF"/>
    <w:rsid w:val="044A5CEC"/>
    <w:rsid w:val="045E01F7"/>
    <w:rsid w:val="0492756A"/>
    <w:rsid w:val="049C685C"/>
    <w:rsid w:val="04A844DD"/>
    <w:rsid w:val="04AF66A4"/>
    <w:rsid w:val="04C06D88"/>
    <w:rsid w:val="04C17980"/>
    <w:rsid w:val="04C31BAB"/>
    <w:rsid w:val="04D02789"/>
    <w:rsid w:val="04D65AEB"/>
    <w:rsid w:val="04D80339"/>
    <w:rsid w:val="04E350ED"/>
    <w:rsid w:val="04F003A1"/>
    <w:rsid w:val="04F909BB"/>
    <w:rsid w:val="051E135B"/>
    <w:rsid w:val="052275B6"/>
    <w:rsid w:val="05245365"/>
    <w:rsid w:val="052527CA"/>
    <w:rsid w:val="05425DDE"/>
    <w:rsid w:val="054D2C9E"/>
    <w:rsid w:val="055540B5"/>
    <w:rsid w:val="055673B5"/>
    <w:rsid w:val="056177D2"/>
    <w:rsid w:val="05824805"/>
    <w:rsid w:val="05A55B2D"/>
    <w:rsid w:val="05AD72EB"/>
    <w:rsid w:val="05AF21B5"/>
    <w:rsid w:val="05CE0982"/>
    <w:rsid w:val="05CE5389"/>
    <w:rsid w:val="05CF5927"/>
    <w:rsid w:val="05D07FC9"/>
    <w:rsid w:val="05DC5E9F"/>
    <w:rsid w:val="05F20CC5"/>
    <w:rsid w:val="06021C55"/>
    <w:rsid w:val="06041F33"/>
    <w:rsid w:val="06096191"/>
    <w:rsid w:val="06145E52"/>
    <w:rsid w:val="06165C4A"/>
    <w:rsid w:val="061C1DE0"/>
    <w:rsid w:val="06206C9D"/>
    <w:rsid w:val="06252EEB"/>
    <w:rsid w:val="062C05D8"/>
    <w:rsid w:val="063A6D67"/>
    <w:rsid w:val="0641041E"/>
    <w:rsid w:val="0664174A"/>
    <w:rsid w:val="06695BF5"/>
    <w:rsid w:val="06864CE1"/>
    <w:rsid w:val="069B64E7"/>
    <w:rsid w:val="069C4F98"/>
    <w:rsid w:val="069F4568"/>
    <w:rsid w:val="06A4316F"/>
    <w:rsid w:val="06C83E11"/>
    <w:rsid w:val="06DF6DF8"/>
    <w:rsid w:val="06E35B59"/>
    <w:rsid w:val="06E86600"/>
    <w:rsid w:val="06F2047B"/>
    <w:rsid w:val="070A7C1D"/>
    <w:rsid w:val="070D4784"/>
    <w:rsid w:val="0734481E"/>
    <w:rsid w:val="073872AC"/>
    <w:rsid w:val="0739121B"/>
    <w:rsid w:val="074F76CC"/>
    <w:rsid w:val="07534127"/>
    <w:rsid w:val="075D71A2"/>
    <w:rsid w:val="078D2F7A"/>
    <w:rsid w:val="078F67C8"/>
    <w:rsid w:val="079E375F"/>
    <w:rsid w:val="07A16291"/>
    <w:rsid w:val="07A25313"/>
    <w:rsid w:val="07B21117"/>
    <w:rsid w:val="07D20038"/>
    <w:rsid w:val="07D544F6"/>
    <w:rsid w:val="07E27017"/>
    <w:rsid w:val="07E376D0"/>
    <w:rsid w:val="08080FFF"/>
    <w:rsid w:val="08102A00"/>
    <w:rsid w:val="083162A4"/>
    <w:rsid w:val="08363C6B"/>
    <w:rsid w:val="083C5DD0"/>
    <w:rsid w:val="08467A09"/>
    <w:rsid w:val="088E2C7E"/>
    <w:rsid w:val="08916304"/>
    <w:rsid w:val="08950346"/>
    <w:rsid w:val="08993FBE"/>
    <w:rsid w:val="08A628DA"/>
    <w:rsid w:val="08A92692"/>
    <w:rsid w:val="08AC1BBC"/>
    <w:rsid w:val="08BA2470"/>
    <w:rsid w:val="08BF2F78"/>
    <w:rsid w:val="08C54E04"/>
    <w:rsid w:val="08C97049"/>
    <w:rsid w:val="08DD727C"/>
    <w:rsid w:val="08EF5261"/>
    <w:rsid w:val="08F64D92"/>
    <w:rsid w:val="090642A9"/>
    <w:rsid w:val="09084991"/>
    <w:rsid w:val="09087491"/>
    <w:rsid w:val="091302BE"/>
    <w:rsid w:val="092A34D8"/>
    <w:rsid w:val="09347DDC"/>
    <w:rsid w:val="093F73C5"/>
    <w:rsid w:val="094424D5"/>
    <w:rsid w:val="094D2DAB"/>
    <w:rsid w:val="094D3901"/>
    <w:rsid w:val="09542595"/>
    <w:rsid w:val="09784589"/>
    <w:rsid w:val="097D6FA6"/>
    <w:rsid w:val="09A16BA8"/>
    <w:rsid w:val="09AB5358"/>
    <w:rsid w:val="09B45FD0"/>
    <w:rsid w:val="09B759C8"/>
    <w:rsid w:val="09BB3EBA"/>
    <w:rsid w:val="09C53CBA"/>
    <w:rsid w:val="09DA6A59"/>
    <w:rsid w:val="09DB5543"/>
    <w:rsid w:val="09E76D21"/>
    <w:rsid w:val="09EA4BD1"/>
    <w:rsid w:val="09F61E5B"/>
    <w:rsid w:val="09FE6C03"/>
    <w:rsid w:val="0A06224C"/>
    <w:rsid w:val="0A174AE6"/>
    <w:rsid w:val="0A2344F1"/>
    <w:rsid w:val="0A29023C"/>
    <w:rsid w:val="0A491266"/>
    <w:rsid w:val="0A590DB5"/>
    <w:rsid w:val="0A5A3653"/>
    <w:rsid w:val="0A672AFE"/>
    <w:rsid w:val="0A7714FF"/>
    <w:rsid w:val="0A7A7E04"/>
    <w:rsid w:val="0A8A6CA3"/>
    <w:rsid w:val="0A8D39FE"/>
    <w:rsid w:val="0AA769CE"/>
    <w:rsid w:val="0AAE1F5C"/>
    <w:rsid w:val="0AAF4C99"/>
    <w:rsid w:val="0AB04597"/>
    <w:rsid w:val="0AB87CAE"/>
    <w:rsid w:val="0AC6666F"/>
    <w:rsid w:val="0ACE381A"/>
    <w:rsid w:val="0AE61EF7"/>
    <w:rsid w:val="0B065B91"/>
    <w:rsid w:val="0B075559"/>
    <w:rsid w:val="0B201999"/>
    <w:rsid w:val="0B4432A2"/>
    <w:rsid w:val="0B5835BA"/>
    <w:rsid w:val="0B6A623C"/>
    <w:rsid w:val="0B6F313A"/>
    <w:rsid w:val="0B845566"/>
    <w:rsid w:val="0B9E5FDC"/>
    <w:rsid w:val="0BA00FD1"/>
    <w:rsid w:val="0BA51C0D"/>
    <w:rsid w:val="0BBD1892"/>
    <w:rsid w:val="0BCE39F4"/>
    <w:rsid w:val="0BD26C4A"/>
    <w:rsid w:val="0BD55DB9"/>
    <w:rsid w:val="0BD822D2"/>
    <w:rsid w:val="0BEE26E9"/>
    <w:rsid w:val="0BF13437"/>
    <w:rsid w:val="0BF63A03"/>
    <w:rsid w:val="0BFF778B"/>
    <w:rsid w:val="0C0834CB"/>
    <w:rsid w:val="0C11795F"/>
    <w:rsid w:val="0C1314D3"/>
    <w:rsid w:val="0C287626"/>
    <w:rsid w:val="0C2D1801"/>
    <w:rsid w:val="0C2D28EF"/>
    <w:rsid w:val="0C341770"/>
    <w:rsid w:val="0C4270E6"/>
    <w:rsid w:val="0C4968C4"/>
    <w:rsid w:val="0C4B21B7"/>
    <w:rsid w:val="0C56704E"/>
    <w:rsid w:val="0C69640B"/>
    <w:rsid w:val="0C6E077A"/>
    <w:rsid w:val="0C742A38"/>
    <w:rsid w:val="0C9847CA"/>
    <w:rsid w:val="0CA7383D"/>
    <w:rsid w:val="0CC23A7A"/>
    <w:rsid w:val="0CCE30A3"/>
    <w:rsid w:val="0CD92C33"/>
    <w:rsid w:val="0CDB5471"/>
    <w:rsid w:val="0CE5748A"/>
    <w:rsid w:val="0CE81D8C"/>
    <w:rsid w:val="0CF17013"/>
    <w:rsid w:val="0D107E6C"/>
    <w:rsid w:val="0D121B93"/>
    <w:rsid w:val="0D357C6F"/>
    <w:rsid w:val="0D3E0D8D"/>
    <w:rsid w:val="0D4C01DE"/>
    <w:rsid w:val="0D512FA0"/>
    <w:rsid w:val="0D7F11F3"/>
    <w:rsid w:val="0D85219D"/>
    <w:rsid w:val="0D87257C"/>
    <w:rsid w:val="0D90208D"/>
    <w:rsid w:val="0D960D66"/>
    <w:rsid w:val="0DB40FBA"/>
    <w:rsid w:val="0DC36151"/>
    <w:rsid w:val="0DDA41C5"/>
    <w:rsid w:val="0DE9000C"/>
    <w:rsid w:val="0DF31A2F"/>
    <w:rsid w:val="0DF400B7"/>
    <w:rsid w:val="0DFA3B25"/>
    <w:rsid w:val="0DFD23AC"/>
    <w:rsid w:val="0E033D04"/>
    <w:rsid w:val="0E175E9F"/>
    <w:rsid w:val="0E2C13F0"/>
    <w:rsid w:val="0E313F40"/>
    <w:rsid w:val="0E330200"/>
    <w:rsid w:val="0E4F4FFE"/>
    <w:rsid w:val="0E5E58B0"/>
    <w:rsid w:val="0E7A5C12"/>
    <w:rsid w:val="0E926D51"/>
    <w:rsid w:val="0E9D259A"/>
    <w:rsid w:val="0EA80F9F"/>
    <w:rsid w:val="0EB66E46"/>
    <w:rsid w:val="0ECE05A9"/>
    <w:rsid w:val="0ED021C5"/>
    <w:rsid w:val="0EF863E2"/>
    <w:rsid w:val="0F0050BF"/>
    <w:rsid w:val="0F025D32"/>
    <w:rsid w:val="0F1178E8"/>
    <w:rsid w:val="0F3C3FEB"/>
    <w:rsid w:val="0F3D785F"/>
    <w:rsid w:val="0F47765A"/>
    <w:rsid w:val="0F4E565F"/>
    <w:rsid w:val="0F501531"/>
    <w:rsid w:val="0F663F06"/>
    <w:rsid w:val="0F771B1F"/>
    <w:rsid w:val="0F7727F2"/>
    <w:rsid w:val="0F7A67BA"/>
    <w:rsid w:val="0FA41F7F"/>
    <w:rsid w:val="0FC34448"/>
    <w:rsid w:val="0FC37763"/>
    <w:rsid w:val="0FD0005E"/>
    <w:rsid w:val="0FD53F45"/>
    <w:rsid w:val="0FDF1A55"/>
    <w:rsid w:val="0FE87881"/>
    <w:rsid w:val="0FF1244F"/>
    <w:rsid w:val="0FFB62AD"/>
    <w:rsid w:val="0FFF2507"/>
    <w:rsid w:val="102B7A07"/>
    <w:rsid w:val="102D1128"/>
    <w:rsid w:val="1030763B"/>
    <w:rsid w:val="103E0587"/>
    <w:rsid w:val="10421F83"/>
    <w:rsid w:val="10551BE1"/>
    <w:rsid w:val="1069446E"/>
    <w:rsid w:val="106B69B7"/>
    <w:rsid w:val="106D5AB5"/>
    <w:rsid w:val="107E54A6"/>
    <w:rsid w:val="108213F2"/>
    <w:rsid w:val="108F0356"/>
    <w:rsid w:val="109611BC"/>
    <w:rsid w:val="10971A55"/>
    <w:rsid w:val="10A30344"/>
    <w:rsid w:val="10A6165A"/>
    <w:rsid w:val="10AE29FA"/>
    <w:rsid w:val="10B77CDA"/>
    <w:rsid w:val="10B83FA9"/>
    <w:rsid w:val="10D55A39"/>
    <w:rsid w:val="10ED260E"/>
    <w:rsid w:val="1110658A"/>
    <w:rsid w:val="11163DFF"/>
    <w:rsid w:val="111A53F0"/>
    <w:rsid w:val="111B0CB8"/>
    <w:rsid w:val="11213DFD"/>
    <w:rsid w:val="112516AA"/>
    <w:rsid w:val="11317775"/>
    <w:rsid w:val="11381CD4"/>
    <w:rsid w:val="1149519A"/>
    <w:rsid w:val="11645432"/>
    <w:rsid w:val="116E77F6"/>
    <w:rsid w:val="11706280"/>
    <w:rsid w:val="1178509A"/>
    <w:rsid w:val="117C080B"/>
    <w:rsid w:val="118B7664"/>
    <w:rsid w:val="11990C09"/>
    <w:rsid w:val="119E5242"/>
    <w:rsid w:val="11A20F20"/>
    <w:rsid w:val="11B92CB5"/>
    <w:rsid w:val="11C76D62"/>
    <w:rsid w:val="11F467D1"/>
    <w:rsid w:val="11FE64FE"/>
    <w:rsid w:val="12274F2D"/>
    <w:rsid w:val="12351ACA"/>
    <w:rsid w:val="12444739"/>
    <w:rsid w:val="124F0E33"/>
    <w:rsid w:val="1253031E"/>
    <w:rsid w:val="1255613D"/>
    <w:rsid w:val="12605D68"/>
    <w:rsid w:val="12706D8A"/>
    <w:rsid w:val="1281299C"/>
    <w:rsid w:val="128A576A"/>
    <w:rsid w:val="128E6690"/>
    <w:rsid w:val="12991A1E"/>
    <w:rsid w:val="12A02FF9"/>
    <w:rsid w:val="12A60727"/>
    <w:rsid w:val="12AB370E"/>
    <w:rsid w:val="12BB4918"/>
    <w:rsid w:val="12BC29B1"/>
    <w:rsid w:val="12DD1ADD"/>
    <w:rsid w:val="12E947C8"/>
    <w:rsid w:val="12ED2684"/>
    <w:rsid w:val="12F756E6"/>
    <w:rsid w:val="12F76257"/>
    <w:rsid w:val="12FA11A3"/>
    <w:rsid w:val="130325E5"/>
    <w:rsid w:val="132A1658"/>
    <w:rsid w:val="132C6BBA"/>
    <w:rsid w:val="13356F0D"/>
    <w:rsid w:val="1339310C"/>
    <w:rsid w:val="133C5674"/>
    <w:rsid w:val="13563FBC"/>
    <w:rsid w:val="13704CF5"/>
    <w:rsid w:val="13743D5A"/>
    <w:rsid w:val="137A2562"/>
    <w:rsid w:val="138F0034"/>
    <w:rsid w:val="13985274"/>
    <w:rsid w:val="13A910E0"/>
    <w:rsid w:val="13BB035D"/>
    <w:rsid w:val="13C05175"/>
    <w:rsid w:val="13C36377"/>
    <w:rsid w:val="13C77C95"/>
    <w:rsid w:val="13CC672D"/>
    <w:rsid w:val="13E4573E"/>
    <w:rsid w:val="13F60433"/>
    <w:rsid w:val="14074AA1"/>
    <w:rsid w:val="14141F23"/>
    <w:rsid w:val="14161790"/>
    <w:rsid w:val="141C108E"/>
    <w:rsid w:val="141F414A"/>
    <w:rsid w:val="142E61DE"/>
    <w:rsid w:val="14317570"/>
    <w:rsid w:val="143E348E"/>
    <w:rsid w:val="145211D7"/>
    <w:rsid w:val="14722AFC"/>
    <w:rsid w:val="148D7F6A"/>
    <w:rsid w:val="14A22E1B"/>
    <w:rsid w:val="14AB7FAF"/>
    <w:rsid w:val="14B1504B"/>
    <w:rsid w:val="14BB5291"/>
    <w:rsid w:val="14C61D94"/>
    <w:rsid w:val="14C815BB"/>
    <w:rsid w:val="14CB6C7B"/>
    <w:rsid w:val="14DB5DC0"/>
    <w:rsid w:val="14E27A2A"/>
    <w:rsid w:val="14E71436"/>
    <w:rsid w:val="14E71D2C"/>
    <w:rsid w:val="14F536AF"/>
    <w:rsid w:val="150C5CCA"/>
    <w:rsid w:val="1516232E"/>
    <w:rsid w:val="1516379E"/>
    <w:rsid w:val="151F70FF"/>
    <w:rsid w:val="15214BAC"/>
    <w:rsid w:val="152E37A7"/>
    <w:rsid w:val="1530307A"/>
    <w:rsid w:val="15353283"/>
    <w:rsid w:val="154C3F72"/>
    <w:rsid w:val="155E6002"/>
    <w:rsid w:val="15614803"/>
    <w:rsid w:val="15733FB5"/>
    <w:rsid w:val="15747B17"/>
    <w:rsid w:val="15A41BFF"/>
    <w:rsid w:val="15A4203F"/>
    <w:rsid w:val="15BF3F11"/>
    <w:rsid w:val="15CB7AD8"/>
    <w:rsid w:val="15CC7F9F"/>
    <w:rsid w:val="15D23427"/>
    <w:rsid w:val="15DF430C"/>
    <w:rsid w:val="15E31259"/>
    <w:rsid w:val="15EA626D"/>
    <w:rsid w:val="15F70595"/>
    <w:rsid w:val="160C4C59"/>
    <w:rsid w:val="16350AA3"/>
    <w:rsid w:val="16380887"/>
    <w:rsid w:val="163B780D"/>
    <w:rsid w:val="163C4656"/>
    <w:rsid w:val="16416E1C"/>
    <w:rsid w:val="1644068D"/>
    <w:rsid w:val="16595F59"/>
    <w:rsid w:val="166A5406"/>
    <w:rsid w:val="16711F61"/>
    <w:rsid w:val="167A50D0"/>
    <w:rsid w:val="168143EE"/>
    <w:rsid w:val="16843E38"/>
    <w:rsid w:val="1686368B"/>
    <w:rsid w:val="168C073E"/>
    <w:rsid w:val="16AA279B"/>
    <w:rsid w:val="16BC16E4"/>
    <w:rsid w:val="16BE477B"/>
    <w:rsid w:val="16BE56A8"/>
    <w:rsid w:val="16C92B7F"/>
    <w:rsid w:val="16D83C6E"/>
    <w:rsid w:val="16D915FB"/>
    <w:rsid w:val="16E3377C"/>
    <w:rsid w:val="16E51B25"/>
    <w:rsid w:val="16F34620"/>
    <w:rsid w:val="1720645C"/>
    <w:rsid w:val="172749F5"/>
    <w:rsid w:val="17375A1C"/>
    <w:rsid w:val="1770421E"/>
    <w:rsid w:val="17873C88"/>
    <w:rsid w:val="178F1CEC"/>
    <w:rsid w:val="17A455AE"/>
    <w:rsid w:val="17AE333F"/>
    <w:rsid w:val="17B04190"/>
    <w:rsid w:val="17C0771C"/>
    <w:rsid w:val="17CC4971"/>
    <w:rsid w:val="17D17406"/>
    <w:rsid w:val="17D606CA"/>
    <w:rsid w:val="181B559F"/>
    <w:rsid w:val="181F6F37"/>
    <w:rsid w:val="18346C75"/>
    <w:rsid w:val="183A4E0F"/>
    <w:rsid w:val="18473261"/>
    <w:rsid w:val="187A337E"/>
    <w:rsid w:val="187C3FD9"/>
    <w:rsid w:val="18890D0B"/>
    <w:rsid w:val="188F43F6"/>
    <w:rsid w:val="18AE6EA3"/>
    <w:rsid w:val="18CD3522"/>
    <w:rsid w:val="18D23602"/>
    <w:rsid w:val="18DC0F7C"/>
    <w:rsid w:val="18E0522F"/>
    <w:rsid w:val="19153735"/>
    <w:rsid w:val="1925204F"/>
    <w:rsid w:val="192D6223"/>
    <w:rsid w:val="19322D80"/>
    <w:rsid w:val="19370FE9"/>
    <w:rsid w:val="193B2D2E"/>
    <w:rsid w:val="19465978"/>
    <w:rsid w:val="19486176"/>
    <w:rsid w:val="194D17AD"/>
    <w:rsid w:val="194F1152"/>
    <w:rsid w:val="19534944"/>
    <w:rsid w:val="195A45A7"/>
    <w:rsid w:val="195B3DCF"/>
    <w:rsid w:val="19670C4D"/>
    <w:rsid w:val="197033AD"/>
    <w:rsid w:val="19887323"/>
    <w:rsid w:val="199A3583"/>
    <w:rsid w:val="19B50797"/>
    <w:rsid w:val="19B73650"/>
    <w:rsid w:val="19B81003"/>
    <w:rsid w:val="19BF12F6"/>
    <w:rsid w:val="19C43F03"/>
    <w:rsid w:val="19D0790B"/>
    <w:rsid w:val="19D56207"/>
    <w:rsid w:val="19E447F2"/>
    <w:rsid w:val="19E45C6D"/>
    <w:rsid w:val="19FB5AA4"/>
    <w:rsid w:val="1A0A1C2C"/>
    <w:rsid w:val="1A114512"/>
    <w:rsid w:val="1A1E4DB0"/>
    <w:rsid w:val="1A283D82"/>
    <w:rsid w:val="1A290008"/>
    <w:rsid w:val="1A403E0C"/>
    <w:rsid w:val="1A506C0A"/>
    <w:rsid w:val="1A574964"/>
    <w:rsid w:val="1A5D2C70"/>
    <w:rsid w:val="1A605168"/>
    <w:rsid w:val="1A926B2B"/>
    <w:rsid w:val="1AA23531"/>
    <w:rsid w:val="1AA768D4"/>
    <w:rsid w:val="1ABF4232"/>
    <w:rsid w:val="1AC540A4"/>
    <w:rsid w:val="1ADB060D"/>
    <w:rsid w:val="1AE16340"/>
    <w:rsid w:val="1AF93C6C"/>
    <w:rsid w:val="1B014943"/>
    <w:rsid w:val="1B073904"/>
    <w:rsid w:val="1B0E7417"/>
    <w:rsid w:val="1B1408C2"/>
    <w:rsid w:val="1B166F92"/>
    <w:rsid w:val="1B172D9E"/>
    <w:rsid w:val="1B285DA5"/>
    <w:rsid w:val="1B2F745E"/>
    <w:rsid w:val="1B31182B"/>
    <w:rsid w:val="1B3657DC"/>
    <w:rsid w:val="1B424D5C"/>
    <w:rsid w:val="1B537743"/>
    <w:rsid w:val="1B654A61"/>
    <w:rsid w:val="1B762B7E"/>
    <w:rsid w:val="1B7906C8"/>
    <w:rsid w:val="1B7F7A47"/>
    <w:rsid w:val="1BAD7C99"/>
    <w:rsid w:val="1BD41C67"/>
    <w:rsid w:val="1BD772FF"/>
    <w:rsid w:val="1BDC1AA2"/>
    <w:rsid w:val="1C28400D"/>
    <w:rsid w:val="1C686841"/>
    <w:rsid w:val="1C7464EA"/>
    <w:rsid w:val="1C7D26D7"/>
    <w:rsid w:val="1C8B24FD"/>
    <w:rsid w:val="1C8E070D"/>
    <w:rsid w:val="1CC85383"/>
    <w:rsid w:val="1CC97639"/>
    <w:rsid w:val="1CCA5226"/>
    <w:rsid w:val="1CCF0AC2"/>
    <w:rsid w:val="1CE012E1"/>
    <w:rsid w:val="1CE13E9C"/>
    <w:rsid w:val="1CE46CFC"/>
    <w:rsid w:val="1CEF3499"/>
    <w:rsid w:val="1CFC0E61"/>
    <w:rsid w:val="1CFE0466"/>
    <w:rsid w:val="1D097E5D"/>
    <w:rsid w:val="1D1B3868"/>
    <w:rsid w:val="1D214E74"/>
    <w:rsid w:val="1D2A4FFB"/>
    <w:rsid w:val="1D436BB6"/>
    <w:rsid w:val="1D4F166E"/>
    <w:rsid w:val="1D5635BC"/>
    <w:rsid w:val="1D5B10F6"/>
    <w:rsid w:val="1D666606"/>
    <w:rsid w:val="1D746441"/>
    <w:rsid w:val="1D9625A0"/>
    <w:rsid w:val="1D9C611C"/>
    <w:rsid w:val="1DA319AC"/>
    <w:rsid w:val="1DA529A2"/>
    <w:rsid w:val="1DAB414B"/>
    <w:rsid w:val="1DB52C9C"/>
    <w:rsid w:val="1DB72E45"/>
    <w:rsid w:val="1DBF3746"/>
    <w:rsid w:val="1DC27F1B"/>
    <w:rsid w:val="1DC36C69"/>
    <w:rsid w:val="1DD43F58"/>
    <w:rsid w:val="1DD827E0"/>
    <w:rsid w:val="1DEE7918"/>
    <w:rsid w:val="1DF333A9"/>
    <w:rsid w:val="1DF45AF7"/>
    <w:rsid w:val="1DFA5A82"/>
    <w:rsid w:val="1E022A44"/>
    <w:rsid w:val="1E040E06"/>
    <w:rsid w:val="1E171DAA"/>
    <w:rsid w:val="1E2227CF"/>
    <w:rsid w:val="1E25160E"/>
    <w:rsid w:val="1E47005D"/>
    <w:rsid w:val="1E5C2947"/>
    <w:rsid w:val="1E614665"/>
    <w:rsid w:val="1E693A48"/>
    <w:rsid w:val="1E70208D"/>
    <w:rsid w:val="1E706847"/>
    <w:rsid w:val="1E7948B4"/>
    <w:rsid w:val="1E7A1FED"/>
    <w:rsid w:val="1E7B5547"/>
    <w:rsid w:val="1E86150E"/>
    <w:rsid w:val="1E8E64CD"/>
    <w:rsid w:val="1E9377D5"/>
    <w:rsid w:val="1E977012"/>
    <w:rsid w:val="1E981C12"/>
    <w:rsid w:val="1EA53D35"/>
    <w:rsid w:val="1EA61ABD"/>
    <w:rsid w:val="1EB730B8"/>
    <w:rsid w:val="1EC70B24"/>
    <w:rsid w:val="1ED52403"/>
    <w:rsid w:val="1EE128D5"/>
    <w:rsid w:val="1EF53B88"/>
    <w:rsid w:val="1EF61009"/>
    <w:rsid w:val="1EFE4E43"/>
    <w:rsid w:val="1F182ADA"/>
    <w:rsid w:val="1F1C0D12"/>
    <w:rsid w:val="1F2603A0"/>
    <w:rsid w:val="1F3400EA"/>
    <w:rsid w:val="1F6C5F7E"/>
    <w:rsid w:val="1F7876E4"/>
    <w:rsid w:val="1F7A557D"/>
    <w:rsid w:val="1F812232"/>
    <w:rsid w:val="1F88584B"/>
    <w:rsid w:val="1F93511B"/>
    <w:rsid w:val="1F9407CE"/>
    <w:rsid w:val="1FA757AF"/>
    <w:rsid w:val="1FA94BB9"/>
    <w:rsid w:val="1FAA7487"/>
    <w:rsid w:val="1FAF272F"/>
    <w:rsid w:val="1FB512B9"/>
    <w:rsid w:val="1FBB35B4"/>
    <w:rsid w:val="1FBE74A0"/>
    <w:rsid w:val="1FC35985"/>
    <w:rsid w:val="1FD53473"/>
    <w:rsid w:val="1FE7789F"/>
    <w:rsid w:val="20120898"/>
    <w:rsid w:val="20121A8F"/>
    <w:rsid w:val="202A3EB5"/>
    <w:rsid w:val="204F4B03"/>
    <w:rsid w:val="2051399F"/>
    <w:rsid w:val="2054682E"/>
    <w:rsid w:val="20597EDB"/>
    <w:rsid w:val="205A04CD"/>
    <w:rsid w:val="20626387"/>
    <w:rsid w:val="207204B1"/>
    <w:rsid w:val="20771FBA"/>
    <w:rsid w:val="207C5D1A"/>
    <w:rsid w:val="207F1B11"/>
    <w:rsid w:val="207F58F8"/>
    <w:rsid w:val="208308C8"/>
    <w:rsid w:val="208926CA"/>
    <w:rsid w:val="20A6041B"/>
    <w:rsid w:val="20A75E7C"/>
    <w:rsid w:val="20AA4AF2"/>
    <w:rsid w:val="20AE17C1"/>
    <w:rsid w:val="20B67309"/>
    <w:rsid w:val="20B674E8"/>
    <w:rsid w:val="20BA1CB8"/>
    <w:rsid w:val="20BF1F90"/>
    <w:rsid w:val="20C3115A"/>
    <w:rsid w:val="20C7624D"/>
    <w:rsid w:val="20CE70DD"/>
    <w:rsid w:val="20D87294"/>
    <w:rsid w:val="20E13EDF"/>
    <w:rsid w:val="20E97341"/>
    <w:rsid w:val="20F83BF4"/>
    <w:rsid w:val="20F97DB4"/>
    <w:rsid w:val="21025345"/>
    <w:rsid w:val="21087CEE"/>
    <w:rsid w:val="212270CC"/>
    <w:rsid w:val="21266FDA"/>
    <w:rsid w:val="21282BDB"/>
    <w:rsid w:val="213F5C89"/>
    <w:rsid w:val="214334B7"/>
    <w:rsid w:val="21456792"/>
    <w:rsid w:val="21462F8A"/>
    <w:rsid w:val="214903C9"/>
    <w:rsid w:val="214A4E7C"/>
    <w:rsid w:val="214E0C0B"/>
    <w:rsid w:val="21536B4E"/>
    <w:rsid w:val="21655980"/>
    <w:rsid w:val="216608E4"/>
    <w:rsid w:val="21727B9B"/>
    <w:rsid w:val="2179183C"/>
    <w:rsid w:val="21930C32"/>
    <w:rsid w:val="21A70FD7"/>
    <w:rsid w:val="21AA5344"/>
    <w:rsid w:val="21CD1B5B"/>
    <w:rsid w:val="21D671B0"/>
    <w:rsid w:val="21DC25B3"/>
    <w:rsid w:val="21DC41D3"/>
    <w:rsid w:val="21EC55B3"/>
    <w:rsid w:val="21F44E7A"/>
    <w:rsid w:val="21F935BC"/>
    <w:rsid w:val="2204748F"/>
    <w:rsid w:val="22052AF0"/>
    <w:rsid w:val="220D3119"/>
    <w:rsid w:val="22125ABC"/>
    <w:rsid w:val="221969F8"/>
    <w:rsid w:val="22214E8C"/>
    <w:rsid w:val="22302DFC"/>
    <w:rsid w:val="22330527"/>
    <w:rsid w:val="224A4689"/>
    <w:rsid w:val="22543D29"/>
    <w:rsid w:val="22585234"/>
    <w:rsid w:val="22823A90"/>
    <w:rsid w:val="228B420F"/>
    <w:rsid w:val="228B7BEA"/>
    <w:rsid w:val="22944F00"/>
    <w:rsid w:val="229F3813"/>
    <w:rsid w:val="22A66DD0"/>
    <w:rsid w:val="22B87B82"/>
    <w:rsid w:val="22BA7B3D"/>
    <w:rsid w:val="22BF67E1"/>
    <w:rsid w:val="22E34958"/>
    <w:rsid w:val="22E50573"/>
    <w:rsid w:val="22E71464"/>
    <w:rsid w:val="22EF3674"/>
    <w:rsid w:val="22F0538E"/>
    <w:rsid w:val="22F31612"/>
    <w:rsid w:val="22FB0303"/>
    <w:rsid w:val="230E01CC"/>
    <w:rsid w:val="230F0BD0"/>
    <w:rsid w:val="23152A16"/>
    <w:rsid w:val="2330328C"/>
    <w:rsid w:val="233B3931"/>
    <w:rsid w:val="23411E38"/>
    <w:rsid w:val="2342620E"/>
    <w:rsid w:val="23517083"/>
    <w:rsid w:val="235416A7"/>
    <w:rsid w:val="23551A35"/>
    <w:rsid w:val="235A5F0E"/>
    <w:rsid w:val="235D160A"/>
    <w:rsid w:val="236755B0"/>
    <w:rsid w:val="236A0929"/>
    <w:rsid w:val="23766643"/>
    <w:rsid w:val="239D7069"/>
    <w:rsid w:val="23B340EC"/>
    <w:rsid w:val="23B92537"/>
    <w:rsid w:val="23C2215C"/>
    <w:rsid w:val="23EB0013"/>
    <w:rsid w:val="23EE55CB"/>
    <w:rsid w:val="23F12BED"/>
    <w:rsid w:val="23F378B4"/>
    <w:rsid w:val="24017391"/>
    <w:rsid w:val="24055CC0"/>
    <w:rsid w:val="24110C52"/>
    <w:rsid w:val="24191F77"/>
    <w:rsid w:val="242A0954"/>
    <w:rsid w:val="24347ABE"/>
    <w:rsid w:val="244463BD"/>
    <w:rsid w:val="244706B5"/>
    <w:rsid w:val="244E3BD3"/>
    <w:rsid w:val="245B6118"/>
    <w:rsid w:val="245C668A"/>
    <w:rsid w:val="24621524"/>
    <w:rsid w:val="246E4551"/>
    <w:rsid w:val="24B20EF2"/>
    <w:rsid w:val="24E005DD"/>
    <w:rsid w:val="24E16C22"/>
    <w:rsid w:val="24E33344"/>
    <w:rsid w:val="24FA2739"/>
    <w:rsid w:val="25033833"/>
    <w:rsid w:val="25104EC8"/>
    <w:rsid w:val="25146A5A"/>
    <w:rsid w:val="25197ACA"/>
    <w:rsid w:val="252944B8"/>
    <w:rsid w:val="252F10DF"/>
    <w:rsid w:val="25327160"/>
    <w:rsid w:val="254C62E2"/>
    <w:rsid w:val="25521E1C"/>
    <w:rsid w:val="255F4994"/>
    <w:rsid w:val="25626FB7"/>
    <w:rsid w:val="257107D1"/>
    <w:rsid w:val="25881A5C"/>
    <w:rsid w:val="25920911"/>
    <w:rsid w:val="2596569E"/>
    <w:rsid w:val="2598225F"/>
    <w:rsid w:val="25987B77"/>
    <w:rsid w:val="25A758CE"/>
    <w:rsid w:val="25AD0352"/>
    <w:rsid w:val="25B33DFC"/>
    <w:rsid w:val="25C22822"/>
    <w:rsid w:val="25CF0127"/>
    <w:rsid w:val="25E43662"/>
    <w:rsid w:val="25F23063"/>
    <w:rsid w:val="25FA2B7D"/>
    <w:rsid w:val="25FA6332"/>
    <w:rsid w:val="25FF07CA"/>
    <w:rsid w:val="26154C6C"/>
    <w:rsid w:val="26314A41"/>
    <w:rsid w:val="263E25E0"/>
    <w:rsid w:val="26566CBD"/>
    <w:rsid w:val="26662423"/>
    <w:rsid w:val="267C5BEA"/>
    <w:rsid w:val="26815BE2"/>
    <w:rsid w:val="268717D4"/>
    <w:rsid w:val="269037BF"/>
    <w:rsid w:val="26AC195D"/>
    <w:rsid w:val="26AC1BD8"/>
    <w:rsid w:val="26C87D39"/>
    <w:rsid w:val="26F21E0B"/>
    <w:rsid w:val="26F268C4"/>
    <w:rsid w:val="26F353F1"/>
    <w:rsid w:val="26F35B15"/>
    <w:rsid w:val="27237A23"/>
    <w:rsid w:val="272A2498"/>
    <w:rsid w:val="27415027"/>
    <w:rsid w:val="274240CF"/>
    <w:rsid w:val="27451FE0"/>
    <w:rsid w:val="274E1EAB"/>
    <w:rsid w:val="27544FC6"/>
    <w:rsid w:val="275C519A"/>
    <w:rsid w:val="275D0C69"/>
    <w:rsid w:val="27650177"/>
    <w:rsid w:val="27655E3E"/>
    <w:rsid w:val="276E6824"/>
    <w:rsid w:val="2773079D"/>
    <w:rsid w:val="2776324A"/>
    <w:rsid w:val="27765C10"/>
    <w:rsid w:val="27894B03"/>
    <w:rsid w:val="27A12C6A"/>
    <w:rsid w:val="27A31006"/>
    <w:rsid w:val="27BA25AD"/>
    <w:rsid w:val="27D52BF0"/>
    <w:rsid w:val="27DB7794"/>
    <w:rsid w:val="27EE6ED8"/>
    <w:rsid w:val="27F87332"/>
    <w:rsid w:val="28041231"/>
    <w:rsid w:val="281147A9"/>
    <w:rsid w:val="282F7968"/>
    <w:rsid w:val="28464D8E"/>
    <w:rsid w:val="2854512E"/>
    <w:rsid w:val="286E6033"/>
    <w:rsid w:val="287423DF"/>
    <w:rsid w:val="2891671A"/>
    <w:rsid w:val="28973950"/>
    <w:rsid w:val="28BA76FA"/>
    <w:rsid w:val="28BB4F48"/>
    <w:rsid w:val="28C52229"/>
    <w:rsid w:val="28C64F09"/>
    <w:rsid w:val="28CA173A"/>
    <w:rsid w:val="28E55C20"/>
    <w:rsid w:val="28F4068C"/>
    <w:rsid w:val="28F819C2"/>
    <w:rsid w:val="29036CD6"/>
    <w:rsid w:val="29150791"/>
    <w:rsid w:val="292F7E98"/>
    <w:rsid w:val="29323BA7"/>
    <w:rsid w:val="29451D22"/>
    <w:rsid w:val="29573756"/>
    <w:rsid w:val="2970453E"/>
    <w:rsid w:val="298B5F95"/>
    <w:rsid w:val="29922953"/>
    <w:rsid w:val="299E2F51"/>
    <w:rsid w:val="29A15675"/>
    <w:rsid w:val="29A54F96"/>
    <w:rsid w:val="29B1140E"/>
    <w:rsid w:val="29B916B5"/>
    <w:rsid w:val="29BA79E0"/>
    <w:rsid w:val="29BC7ABF"/>
    <w:rsid w:val="29C73FAA"/>
    <w:rsid w:val="29CD17F7"/>
    <w:rsid w:val="29D957E6"/>
    <w:rsid w:val="29DD0E68"/>
    <w:rsid w:val="29DF3BA3"/>
    <w:rsid w:val="29DF3E5F"/>
    <w:rsid w:val="29E67B95"/>
    <w:rsid w:val="29FB14D4"/>
    <w:rsid w:val="2A190539"/>
    <w:rsid w:val="2A23153C"/>
    <w:rsid w:val="2A2E4812"/>
    <w:rsid w:val="2A365EFC"/>
    <w:rsid w:val="2A48727A"/>
    <w:rsid w:val="2A6235B2"/>
    <w:rsid w:val="2A6D6711"/>
    <w:rsid w:val="2A720A9C"/>
    <w:rsid w:val="2A87042B"/>
    <w:rsid w:val="2A895727"/>
    <w:rsid w:val="2A8A0CA4"/>
    <w:rsid w:val="2A9C101D"/>
    <w:rsid w:val="2AA3296A"/>
    <w:rsid w:val="2AAD1FFC"/>
    <w:rsid w:val="2AB8029A"/>
    <w:rsid w:val="2AB94A72"/>
    <w:rsid w:val="2ABC490A"/>
    <w:rsid w:val="2ABD565D"/>
    <w:rsid w:val="2ACF27BA"/>
    <w:rsid w:val="2AD02F90"/>
    <w:rsid w:val="2AE0720B"/>
    <w:rsid w:val="2AE54772"/>
    <w:rsid w:val="2AEB101A"/>
    <w:rsid w:val="2B05780D"/>
    <w:rsid w:val="2B0B456A"/>
    <w:rsid w:val="2B2E1D81"/>
    <w:rsid w:val="2B310279"/>
    <w:rsid w:val="2B4D7D1E"/>
    <w:rsid w:val="2B505D2B"/>
    <w:rsid w:val="2B5B7328"/>
    <w:rsid w:val="2B634836"/>
    <w:rsid w:val="2B7257D5"/>
    <w:rsid w:val="2B8D581C"/>
    <w:rsid w:val="2B956982"/>
    <w:rsid w:val="2B993275"/>
    <w:rsid w:val="2BAD39A4"/>
    <w:rsid w:val="2BB32784"/>
    <w:rsid w:val="2BB82FA2"/>
    <w:rsid w:val="2BBC386A"/>
    <w:rsid w:val="2BD90811"/>
    <w:rsid w:val="2BDA12A5"/>
    <w:rsid w:val="2BE064FA"/>
    <w:rsid w:val="2BE5589D"/>
    <w:rsid w:val="2BE70A26"/>
    <w:rsid w:val="2BEC2D98"/>
    <w:rsid w:val="2BF1214F"/>
    <w:rsid w:val="2BFA2876"/>
    <w:rsid w:val="2C013C3F"/>
    <w:rsid w:val="2C1E6A11"/>
    <w:rsid w:val="2C482A8C"/>
    <w:rsid w:val="2C5A5D01"/>
    <w:rsid w:val="2C737C5A"/>
    <w:rsid w:val="2C772E12"/>
    <w:rsid w:val="2C926E51"/>
    <w:rsid w:val="2C955D53"/>
    <w:rsid w:val="2C9879D5"/>
    <w:rsid w:val="2CA04FCC"/>
    <w:rsid w:val="2CAC31BB"/>
    <w:rsid w:val="2CAD301D"/>
    <w:rsid w:val="2CBA706B"/>
    <w:rsid w:val="2CD54738"/>
    <w:rsid w:val="2CE5473E"/>
    <w:rsid w:val="2D002CDD"/>
    <w:rsid w:val="2D005429"/>
    <w:rsid w:val="2D0F1F72"/>
    <w:rsid w:val="2D240D29"/>
    <w:rsid w:val="2D2C5120"/>
    <w:rsid w:val="2D2F46B7"/>
    <w:rsid w:val="2D3A3810"/>
    <w:rsid w:val="2D527E65"/>
    <w:rsid w:val="2D813A5B"/>
    <w:rsid w:val="2D8D027A"/>
    <w:rsid w:val="2D8E1E96"/>
    <w:rsid w:val="2DAA0EAE"/>
    <w:rsid w:val="2DAC7D6A"/>
    <w:rsid w:val="2DB908B0"/>
    <w:rsid w:val="2DC66731"/>
    <w:rsid w:val="2DCF0C14"/>
    <w:rsid w:val="2DCF57D2"/>
    <w:rsid w:val="2DD24EA3"/>
    <w:rsid w:val="2DE50C96"/>
    <w:rsid w:val="2DE61F36"/>
    <w:rsid w:val="2DEC71FF"/>
    <w:rsid w:val="2DEF2B5F"/>
    <w:rsid w:val="2DEF6117"/>
    <w:rsid w:val="2DF56435"/>
    <w:rsid w:val="2DF87D17"/>
    <w:rsid w:val="2DF937C6"/>
    <w:rsid w:val="2DFC0167"/>
    <w:rsid w:val="2DFE22B5"/>
    <w:rsid w:val="2E051CA3"/>
    <w:rsid w:val="2E114385"/>
    <w:rsid w:val="2E1D2AF9"/>
    <w:rsid w:val="2E1D65BD"/>
    <w:rsid w:val="2E1D6653"/>
    <w:rsid w:val="2E200466"/>
    <w:rsid w:val="2E2A4A14"/>
    <w:rsid w:val="2E405C9F"/>
    <w:rsid w:val="2E4A36E2"/>
    <w:rsid w:val="2E4A3C74"/>
    <w:rsid w:val="2E7064C8"/>
    <w:rsid w:val="2E73291A"/>
    <w:rsid w:val="2E766BC8"/>
    <w:rsid w:val="2EA22165"/>
    <w:rsid w:val="2EA56CE2"/>
    <w:rsid w:val="2EA72635"/>
    <w:rsid w:val="2EC94D31"/>
    <w:rsid w:val="2EF144E7"/>
    <w:rsid w:val="2EF45D99"/>
    <w:rsid w:val="2F084B4A"/>
    <w:rsid w:val="2F110FD2"/>
    <w:rsid w:val="2F1701C0"/>
    <w:rsid w:val="2F1A478A"/>
    <w:rsid w:val="2F2A7D81"/>
    <w:rsid w:val="2F342F12"/>
    <w:rsid w:val="2F527B2F"/>
    <w:rsid w:val="2F540B9D"/>
    <w:rsid w:val="2F545F07"/>
    <w:rsid w:val="2F570A40"/>
    <w:rsid w:val="2F5934D0"/>
    <w:rsid w:val="2F601389"/>
    <w:rsid w:val="2F6333D8"/>
    <w:rsid w:val="2F685DFC"/>
    <w:rsid w:val="2F9E5912"/>
    <w:rsid w:val="2F9E6C58"/>
    <w:rsid w:val="2FA85401"/>
    <w:rsid w:val="2FC36A12"/>
    <w:rsid w:val="2FC40101"/>
    <w:rsid w:val="2FCB44D8"/>
    <w:rsid w:val="2FD571D0"/>
    <w:rsid w:val="2FD86199"/>
    <w:rsid w:val="2FFD4B42"/>
    <w:rsid w:val="30054DC7"/>
    <w:rsid w:val="300E5C65"/>
    <w:rsid w:val="301970EA"/>
    <w:rsid w:val="3021274A"/>
    <w:rsid w:val="303E4DDE"/>
    <w:rsid w:val="30476D96"/>
    <w:rsid w:val="3048068D"/>
    <w:rsid w:val="305E6A86"/>
    <w:rsid w:val="30607EB7"/>
    <w:rsid w:val="30664784"/>
    <w:rsid w:val="306B1B20"/>
    <w:rsid w:val="30730A58"/>
    <w:rsid w:val="307511F8"/>
    <w:rsid w:val="307839D1"/>
    <w:rsid w:val="308315DE"/>
    <w:rsid w:val="30882964"/>
    <w:rsid w:val="30885A66"/>
    <w:rsid w:val="3089209B"/>
    <w:rsid w:val="30A549AA"/>
    <w:rsid w:val="30B97DE5"/>
    <w:rsid w:val="30D1374A"/>
    <w:rsid w:val="30E02296"/>
    <w:rsid w:val="30E5799A"/>
    <w:rsid w:val="30EB5B68"/>
    <w:rsid w:val="30EE5D75"/>
    <w:rsid w:val="30F5056F"/>
    <w:rsid w:val="30FC38A1"/>
    <w:rsid w:val="31020E2E"/>
    <w:rsid w:val="31073CFF"/>
    <w:rsid w:val="31173218"/>
    <w:rsid w:val="31176A22"/>
    <w:rsid w:val="311925D1"/>
    <w:rsid w:val="312000B1"/>
    <w:rsid w:val="31281E3F"/>
    <w:rsid w:val="3132318F"/>
    <w:rsid w:val="31345731"/>
    <w:rsid w:val="313751EC"/>
    <w:rsid w:val="313A1513"/>
    <w:rsid w:val="31470B15"/>
    <w:rsid w:val="314B423B"/>
    <w:rsid w:val="314E3C62"/>
    <w:rsid w:val="31505A8F"/>
    <w:rsid w:val="316B47E0"/>
    <w:rsid w:val="316D129E"/>
    <w:rsid w:val="3173078E"/>
    <w:rsid w:val="31766EE6"/>
    <w:rsid w:val="318053AF"/>
    <w:rsid w:val="318538E3"/>
    <w:rsid w:val="31A63F2E"/>
    <w:rsid w:val="31AB6231"/>
    <w:rsid w:val="31AD4989"/>
    <w:rsid w:val="31BD22CC"/>
    <w:rsid w:val="31C24D99"/>
    <w:rsid w:val="31C4125D"/>
    <w:rsid w:val="31E26A25"/>
    <w:rsid w:val="31E715B1"/>
    <w:rsid w:val="31F64217"/>
    <w:rsid w:val="32042450"/>
    <w:rsid w:val="320E09B3"/>
    <w:rsid w:val="3211348D"/>
    <w:rsid w:val="322C7A14"/>
    <w:rsid w:val="32465054"/>
    <w:rsid w:val="32466DCB"/>
    <w:rsid w:val="32553B02"/>
    <w:rsid w:val="32802E55"/>
    <w:rsid w:val="32971079"/>
    <w:rsid w:val="32A468D6"/>
    <w:rsid w:val="32C01845"/>
    <w:rsid w:val="32C6208B"/>
    <w:rsid w:val="32D541D2"/>
    <w:rsid w:val="32DF63F7"/>
    <w:rsid w:val="32E2282D"/>
    <w:rsid w:val="32F51AF4"/>
    <w:rsid w:val="33001CB0"/>
    <w:rsid w:val="330505BB"/>
    <w:rsid w:val="33091907"/>
    <w:rsid w:val="332341AE"/>
    <w:rsid w:val="33301A89"/>
    <w:rsid w:val="33325417"/>
    <w:rsid w:val="33325606"/>
    <w:rsid w:val="33424BA1"/>
    <w:rsid w:val="335C2355"/>
    <w:rsid w:val="335D3BD9"/>
    <w:rsid w:val="336872F3"/>
    <w:rsid w:val="33723D1A"/>
    <w:rsid w:val="337D3F14"/>
    <w:rsid w:val="33851A20"/>
    <w:rsid w:val="3385709E"/>
    <w:rsid w:val="338B7783"/>
    <w:rsid w:val="339F25E5"/>
    <w:rsid w:val="33CB448C"/>
    <w:rsid w:val="33CC4B4F"/>
    <w:rsid w:val="33D645C0"/>
    <w:rsid w:val="33D931D5"/>
    <w:rsid w:val="33E63E94"/>
    <w:rsid w:val="33E95A22"/>
    <w:rsid w:val="34087A49"/>
    <w:rsid w:val="34283ED5"/>
    <w:rsid w:val="342921CA"/>
    <w:rsid w:val="342C6298"/>
    <w:rsid w:val="343126E6"/>
    <w:rsid w:val="34492CF5"/>
    <w:rsid w:val="344B3921"/>
    <w:rsid w:val="34560EBE"/>
    <w:rsid w:val="345B4BFE"/>
    <w:rsid w:val="3469774D"/>
    <w:rsid w:val="346F5C8D"/>
    <w:rsid w:val="34770FE7"/>
    <w:rsid w:val="347A11A3"/>
    <w:rsid w:val="347B5A3E"/>
    <w:rsid w:val="348B2183"/>
    <w:rsid w:val="34B50106"/>
    <w:rsid w:val="34B87F6D"/>
    <w:rsid w:val="34BA09D2"/>
    <w:rsid w:val="34C57848"/>
    <w:rsid w:val="34C74FDA"/>
    <w:rsid w:val="34CC5613"/>
    <w:rsid w:val="34D3070B"/>
    <w:rsid w:val="34DF6B59"/>
    <w:rsid w:val="34EB4D79"/>
    <w:rsid w:val="34F11458"/>
    <w:rsid w:val="350C7105"/>
    <w:rsid w:val="3517496E"/>
    <w:rsid w:val="35197BF4"/>
    <w:rsid w:val="35231358"/>
    <w:rsid w:val="352864C1"/>
    <w:rsid w:val="35316C21"/>
    <w:rsid w:val="354233D6"/>
    <w:rsid w:val="354A0863"/>
    <w:rsid w:val="354A6D4B"/>
    <w:rsid w:val="35706949"/>
    <w:rsid w:val="357522B2"/>
    <w:rsid w:val="35785DDE"/>
    <w:rsid w:val="358044A2"/>
    <w:rsid w:val="35860D8F"/>
    <w:rsid w:val="3586399B"/>
    <w:rsid w:val="35926F1C"/>
    <w:rsid w:val="35966521"/>
    <w:rsid w:val="35A06BE8"/>
    <w:rsid w:val="35B87229"/>
    <w:rsid w:val="35B938CE"/>
    <w:rsid w:val="35BC4031"/>
    <w:rsid w:val="35D91101"/>
    <w:rsid w:val="35E031A9"/>
    <w:rsid w:val="35E266D6"/>
    <w:rsid w:val="35E679EE"/>
    <w:rsid w:val="36165133"/>
    <w:rsid w:val="36172E0D"/>
    <w:rsid w:val="361E23A9"/>
    <w:rsid w:val="363D602A"/>
    <w:rsid w:val="36532EEE"/>
    <w:rsid w:val="36662CEB"/>
    <w:rsid w:val="36775830"/>
    <w:rsid w:val="367A00A5"/>
    <w:rsid w:val="367E41B8"/>
    <w:rsid w:val="368E1551"/>
    <w:rsid w:val="36955F61"/>
    <w:rsid w:val="369C4062"/>
    <w:rsid w:val="36A23551"/>
    <w:rsid w:val="36AC02E9"/>
    <w:rsid w:val="36B81C2B"/>
    <w:rsid w:val="36BE1309"/>
    <w:rsid w:val="36D67761"/>
    <w:rsid w:val="36D93E5C"/>
    <w:rsid w:val="36E447DB"/>
    <w:rsid w:val="36F070FC"/>
    <w:rsid w:val="36F144BB"/>
    <w:rsid w:val="36F91D17"/>
    <w:rsid w:val="36FC5BB3"/>
    <w:rsid w:val="37106903"/>
    <w:rsid w:val="372B7F23"/>
    <w:rsid w:val="372E26FC"/>
    <w:rsid w:val="37310DF1"/>
    <w:rsid w:val="373C037F"/>
    <w:rsid w:val="37407BE4"/>
    <w:rsid w:val="374116D5"/>
    <w:rsid w:val="3758066B"/>
    <w:rsid w:val="376669C9"/>
    <w:rsid w:val="379110B5"/>
    <w:rsid w:val="37B3787C"/>
    <w:rsid w:val="37D15DB7"/>
    <w:rsid w:val="37E22B5E"/>
    <w:rsid w:val="37ED6CDC"/>
    <w:rsid w:val="37F0368E"/>
    <w:rsid w:val="37F86E90"/>
    <w:rsid w:val="37FC5593"/>
    <w:rsid w:val="38196880"/>
    <w:rsid w:val="38211613"/>
    <w:rsid w:val="38243DA0"/>
    <w:rsid w:val="38375510"/>
    <w:rsid w:val="3855709D"/>
    <w:rsid w:val="38566C11"/>
    <w:rsid w:val="385838CA"/>
    <w:rsid w:val="38623A38"/>
    <w:rsid w:val="387121E9"/>
    <w:rsid w:val="388478AB"/>
    <w:rsid w:val="38941898"/>
    <w:rsid w:val="38B911D0"/>
    <w:rsid w:val="38C738EB"/>
    <w:rsid w:val="38CD065F"/>
    <w:rsid w:val="38D575AD"/>
    <w:rsid w:val="38D82679"/>
    <w:rsid w:val="38D86C82"/>
    <w:rsid w:val="38E95C6A"/>
    <w:rsid w:val="38EA3E15"/>
    <w:rsid w:val="38EA5A49"/>
    <w:rsid w:val="38EF6E98"/>
    <w:rsid w:val="38FB01B7"/>
    <w:rsid w:val="390979CF"/>
    <w:rsid w:val="390E44A4"/>
    <w:rsid w:val="39210DC9"/>
    <w:rsid w:val="392F569A"/>
    <w:rsid w:val="393C455A"/>
    <w:rsid w:val="393D3B17"/>
    <w:rsid w:val="393E6F37"/>
    <w:rsid w:val="39561A6F"/>
    <w:rsid w:val="396509CE"/>
    <w:rsid w:val="39660D50"/>
    <w:rsid w:val="396C53C4"/>
    <w:rsid w:val="397B66DB"/>
    <w:rsid w:val="397C5773"/>
    <w:rsid w:val="39830479"/>
    <w:rsid w:val="398D65E6"/>
    <w:rsid w:val="399E40EC"/>
    <w:rsid w:val="39A53048"/>
    <w:rsid w:val="39A76F8A"/>
    <w:rsid w:val="39CB5685"/>
    <w:rsid w:val="39DA7F7C"/>
    <w:rsid w:val="39E74AE7"/>
    <w:rsid w:val="39EA0521"/>
    <w:rsid w:val="3A3B4C27"/>
    <w:rsid w:val="3A540E51"/>
    <w:rsid w:val="3A7A5B6D"/>
    <w:rsid w:val="3A7F179A"/>
    <w:rsid w:val="3A8A2F67"/>
    <w:rsid w:val="3AA25671"/>
    <w:rsid w:val="3AA354AC"/>
    <w:rsid w:val="3AAB6C19"/>
    <w:rsid w:val="3ACE11AD"/>
    <w:rsid w:val="3AFE79D4"/>
    <w:rsid w:val="3B1B6590"/>
    <w:rsid w:val="3B23680C"/>
    <w:rsid w:val="3B257684"/>
    <w:rsid w:val="3B483247"/>
    <w:rsid w:val="3B505269"/>
    <w:rsid w:val="3B704C14"/>
    <w:rsid w:val="3B821C18"/>
    <w:rsid w:val="3B881B57"/>
    <w:rsid w:val="3B8859FA"/>
    <w:rsid w:val="3B9C7681"/>
    <w:rsid w:val="3BA81292"/>
    <w:rsid w:val="3BAC69D1"/>
    <w:rsid w:val="3BB0578A"/>
    <w:rsid w:val="3BB80AE6"/>
    <w:rsid w:val="3BCC5EB8"/>
    <w:rsid w:val="3BCE4D58"/>
    <w:rsid w:val="3BE07FA6"/>
    <w:rsid w:val="3BE778FA"/>
    <w:rsid w:val="3C096701"/>
    <w:rsid w:val="3C1053EE"/>
    <w:rsid w:val="3C111387"/>
    <w:rsid w:val="3C4C0072"/>
    <w:rsid w:val="3C4C1B02"/>
    <w:rsid w:val="3C55367F"/>
    <w:rsid w:val="3C6A74FB"/>
    <w:rsid w:val="3C7E1507"/>
    <w:rsid w:val="3C7E3F1C"/>
    <w:rsid w:val="3C8F6E58"/>
    <w:rsid w:val="3C9A0EE1"/>
    <w:rsid w:val="3CB42928"/>
    <w:rsid w:val="3CB914A1"/>
    <w:rsid w:val="3CD62ADB"/>
    <w:rsid w:val="3CDE67F9"/>
    <w:rsid w:val="3CDF57A4"/>
    <w:rsid w:val="3CE5624E"/>
    <w:rsid w:val="3CF22158"/>
    <w:rsid w:val="3CFC0AF6"/>
    <w:rsid w:val="3CFE0534"/>
    <w:rsid w:val="3D0D1A22"/>
    <w:rsid w:val="3D0D45EB"/>
    <w:rsid w:val="3D100F7F"/>
    <w:rsid w:val="3D107292"/>
    <w:rsid w:val="3D1346D8"/>
    <w:rsid w:val="3D1D48F6"/>
    <w:rsid w:val="3D2B4F9A"/>
    <w:rsid w:val="3D5346D6"/>
    <w:rsid w:val="3D8E69F0"/>
    <w:rsid w:val="3D8F2474"/>
    <w:rsid w:val="3D99551A"/>
    <w:rsid w:val="3DA87EC6"/>
    <w:rsid w:val="3DB562CC"/>
    <w:rsid w:val="3DB75995"/>
    <w:rsid w:val="3DBE0BD2"/>
    <w:rsid w:val="3DC37971"/>
    <w:rsid w:val="3DCA366A"/>
    <w:rsid w:val="3DCB6E53"/>
    <w:rsid w:val="3DD74664"/>
    <w:rsid w:val="3DED0093"/>
    <w:rsid w:val="3DF45D1A"/>
    <w:rsid w:val="3DFC0802"/>
    <w:rsid w:val="3E0348A8"/>
    <w:rsid w:val="3E192B18"/>
    <w:rsid w:val="3E1F6B32"/>
    <w:rsid w:val="3E4C6B43"/>
    <w:rsid w:val="3E5D3003"/>
    <w:rsid w:val="3E5F794F"/>
    <w:rsid w:val="3E654A0E"/>
    <w:rsid w:val="3E6B6F5D"/>
    <w:rsid w:val="3E82253D"/>
    <w:rsid w:val="3E923C6A"/>
    <w:rsid w:val="3E9C53A1"/>
    <w:rsid w:val="3EA0794F"/>
    <w:rsid w:val="3ECF0DDF"/>
    <w:rsid w:val="3EE76AB7"/>
    <w:rsid w:val="3EEC6023"/>
    <w:rsid w:val="3EED1C86"/>
    <w:rsid w:val="3EFA0F5A"/>
    <w:rsid w:val="3EFC599D"/>
    <w:rsid w:val="3F163197"/>
    <w:rsid w:val="3F236447"/>
    <w:rsid w:val="3F2F372D"/>
    <w:rsid w:val="3F2F7AF7"/>
    <w:rsid w:val="3F315CB9"/>
    <w:rsid w:val="3F333B17"/>
    <w:rsid w:val="3F5C0B16"/>
    <w:rsid w:val="3F5F3536"/>
    <w:rsid w:val="3F700CA1"/>
    <w:rsid w:val="3F7122C5"/>
    <w:rsid w:val="3F7E68D2"/>
    <w:rsid w:val="3F8A1317"/>
    <w:rsid w:val="3F997712"/>
    <w:rsid w:val="3F9A08CB"/>
    <w:rsid w:val="3FB90E28"/>
    <w:rsid w:val="3FE36A6E"/>
    <w:rsid w:val="3FE87C35"/>
    <w:rsid w:val="3FF97DD0"/>
    <w:rsid w:val="40034629"/>
    <w:rsid w:val="405D5816"/>
    <w:rsid w:val="405E79DF"/>
    <w:rsid w:val="40662B79"/>
    <w:rsid w:val="406F2418"/>
    <w:rsid w:val="40741ADA"/>
    <w:rsid w:val="407672C9"/>
    <w:rsid w:val="4088329E"/>
    <w:rsid w:val="40927E35"/>
    <w:rsid w:val="40AE6D8B"/>
    <w:rsid w:val="40C90714"/>
    <w:rsid w:val="40CD18AD"/>
    <w:rsid w:val="40CE03F6"/>
    <w:rsid w:val="40D07242"/>
    <w:rsid w:val="40D7149E"/>
    <w:rsid w:val="40F7684B"/>
    <w:rsid w:val="410F71EB"/>
    <w:rsid w:val="41100E34"/>
    <w:rsid w:val="4115068C"/>
    <w:rsid w:val="41242000"/>
    <w:rsid w:val="412822D6"/>
    <w:rsid w:val="4145751D"/>
    <w:rsid w:val="4162746F"/>
    <w:rsid w:val="41743531"/>
    <w:rsid w:val="41830E02"/>
    <w:rsid w:val="41A91A01"/>
    <w:rsid w:val="41B575D5"/>
    <w:rsid w:val="41B8040A"/>
    <w:rsid w:val="41B90D4F"/>
    <w:rsid w:val="41C01A3F"/>
    <w:rsid w:val="41E30061"/>
    <w:rsid w:val="41E67E28"/>
    <w:rsid w:val="41F37651"/>
    <w:rsid w:val="41FA2431"/>
    <w:rsid w:val="42187819"/>
    <w:rsid w:val="421E282A"/>
    <w:rsid w:val="422914BB"/>
    <w:rsid w:val="42357741"/>
    <w:rsid w:val="423F578B"/>
    <w:rsid w:val="424904E5"/>
    <w:rsid w:val="425F4295"/>
    <w:rsid w:val="426428C2"/>
    <w:rsid w:val="42715F5D"/>
    <w:rsid w:val="427C23FF"/>
    <w:rsid w:val="42810C34"/>
    <w:rsid w:val="42845F4C"/>
    <w:rsid w:val="429509C2"/>
    <w:rsid w:val="42AF3811"/>
    <w:rsid w:val="42B1641B"/>
    <w:rsid w:val="42BA58E0"/>
    <w:rsid w:val="42C209D8"/>
    <w:rsid w:val="42E131BA"/>
    <w:rsid w:val="42E95BCE"/>
    <w:rsid w:val="42EB78E5"/>
    <w:rsid w:val="42F37774"/>
    <w:rsid w:val="42FE1DF6"/>
    <w:rsid w:val="43047839"/>
    <w:rsid w:val="431918BF"/>
    <w:rsid w:val="431A50C4"/>
    <w:rsid w:val="433A5206"/>
    <w:rsid w:val="433E4F11"/>
    <w:rsid w:val="43497C4A"/>
    <w:rsid w:val="43505DD0"/>
    <w:rsid w:val="435402ED"/>
    <w:rsid w:val="43615442"/>
    <w:rsid w:val="43677CA6"/>
    <w:rsid w:val="437A26F2"/>
    <w:rsid w:val="43871017"/>
    <w:rsid w:val="438F7653"/>
    <w:rsid w:val="43A35D91"/>
    <w:rsid w:val="43A84318"/>
    <w:rsid w:val="44104C87"/>
    <w:rsid w:val="4416725D"/>
    <w:rsid w:val="44272982"/>
    <w:rsid w:val="443002B2"/>
    <w:rsid w:val="44320350"/>
    <w:rsid w:val="44491C3D"/>
    <w:rsid w:val="44541862"/>
    <w:rsid w:val="44661A67"/>
    <w:rsid w:val="446B21CC"/>
    <w:rsid w:val="447040AD"/>
    <w:rsid w:val="448105B9"/>
    <w:rsid w:val="44845819"/>
    <w:rsid w:val="44866DB0"/>
    <w:rsid w:val="448E476B"/>
    <w:rsid w:val="44913123"/>
    <w:rsid w:val="449136A5"/>
    <w:rsid w:val="44B116CD"/>
    <w:rsid w:val="44B67F26"/>
    <w:rsid w:val="44B77B10"/>
    <w:rsid w:val="44BF2236"/>
    <w:rsid w:val="44C7779B"/>
    <w:rsid w:val="44CD5930"/>
    <w:rsid w:val="44E977C5"/>
    <w:rsid w:val="44FA0D35"/>
    <w:rsid w:val="450076A3"/>
    <w:rsid w:val="45092B18"/>
    <w:rsid w:val="451F259A"/>
    <w:rsid w:val="4535129A"/>
    <w:rsid w:val="454563D2"/>
    <w:rsid w:val="454F443D"/>
    <w:rsid w:val="45706C4E"/>
    <w:rsid w:val="457A7DC5"/>
    <w:rsid w:val="457F7A4B"/>
    <w:rsid w:val="45865476"/>
    <w:rsid w:val="45907E29"/>
    <w:rsid w:val="459C597D"/>
    <w:rsid w:val="45A96F5B"/>
    <w:rsid w:val="45B13175"/>
    <w:rsid w:val="45B876C3"/>
    <w:rsid w:val="45BF6172"/>
    <w:rsid w:val="45CF61F8"/>
    <w:rsid w:val="45DC0B90"/>
    <w:rsid w:val="45E3714E"/>
    <w:rsid w:val="45E55B6A"/>
    <w:rsid w:val="45F00883"/>
    <w:rsid w:val="45F20C99"/>
    <w:rsid w:val="460019C7"/>
    <w:rsid w:val="46004322"/>
    <w:rsid w:val="46092CAC"/>
    <w:rsid w:val="461159BD"/>
    <w:rsid w:val="461C3328"/>
    <w:rsid w:val="464655D1"/>
    <w:rsid w:val="464B7B14"/>
    <w:rsid w:val="46566901"/>
    <w:rsid w:val="466D03E7"/>
    <w:rsid w:val="4674660C"/>
    <w:rsid w:val="46763EA5"/>
    <w:rsid w:val="468B742B"/>
    <w:rsid w:val="468C0D57"/>
    <w:rsid w:val="468E1145"/>
    <w:rsid w:val="46B31C5E"/>
    <w:rsid w:val="46BE2B1D"/>
    <w:rsid w:val="46D27BA8"/>
    <w:rsid w:val="46E06DDC"/>
    <w:rsid w:val="470356AD"/>
    <w:rsid w:val="470D732B"/>
    <w:rsid w:val="471C0839"/>
    <w:rsid w:val="473C070F"/>
    <w:rsid w:val="47426BA8"/>
    <w:rsid w:val="475755A3"/>
    <w:rsid w:val="475F2677"/>
    <w:rsid w:val="47650E51"/>
    <w:rsid w:val="476B1185"/>
    <w:rsid w:val="47764447"/>
    <w:rsid w:val="477D185C"/>
    <w:rsid w:val="477F0045"/>
    <w:rsid w:val="47AB5CFC"/>
    <w:rsid w:val="47AE54E1"/>
    <w:rsid w:val="47B47039"/>
    <w:rsid w:val="47B9396D"/>
    <w:rsid w:val="47C4209E"/>
    <w:rsid w:val="47C51068"/>
    <w:rsid w:val="47DF78F3"/>
    <w:rsid w:val="481F1B9E"/>
    <w:rsid w:val="482079AB"/>
    <w:rsid w:val="4834079D"/>
    <w:rsid w:val="4836048F"/>
    <w:rsid w:val="483F3950"/>
    <w:rsid w:val="4843447C"/>
    <w:rsid w:val="48482BB9"/>
    <w:rsid w:val="486A5D8B"/>
    <w:rsid w:val="487F12BD"/>
    <w:rsid w:val="487F2A44"/>
    <w:rsid w:val="488B030F"/>
    <w:rsid w:val="488F55F7"/>
    <w:rsid w:val="48C55880"/>
    <w:rsid w:val="48C673A5"/>
    <w:rsid w:val="48C71273"/>
    <w:rsid w:val="48D47952"/>
    <w:rsid w:val="48DC4F81"/>
    <w:rsid w:val="48F51877"/>
    <w:rsid w:val="48F867A7"/>
    <w:rsid w:val="492A50D5"/>
    <w:rsid w:val="493B3BED"/>
    <w:rsid w:val="493B62BC"/>
    <w:rsid w:val="49427083"/>
    <w:rsid w:val="49462CEC"/>
    <w:rsid w:val="495226B1"/>
    <w:rsid w:val="495822C0"/>
    <w:rsid w:val="49616774"/>
    <w:rsid w:val="496533DC"/>
    <w:rsid w:val="49730476"/>
    <w:rsid w:val="497F6110"/>
    <w:rsid w:val="497F7C84"/>
    <w:rsid w:val="498A617B"/>
    <w:rsid w:val="49947861"/>
    <w:rsid w:val="499B288B"/>
    <w:rsid w:val="499D7BA5"/>
    <w:rsid w:val="49A512B9"/>
    <w:rsid w:val="49B92971"/>
    <w:rsid w:val="49BA3232"/>
    <w:rsid w:val="49D731BB"/>
    <w:rsid w:val="49D97770"/>
    <w:rsid w:val="49E777F4"/>
    <w:rsid w:val="49EC50A4"/>
    <w:rsid w:val="49F519D5"/>
    <w:rsid w:val="4A001094"/>
    <w:rsid w:val="4A0826C4"/>
    <w:rsid w:val="4A085028"/>
    <w:rsid w:val="4A180F76"/>
    <w:rsid w:val="4A29490B"/>
    <w:rsid w:val="4A2F6811"/>
    <w:rsid w:val="4A3861E6"/>
    <w:rsid w:val="4A46286B"/>
    <w:rsid w:val="4A4642DD"/>
    <w:rsid w:val="4A5E774E"/>
    <w:rsid w:val="4A696307"/>
    <w:rsid w:val="4A6E62BB"/>
    <w:rsid w:val="4A741BED"/>
    <w:rsid w:val="4A7578E0"/>
    <w:rsid w:val="4A767409"/>
    <w:rsid w:val="4A8957C6"/>
    <w:rsid w:val="4A91218C"/>
    <w:rsid w:val="4A9825F0"/>
    <w:rsid w:val="4A9938C1"/>
    <w:rsid w:val="4A9E39DB"/>
    <w:rsid w:val="4AAD0AFC"/>
    <w:rsid w:val="4AB45C4F"/>
    <w:rsid w:val="4AB7057D"/>
    <w:rsid w:val="4AD51BC9"/>
    <w:rsid w:val="4AD60019"/>
    <w:rsid w:val="4AD708B8"/>
    <w:rsid w:val="4AD9340D"/>
    <w:rsid w:val="4AFA78C7"/>
    <w:rsid w:val="4AFC0575"/>
    <w:rsid w:val="4B143557"/>
    <w:rsid w:val="4B16492E"/>
    <w:rsid w:val="4B27120C"/>
    <w:rsid w:val="4B2904E9"/>
    <w:rsid w:val="4B2F0F99"/>
    <w:rsid w:val="4B4D55C5"/>
    <w:rsid w:val="4B5235C7"/>
    <w:rsid w:val="4B6676A4"/>
    <w:rsid w:val="4B83270D"/>
    <w:rsid w:val="4B891EBD"/>
    <w:rsid w:val="4B923452"/>
    <w:rsid w:val="4B9A3B4A"/>
    <w:rsid w:val="4BCF00EC"/>
    <w:rsid w:val="4BD24BDA"/>
    <w:rsid w:val="4BDC306B"/>
    <w:rsid w:val="4BE73FCE"/>
    <w:rsid w:val="4BE87D0F"/>
    <w:rsid w:val="4BF93FEE"/>
    <w:rsid w:val="4C007DDF"/>
    <w:rsid w:val="4C032BDF"/>
    <w:rsid w:val="4C1F5E5F"/>
    <w:rsid w:val="4C4063EC"/>
    <w:rsid w:val="4C5B0E8F"/>
    <w:rsid w:val="4C730B52"/>
    <w:rsid w:val="4C793482"/>
    <w:rsid w:val="4C7E6061"/>
    <w:rsid w:val="4C7F5C61"/>
    <w:rsid w:val="4C8663DF"/>
    <w:rsid w:val="4C8C7091"/>
    <w:rsid w:val="4C9844F9"/>
    <w:rsid w:val="4C9A5508"/>
    <w:rsid w:val="4CAA6AEB"/>
    <w:rsid w:val="4CB4281C"/>
    <w:rsid w:val="4CC244A8"/>
    <w:rsid w:val="4CC50033"/>
    <w:rsid w:val="4CCC0C97"/>
    <w:rsid w:val="4CCD3436"/>
    <w:rsid w:val="4CE95F3D"/>
    <w:rsid w:val="4CEB4E7A"/>
    <w:rsid w:val="4CEC2D0A"/>
    <w:rsid w:val="4D116D84"/>
    <w:rsid w:val="4D125338"/>
    <w:rsid w:val="4D1848F8"/>
    <w:rsid w:val="4D231EC9"/>
    <w:rsid w:val="4D304B19"/>
    <w:rsid w:val="4D311275"/>
    <w:rsid w:val="4D3B5D5C"/>
    <w:rsid w:val="4D3F5DC2"/>
    <w:rsid w:val="4D4C3153"/>
    <w:rsid w:val="4D584616"/>
    <w:rsid w:val="4D7400F6"/>
    <w:rsid w:val="4D7931B2"/>
    <w:rsid w:val="4D862646"/>
    <w:rsid w:val="4D8750ED"/>
    <w:rsid w:val="4D9A31AD"/>
    <w:rsid w:val="4DA163AE"/>
    <w:rsid w:val="4DA66593"/>
    <w:rsid w:val="4DA7261D"/>
    <w:rsid w:val="4DD13FE5"/>
    <w:rsid w:val="4DD97C80"/>
    <w:rsid w:val="4DED58D5"/>
    <w:rsid w:val="4DF12BDD"/>
    <w:rsid w:val="4E0C61B7"/>
    <w:rsid w:val="4E1216C1"/>
    <w:rsid w:val="4E164E2F"/>
    <w:rsid w:val="4E183627"/>
    <w:rsid w:val="4E250FBE"/>
    <w:rsid w:val="4E3927BC"/>
    <w:rsid w:val="4E51621F"/>
    <w:rsid w:val="4E5604AF"/>
    <w:rsid w:val="4E5B50A4"/>
    <w:rsid w:val="4E5F7150"/>
    <w:rsid w:val="4E7C4A62"/>
    <w:rsid w:val="4E7F371F"/>
    <w:rsid w:val="4E8E6315"/>
    <w:rsid w:val="4EB60EA6"/>
    <w:rsid w:val="4EC17045"/>
    <w:rsid w:val="4ED42ED4"/>
    <w:rsid w:val="4ED67B91"/>
    <w:rsid w:val="4EE70F67"/>
    <w:rsid w:val="4EF74069"/>
    <w:rsid w:val="4F1100AF"/>
    <w:rsid w:val="4F304FAA"/>
    <w:rsid w:val="4F363009"/>
    <w:rsid w:val="4F4C2B75"/>
    <w:rsid w:val="4F5F18CB"/>
    <w:rsid w:val="4F696A97"/>
    <w:rsid w:val="4F7477F2"/>
    <w:rsid w:val="4F793BA6"/>
    <w:rsid w:val="4FB16D27"/>
    <w:rsid w:val="4FBF2828"/>
    <w:rsid w:val="4FC66034"/>
    <w:rsid w:val="4FC701A1"/>
    <w:rsid w:val="4FE86752"/>
    <w:rsid w:val="4FF359E2"/>
    <w:rsid w:val="4FF807A7"/>
    <w:rsid w:val="502B6608"/>
    <w:rsid w:val="50344C5D"/>
    <w:rsid w:val="50392364"/>
    <w:rsid w:val="505C7F75"/>
    <w:rsid w:val="507354B7"/>
    <w:rsid w:val="507D0D5C"/>
    <w:rsid w:val="508A67DF"/>
    <w:rsid w:val="50973958"/>
    <w:rsid w:val="50B037E4"/>
    <w:rsid w:val="50B52B2F"/>
    <w:rsid w:val="50B83F1C"/>
    <w:rsid w:val="50B9398F"/>
    <w:rsid w:val="50BF68BB"/>
    <w:rsid w:val="50C05699"/>
    <w:rsid w:val="50CE4D1A"/>
    <w:rsid w:val="50D137B0"/>
    <w:rsid w:val="50DE00ED"/>
    <w:rsid w:val="50DF5457"/>
    <w:rsid w:val="50EA42A1"/>
    <w:rsid w:val="50EC237B"/>
    <w:rsid w:val="50F661E4"/>
    <w:rsid w:val="50FE5F11"/>
    <w:rsid w:val="512E2A15"/>
    <w:rsid w:val="51432111"/>
    <w:rsid w:val="51551F32"/>
    <w:rsid w:val="51681948"/>
    <w:rsid w:val="516E3507"/>
    <w:rsid w:val="51761D1E"/>
    <w:rsid w:val="517C1963"/>
    <w:rsid w:val="51866B2D"/>
    <w:rsid w:val="518B7088"/>
    <w:rsid w:val="518D0B36"/>
    <w:rsid w:val="518E63F4"/>
    <w:rsid w:val="51A571EB"/>
    <w:rsid w:val="51AC6303"/>
    <w:rsid w:val="51AE7E32"/>
    <w:rsid w:val="51C81747"/>
    <w:rsid w:val="51C84CF3"/>
    <w:rsid w:val="51CC34D5"/>
    <w:rsid w:val="51D025BB"/>
    <w:rsid w:val="51D05F7D"/>
    <w:rsid w:val="51D34CEF"/>
    <w:rsid w:val="51E23790"/>
    <w:rsid w:val="51E34081"/>
    <w:rsid w:val="51E526C0"/>
    <w:rsid w:val="51EC1F6B"/>
    <w:rsid w:val="51F95014"/>
    <w:rsid w:val="52246687"/>
    <w:rsid w:val="52293E49"/>
    <w:rsid w:val="522B0253"/>
    <w:rsid w:val="52452BD1"/>
    <w:rsid w:val="52452DA7"/>
    <w:rsid w:val="524F4055"/>
    <w:rsid w:val="52521438"/>
    <w:rsid w:val="525345F2"/>
    <w:rsid w:val="52641EE0"/>
    <w:rsid w:val="526C3190"/>
    <w:rsid w:val="527D0EA0"/>
    <w:rsid w:val="52862E03"/>
    <w:rsid w:val="52865E9A"/>
    <w:rsid w:val="52890B60"/>
    <w:rsid w:val="528D6648"/>
    <w:rsid w:val="52A72F47"/>
    <w:rsid w:val="52B21917"/>
    <w:rsid w:val="52BB3DFC"/>
    <w:rsid w:val="52C026D4"/>
    <w:rsid w:val="52CD3ACC"/>
    <w:rsid w:val="52DD35BA"/>
    <w:rsid w:val="52DE0EB0"/>
    <w:rsid w:val="52E01BF8"/>
    <w:rsid w:val="52E9148F"/>
    <w:rsid w:val="52EF6FF7"/>
    <w:rsid w:val="52F32569"/>
    <w:rsid w:val="530047F2"/>
    <w:rsid w:val="530212A9"/>
    <w:rsid w:val="531F677A"/>
    <w:rsid w:val="53291877"/>
    <w:rsid w:val="533D3C10"/>
    <w:rsid w:val="533E0D6D"/>
    <w:rsid w:val="53461002"/>
    <w:rsid w:val="534A1966"/>
    <w:rsid w:val="535C0A1B"/>
    <w:rsid w:val="538275F7"/>
    <w:rsid w:val="53903359"/>
    <w:rsid w:val="53B55F1F"/>
    <w:rsid w:val="53BD3166"/>
    <w:rsid w:val="53D36819"/>
    <w:rsid w:val="53D65726"/>
    <w:rsid w:val="5401681C"/>
    <w:rsid w:val="54104E01"/>
    <w:rsid w:val="54191F20"/>
    <w:rsid w:val="54270AA5"/>
    <w:rsid w:val="542B4614"/>
    <w:rsid w:val="548D10A5"/>
    <w:rsid w:val="54902C38"/>
    <w:rsid w:val="54995BA3"/>
    <w:rsid w:val="549A08D5"/>
    <w:rsid w:val="54B7709C"/>
    <w:rsid w:val="54C16C86"/>
    <w:rsid w:val="54D0796C"/>
    <w:rsid w:val="54D61F21"/>
    <w:rsid w:val="54E95656"/>
    <w:rsid w:val="54F4383A"/>
    <w:rsid w:val="54F9167B"/>
    <w:rsid w:val="54F96428"/>
    <w:rsid w:val="55000456"/>
    <w:rsid w:val="550E5BA3"/>
    <w:rsid w:val="55120314"/>
    <w:rsid w:val="5512557F"/>
    <w:rsid w:val="553C3252"/>
    <w:rsid w:val="5541101E"/>
    <w:rsid w:val="55444399"/>
    <w:rsid w:val="5546579C"/>
    <w:rsid w:val="554D286A"/>
    <w:rsid w:val="5558460B"/>
    <w:rsid w:val="5569369A"/>
    <w:rsid w:val="55827252"/>
    <w:rsid w:val="558A4F84"/>
    <w:rsid w:val="558C206A"/>
    <w:rsid w:val="558E0368"/>
    <w:rsid w:val="558E4306"/>
    <w:rsid w:val="55935CBD"/>
    <w:rsid w:val="55A74290"/>
    <w:rsid w:val="55C37F14"/>
    <w:rsid w:val="55DE61EE"/>
    <w:rsid w:val="55EB45CE"/>
    <w:rsid w:val="55EE017D"/>
    <w:rsid w:val="55F555A2"/>
    <w:rsid w:val="55FF00CF"/>
    <w:rsid w:val="560B1090"/>
    <w:rsid w:val="560F130A"/>
    <w:rsid w:val="56151D72"/>
    <w:rsid w:val="56154409"/>
    <w:rsid w:val="561B79DA"/>
    <w:rsid w:val="561F40FA"/>
    <w:rsid w:val="5620442C"/>
    <w:rsid w:val="56291523"/>
    <w:rsid w:val="562D5DF2"/>
    <w:rsid w:val="56302B85"/>
    <w:rsid w:val="563233D8"/>
    <w:rsid w:val="56396C1A"/>
    <w:rsid w:val="563A5B0A"/>
    <w:rsid w:val="563C1616"/>
    <w:rsid w:val="563D6F83"/>
    <w:rsid w:val="563E774B"/>
    <w:rsid w:val="56533F69"/>
    <w:rsid w:val="56693AFA"/>
    <w:rsid w:val="566C1D21"/>
    <w:rsid w:val="56892D6C"/>
    <w:rsid w:val="56992CCD"/>
    <w:rsid w:val="56A23A7B"/>
    <w:rsid w:val="56B30781"/>
    <w:rsid w:val="56C54C2A"/>
    <w:rsid w:val="56D446E6"/>
    <w:rsid w:val="56DD2B29"/>
    <w:rsid w:val="56DF5DB1"/>
    <w:rsid w:val="56E41B94"/>
    <w:rsid w:val="56EF3136"/>
    <w:rsid w:val="56FC3059"/>
    <w:rsid w:val="57151FD8"/>
    <w:rsid w:val="571A6F9A"/>
    <w:rsid w:val="571C3CEC"/>
    <w:rsid w:val="573D7CD0"/>
    <w:rsid w:val="57505BBF"/>
    <w:rsid w:val="575200CC"/>
    <w:rsid w:val="5778474A"/>
    <w:rsid w:val="57973956"/>
    <w:rsid w:val="57974E6A"/>
    <w:rsid w:val="57C77296"/>
    <w:rsid w:val="57CB5A49"/>
    <w:rsid w:val="57D7249A"/>
    <w:rsid w:val="57DE3891"/>
    <w:rsid w:val="57E16E57"/>
    <w:rsid w:val="57E75280"/>
    <w:rsid w:val="57F00604"/>
    <w:rsid w:val="57FC6DAC"/>
    <w:rsid w:val="58046EF6"/>
    <w:rsid w:val="580970FC"/>
    <w:rsid w:val="581862E4"/>
    <w:rsid w:val="582C3D58"/>
    <w:rsid w:val="583900B8"/>
    <w:rsid w:val="58397E0B"/>
    <w:rsid w:val="583C4AF6"/>
    <w:rsid w:val="583E2B83"/>
    <w:rsid w:val="58594C4B"/>
    <w:rsid w:val="58697752"/>
    <w:rsid w:val="586B252E"/>
    <w:rsid w:val="589A5CB3"/>
    <w:rsid w:val="58A75F8C"/>
    <w:rsid w:val="58B17A1F"/>
    <w:rsid w:val="58BB6254"/>
    <w:rsid w:val="58C77B78"/>
    <w:rsid w:val="58CC2EF5"/>
    <w:rsid w:val="58CD2D0A"/>
    <w:rsid w:val="58D41C53"/>
    <w:rsid w:val="58ED0B3A"/>
    <w:rsid w:val="58F9598D"/>
    <w:rsid w:val="59047672"/>
    <w:rsid w:val="590558D2"/>
    <w:rsid w:val="5911506C"/>
    <w:rsid w:val="591E76F1"/>
    <w:rsid w:val="591F21B7"/>
    <w:rsid w:val="592A660E"/>
    <w:rsid w:val="59381735"/>
    <w:rsid w:val="593D33DD"/>
    <w:rsid w:val="5940375C"/>
    <w:rsid w:val="594C4EE3"/>
    <w:rsid w:val="594E0EF3"/>
    <w:rsid w:val="59833E81"/>
    <w:rsid w:val="598C5D7A"/>
    <w:rsid w:val="598C765C"/>
    <w:rsid w:val="5991228C"/>
    <w:rsid w:val="599B6BF6"/>
    <w:rsid w:val="59A62EC4"/>
    <w:rsid w:val="59AA1289"/>
    <w:rsid w:val="59C4220E"/>
    <w:rsid w:val="59C569E7"/>
    <w:rsid w:val="59D14E27"/>
    <w:rsid w:val="59D37C25"/>
    <w:rsid w:val="59E05AC3"/>
    <w:rsid w:val="59E37842"/>
    <w:rsid w:val="59E44D85"/>
    <w:rsid w:val="59F26B7C"/>
    <w:rsid w:val="59F700AF"/>
    <w:rsid w:val="59F960A0"/>
    <w:rsid w:val="5A0C394F"/>
    <w:rsid w:val="5A0F238F"/>
    <w:rsid w:val="5A2E6174"/>
    <w:rsid w:val="5A373E19"/>
    <w:rsid w:val="5A461AC1"/>
    <w:rsid w:val="5A4838DB"/>
    <w:rsid w:val="5A4B4335"/>
    <w:rsid w:val="5A5B7E8E"/>
    <w:rsid w:val="5A6D3724"/>
    <w:rsid w:val="5A795BFA"/>
    <w:rsid w:val="5A8C0966"/>
    <w:rsid w:val="5AA92092"/>
    <w:rsid w:val="5AC36DA2"/>
    <w:rsid w:val="5ACD58D6"/>
    <w:rsid w:val="5ADB51B6"/>
    <w:rsid w:val="5AF47CE7"/>
    <w:rsid w:val="5B035F44"/>
    <w:rsid w:val="5B084042"/>
    <w:rsid w:val="5B190222"/>
    <w:rsid w:val="5B206421"/>
    <w:rsid w:val="5B216559"/>
    <w:rsid w:val="5B270C7E"/>
    <w:rsid w:val="5B2B4C0D"/>
    <w:rsid w:val="5B414598"/>
    <w:rsid w:val="5B445059"/>
    <w:rsid w:val="5B5A22CE"/>
    <w:rsid w:val="5B7451F8"/>
    <w:rsid w:val="5B752E8C"/>
    <w:rsid w:val="5B7F42F9"/>
    <w:rsid w:val="5B812345"/>
    <w:rsid w:val="5B8A417F"/>
    <w:rsid w:val="5BBB57D2"/>
    <w:rsid w:val="5BC622A2"/>
    <w:rsid w:val="5BCA527F"/>
    <w:rsid w:val="5BCD48A1"/>
    <w:rsid w:val="5C0B17E7"/>
    <w:rsid w:val="5C0C3D45"/>
    <w:rsid w:val="5C0F0A97"/>
    <w:rsid w:val="5C1344B8"/>
    <w:rsid w:val="5C2F5E65"/>
    <w:rsid w:val="5C376B51"/>
    <w:rsid w:val="5C397174"/>
    <w:rsid w:val="5C4678F4"/>
    <w:rsid w:val="5C603BB6"/>
    <w:rsid w:val="5C63485C"/>
    <w:rsid w:val="5C682956"/>
    <w:rsid w:val="5C704915"/>
    <w:rsid w:val="5C847715"/>
    <w:rsid w:val="5C9421C2"/>
    <w:rsid w:val="5CB63134"/>
    <w:rsid w:val="5CBE2E5C"/>
    <w:rsid w:val="5CC153E1"/>
    <w:rsid w:val="5CC75FC2"/>
    <w:rsid w:val="5CE72CEC"/>
    <w:rsid w:val="5CEA7DFF"/>
    <w:rsid w:val="5CEC4B9C"/>
    <w:rsid w:val="5CEE7761"/>
    <w:rsid w:val="5CEF1396"/>
    <w:rsid w:val="5CF05A8F"/>
    <w:rsid w:val="5D005CD5"/>
    <w:rsid w:val="5D0A1463"/>
    <w:rsid w:val="5D0A3845"/>
    <w:rsid w:val="5D0C2F77"/>
    <w:rsid w:val="5D0D09BB"/>
    <w:rsid w:val="5D176636"/>
    <w:rsid w:val="5D1D3C6D"/>
    <w:rsid w:val="5D25743E"/>
    <w:rsid w:val="5D2730D7"/>
    <w:rsid w:val="5D2E5520"/>
    <w:rsid w:val="5D3438C7"/>
    <w:rsid w:val="5D451DCF"/>
    <w:rsid w:val="5D593C67"/>
    <w:rsid w:val="5D6C4708"/>
    <w:rsid w:val="5D876DA8"/>
    <w:rsid w:val="5D8A5E84"/>
    <w:rsid w:val="5D906691"/>
    <w:rsid w:val="5D920C76"/>
    <w:rsid w:val="5D9B5267"/>
    <w:rsid w:val="5DA6753E"/>
    <w:rsid w:val="5DBF31E1"/>
    <w:rsid w:val="5DCA40FD"/>
    <w:rsid w:val="5DCB7DCF"/>
    <w:rsid w:val="5DD011E5"/>
    <w:rsid w:val="5DD31914"/>
    <w:rsid w:val="5DD376C4"/>
    <w:rsid w:val="5DF15858"/>
    <w:rsid w:val="5DF27510"/>
    <w:rsid w:val="5DF5499D"/>
    <w:rsid w:val="5E097DFE"/>
    <w:rsid w:val="5E1C1173"/>
    <w:rsid w:val="5E2207AA"/>
    <w:rsid w:val="5E3B4D1E"/>
    <w:rsid w:val="5E554CCC"/>
    <w:rsid w:val="5E5D6412"/>
    <w:rsid w:val="5E636C89"/>
    <w:rsid w:val="5E660A97"/>
    <w:rsid w:val="5E885E7A"/>
    <w:rsid w:val="5E8C1093"/>
    <w:rsid w:val="5E955333"/>
    <w:rsid w:val="5E993C49"/>
    <w:rsid w:val="5EAB5EEB"/>
    <w:rsid w:val="5EB417ED"/>
    <w:rsid w:val="5EC8141C"/>
    <w:rsid w:val="5ED20CCF"/>
    <w:rsid w:val="5EDF24E2"/>
    <w:rsid w:val="5EE418FE"/>
    <w:rsid w:val="5EE56019"/>
    <w:rsid w:val="5EFC047B"/>
    <w:rsid w:val="5EFE6195"/>
    <w:rsid w:val="5F011B9A"/>
    <w:rsid w:val="5F133BF3"/>
    <w:rsid w:val="5F273669"/>
    <w:rsid w:val="5F274CBD"/>
    <w:rsid w:val="5F2B583A"/>
    <w:rsid w:val="5F322158"/>
    <w:rsid w:val="5F3C6D1A"/>
    <w:rsid w:val="5F472D1F"/>
    <w:rsid w:val="5F500D96"/>
    <w:rsid w:val="5F597BBD"/>
    <w:rsid w:val="5F6658C5"/>
    <w:rsid w:val="5F704A02"/>
    <w:rsid w:val="5F846EC0"/>
    <w:rsid w:val="5F890774"/>
    <w:rsid w:val="5F953E60"/>
    <w:rsid w:val="5F98443A"/>
    <w:rsid w:val="5FC371CE"/>
    <w:rsid w:val="5FD15A50"/>
    <w:rsid w:val="5FDD15F3"/>
    <w:rsid w:val="5FE77655"/>
    <w:rsid w:val="5FF30A96"/>
    <w:rsid w:val="5FF64706"/>
    <w:rsid w:val="5FF9074E"/>
    <w:rsid w:val="5FFB74B9"/>
    <w:rsid w:val="60001F35"/>
    <w:rsid w:val="601A0B63"/>
    <w:rsid w:val="60241CD5"/>
    <w:rsid w:val="60293D4E"/>
    <w:rsid w:val="60546527"/>
    <w:rsid w:val="608148F7"/>
    <w:rsid w:val="60816BAA"/>
    <w:rsid w:val="60986CCB"/>
    <w:rsid w:val="60A24084"/>
    <w:rsid w:val="60AD11E4"/>
    <w:rsid w:val="60B1094E"/>
    <w:rsid w:val="60B37405"/>
    <w:rsid w:val="60B42E23"/>
    <w:rsid w:val="60BB64B7"/>
    <w:rsid w:val="60C640C8"/>
    <w:rsid w:val="60F95E02"/>
    <w:rsid w:val="611E1220"/>
    <w:rsid w:val="612F7F1E"/>
    <w:rsid w:val="61394E94"/>
    <w:rsid w:val="613B02D9"/>
    <w:rsid w:val="61481DC8"/>
    <w:rsid w:val="614B284E"/>
    <w:rsid w:val="614C7572"/>
    <w:rsid w:val="61552575"/>
    <w:rsid w:val="617C77EC"/>
    <w:rsid w:val="6185633B"/>
    <w:rsid w:val="619F1760"/>
    <w:rsid w:val="61A16018"/>
    <w:rsid w:val="61D844AC"/>
    <w:rsid w:val="61E02995"/>
    <w:rsid w:val="61E457E4"/>
    <w:rsid w:val="61E513BA"/>
    <w:rsid w:val="61FF2108"/>
    <w:rsid w:val="62053816"/>
    <w:rsid w:val="620A1A60"/>
    <w:rsid w:val="620C1C0B"/>
    <w:rsid w:val="62105E00"/>
    <w:rsid w:val="62143E63"/>
    <w:rsid w:val="62243DD1"/>
    <w:rsid w:val="62347D6A"/>
    <w:rsid w:val="6253686A"/>
    <w:rsid w:val="62563796"/>
    <w:rsid w:val="625F6E1F"/>
    <w:rsid w:val="62680FEA"/>
    <w:rsid w:val="62757885"/>
    <w:rsid w:val="627A4776"/>
    <w:rsid w:val="627B229F"/>
    <w:rsid w:val="629A5BF5"/>
    <w:rsid w:val="629B3D75"/>
    <w:rsid w:val="62B24B70"/>
    <w:rsid w:val="62B26215"/>
    <w:rsid w:val="62C32AD6"/>
    <w:rsid w:val="62EA5F1C"/>
    <w:rsid w:val="63031F3A"/>
    <w:rsid w:val="63032F3E"/>
    <w:rsid w:val="63057D7E"/>
    <w:rsid w:val="630E4E43"/>
    <w:rsid w:val="630E62E4"/>
    <w:rsid w:val="63171210"/>
    <w:rsid w:val="631E53C6"/>
    <w:rsid w:val="632235F1"/>
    <w:rsid w:val="63252474"/>
    <w:rsid w:val="632D5478"/>
    <w:rsid w:val="633F5BDB"/>
    <w:rsid w:val="63521F11"/>
    <w:rsid w:val="636A4EB9"/>
    <w:rsid w:val="636F367D"/>
    <w:rsid w:val="63713B5A"/>
    <w:rsid w:val="63924FF4"/>
    <w:rsid w:val="63A371FE"/>
    <w:rsid w:val="63BF4D82"/>
    <w:rsid w:val="63C31CDD"/>
    <w:rsid w:val="63C82636"/>
    <w:rsid w:val="63C91EC9"/>
    <w:rsid w:val="63CE72F4"/>
    <w:rsid w:val="63CF37B2"/>
    <w:rsid w:val="63D052D6"/>
    <w:rsid w:val="63D50A99"/>
    <w:rsid w:val="63DE6CE2"/>
    <w:rsid w:val="63E34608"/>
    <w:rsid w:val="63E86973"/>
    <w:rsid w:val="63F1599E"/>
    <w:rsid w:val="63FE1A12"/>
    <w:rsid w:val="6404211B"/>
    <w:rsid w:val="640C2F20"/>
    <w:rsid w:val="642B0A23"/>
    <w:rsid w:val="642F0E63"/>
    <w:rsid w:val="6447227C"/>
    <w:rsid w:val="644F04D9"/>
    <w:rsid w:val="64593DC9"/>
    <w:rsid w:val="645F7422"/>
    <w:rsid w:val="64603BEE"/>
    <w:rsid w:val="64686C63"/>
    <w:rsid w:val="646B054A"/>
    <w:rsid w:val="647911F6"/>
    <w:rsid w:val="6482238F"/>
    <w:rsid w:val="648F1F78"/>
    <w:rsid w:val="649E4591"/>
    <w:rsid w:val="64A33479"/>
    <w:rsid w:val="64D15D4B"/>
    <w:rsid w:val="64DE2272"/>
    <w:rsid w:val="64E12195"/>
    <w:rsid w:val="64EC5E8A"/>
    <w:rsid w:val="64F53064"/>
    <w:rsid w:val="64F63DE1"/>
    <w:rsid w:val="64F937E8"/>
    <w:rsid w:val="64FD22FE"/>
    <w:rsid w:val="650238DB"/>
    <w:rsid w:val="65197B95"/>
    <w:rsid w:val="651C45B5"/>
    <w:rsid w:val="651C7F8B"/>
    <w:rsid w:val="65405CF6"/>
    <w:rsid w:val="655A72D2"/>
    <w:rsid w:val="655C1705"/>
    <w:rsid w:val="655F218A"/>
    <w:rsid w:val="65627F4E"/>
    <w:rsid w:val="656333A3"/>
    <w:rsid w:val="65770174"/>
    <w:rsid w:val="65796576"/>
    <w:rsid w:val="65A5032F"/>
    <w:rsid w:val="65B62BAA"/>
    <w:rsid w:val="65C32C1F"/>
    <w:rsid w:val="65C86585"/>
    <w:rsid w:val="65DE0F00"/>
    <w:rsid w:val="65E0068B"/>
    <w:rsid w:val="65E2779F"/>
    <w:rsid w:val="65E40219"/>
    <w:rsid w:val="65EB5039"/>
    <w:rsid w:val="65EC4CE4"/>
    <w:rsid w:val="65FD45FA"/>
    <w:rsid w:val="66051763"/>
    <w:rsid w:val="660710A6"/>
    <w:rsid w:val="661C1CF0"/>
    <w:rsid w:val="663028A3"/>
    <w:rsid w:val="66331006"/>
    <w:rsid w:val="66356651"/>
    <w:rsid w:val="6639637E"/>
    <w:rsid w:val="663D4127"/>
    <w:rsid w:val="665B7C2E"/>
    <w:rsid w:val="665C4F92"/>
    <w:rsid w:val="66725807"/>
    <w:rsid w:val="6673262B"/>
    <w:rsid w:val="6675467A"/>
    <w:rsid w:val="66761C97"/>
    <w:rsid w:val="667B416C"/>
    <w:rsid w:val="667D64A1"/>
    <w:rsid w:val="667E0568"/>
    <w:rsid w:val="667E7333"/>
    <w:rsid w:val="6684378B"/>
    <w:rsid w:val="6691582A"/>
    <w:rsid w:val="669C5A41"/>
    <w:rsid w:val="66A84F8A"/>
    <w:rsid w:val="66B357AB"/>
    <w:rsid w:val="66BA2483"/>
    <w:rsid w:val="66C54A72"/>
    <w:rsid w:val="66D04A93"/>
    <w:rsid w:val="66D153FA"/>
    <w:rsid w:val="66D75CFA"/>
    <w:rsid w:val="66E27A50"/>
    <w:rsid w:val="66E47BC4"/>
    <w:rsid w:val="66F50DBD"/>
    <w:rsid w:val="670673B0"/>
    <w:rsid w:val="67120B71"/>
    <w:rsid w:val="671F643F"/>
    <w:rsid w:val="67387A68"/>
    <w:rsid w:val="673C2D97"/>
    <w:rsid w:val="673C607B"/>
    <w:rsid w:val="674906C4"/>
    <w:rsid w:val="67501116"/>
    <w:rsid w:val="67636B40"/>
    <w:rsid w:val="6765493B"/>
    <w:rsid w:val="67720740"/>
    <w:rsid w:val="67785DCF"/>
    <w:rsid w:val="679867CB"/>
    <w:rsid w:val="67E01DBC"/>
    <w:rsid w:val="67E60E33"/>
    <w:rsid w:val="67EC5D0F"/>
    <w:rsid w:val="67FA30E4"/>
    <w:rsid w:val="68053C88"/>
    <w:rsid w:val="680E558A"/>
    <w:rsid w:val="6821024F"/>
    <w:rsid w:val="68212101"/>
    <w:rsid w:val="682668F3"/>
    <w:rsid w:val="684E026C"/>
    <w:rsid w:val="68580264"/>
    <w:rsid w:val="68640620"/>
    <w:rsid w:val="6866674F"/>
    <w:rsid w:val="68673D33"/>
    <w:rsid w:val="68691EF7"/>
    <w:rsid w:val="687062ED"/>
    <w:rsid w:val="68761A96"/>
    <w:rsid w:val="68827120"/>
    <w:rsid w:val="68844A95"/>
    <w:rsid w:val="68851464"/>
    <w:rsid w:val="688676A6"/>
    <w:rsid w:val="68937723"/>
    <w:rsid w:val="68A0020A"/>
    <w:rsid w:val="68A06D3A"/>
    <w:rsid w:val="68AA0B46"/>
    <w:rsid w:val="68AC15C3"/>
    <w:rsid w:val="68AD0F7B"/>
    <w:rsid w:val="68B838B8"/>
    <w:rsid w:val="68CB0C99"/>
    <w:rsid w:val="68D33D5F"/>
    <w:rsid w:val="68F14D84"/>
    <w:rsid w:val="68F84631"/>
    <w:rsid w:val="690F6D4E"/>
    <w:rsid w:val="69233CBE"/>
    <w:rsid w:val="692D7E23"/>
    <w:rsid w:val="693E06BB"/>
    <w:rsid w:val="694A1939"/>
    <w:rsid w:val="694E5B89"/>
    <w:rsid w:val="694F3FFE"/>
    <w:rsid w:val="696B739D"/>
    <w:rsid w:val="6976098F"/>
    <w:rsid w:val="698E2AB6"/>
    <w:rsid w:val="69960786"/>
    <w:rsid w:val="699B7542"/>
    <w:rsid w:val="69BD55F8"/>
    <w:rsid w:val="69D8153D"/>
    <w:rsid w:val="69DF4B8A"/>
    <w:rsid w:val="6A0813AC"/>
    <w:rsid w:val="6A0873FB"/>
    <w:rsid w:val="6A187FCD"/>
    <w:rsid w:val="6A1C0D9E"/>
    <w:rsid w:val="6A1C14DE"/>
    <w:rsid w:val="6A2118A8"/>
    <w:rsid w:val="6A250CD0"/>
    <w:rsid w:val="6A297AB4"/>
    <w:rsid w:val="6A2E3157"/>
    <w:rsid w:val="6A505FB2"/>
    <w:rsid w:val="6A561056"/>
    <w:rsid w:val="6A6E18D6"/>
    <w:rsid w:val="6A7A4E4C"/>
    <w:rsid w:val="6A902A5B"/>
    <w:rsid w:val="6AA86409"/>
    <w:rsid w:val="6AA879F7"/>
    <w:rsid w:val="6AAE2E67"/>
    <w:rsid w:val="6AC260A7"/>
    <w:rsid w:val="6AC45A92"/>
    <w:rsid w:val="6AD0536D"/>
    <w:rsid w:val="6AD8754C"/>
    <w:rsid w:val="6AF32B25"/>
    <w:rsid w:val="6AF77060"/>
    <w:rsid w:val="6B016D2B"/>
    <w:rsid w:val="6B062277"/>
    <w:rsid w:val="6B0A27C6"/>
    <w:rsid w:val="6B2A40C0"/>
    <w:rsid w:val="6B3E6873"/>
    <w:rsid w:val="6B4210CB"/>
    <w:rsid w:val="6B430805"/>
    <w:rsid w:val="6B4718A8"/>
    <w:rsid w:val="6B4F744E"/>
    <w:rsid w:val="6B5D1113"/>
    <w:rsid w:val="6B635FF1"/>
    <w:rsid w:val="6B7618D5"/>
    <w:rsid w:val="6B9061F7"/>
    <w:rsid w:val="6B974DF7"/>
    <w:rsid w:val="6BA43D67"/>
    <w:rsid w:val="6BA5231A"/>
    <w:rsid w:val="6BAA2CF6"/>
    <w:rsid w:val="6BAB6077"/>
    <w:rsid w:val="6BAF6AE9"/>
    <w:rsid w:val="6BB3317A"/>
    <w:rsid w:val="6BBB431C"/>
    <w:rsid w:val="6BBF2F4E"/>
    <w:rsid w:val="6BBF5B90"/>
    <w:rsid w:val="6BCF02FA"/>
    <w:rsid w:val="6BF44C52"/>
    <w:rsid w:val="6C001E00"/>
    <w:rsid w:val="6C214CE5"/>
    <w:rsid w:val="6C295CFC"/>
    <w:rsid w:val="6C33395A"/>
    <w:rsid w:val="6C35149C"/>
    <w:rsid w:val="6C4B7E55"/>
    <w:rsid w:val="6C507F8F"/>
    <w:rsid w:val="6C564772"/>
    <w:rsid w:val="6C57266F"/>
    <w:rsid w:val="6C6C4037"/>
    <w:rsid w:val="6C761A2B"/>
    <w:rsid w:val="6C78466C"/>
    <w:rsid w:val="6C8C44BA"/>
    <w:rsid w:val="6C9059DC"/>
    <w:rsid w:val="6C94326B"/>
    <w:rsid w:val="6C9F5F3F"/>
    <w:rsid w:val="6CA919B5"/>
    <w:rsid w:val="6CAD0319"/>
    <w:rsid w:val="6CC8448C"/>
    <w:rsid w:val="6CD71DE2"/>
    <w:rsid w:val="6CD951DB"/>
    <w:rsid w:val="6CDA1D6D"/>
    <w:rsid w:val="6CFB7CB0"/>
    <w:rsid w:val="6D21259C"/>
    <w:rsid w:val="6D3A5C6E"/>
    <w:rsid w:val="6D4A31E9"/>
    <w:rsid w:val="6D554CF7"/>
    <w:rsid w:val="6D6E27C6"/>
    <w:rsid w:val="6D790F67"/>
    <w:rsid w:val="6D792447"/>
    <w:rsid w:val="6D7A6E06"/>
    <w:rsid w:val="6D7B74C1"/>
    <w:rsid w:val="6D804C33"/>
    <w:rsid w:val="6D8D6D23"/>
    <w:rsid w:val="6DAB25BA"/>
    <w:rsid w:val="6DBB588C"/>
    <w:rsid w:val="6DCB4B24"/>
    <w:rsid w:val="6DD00D1F"/>
    <w:rsid w:val="6DF60A34"/>
    <w:rsid w:val="6DF910D4"/>
    <w:rsid w:val="6E060A52"/>
    <w:rsid w:val="6E076E6A"/>
    <w:rsid w:val="6E1A1301"/>
    <w:rsid w:val="6E1E2B78"/>
    <w:rsid w:val="6E1E6821"/>
    <w:rsid w:val="6E4B2F07"/>
    <w:rsid w:val="6E552A1A"/>
    <w:rsid w:val="6E574A7A"/>
    <w:rsid w:val="6E6711EC"/>
    <w:rsid w:val="6E686CEF"/>
    <w:rsid w:val="6E693F01"/>
    <w:rsid w:val="6E857583"/>
    <w:rsid w:val="6E8D3510"/>
    <w:rsid w:val="6E8E59CC"/>
    <w:rsid w:val="6E9E417E"/>
    <w:rsid w:val="6EA87A7F"/>
    <w:rsid w:val="6EB8507B"/>
    <w:rsid w:val="6EBD4B17"/>
    <w:rsid w:val="6ECA6F45"/>
    <w:rsid w:val="6ED15AF2"/>
    <w:rsid w:val="6EF151DB"/>
    <w:rsid w:val="6F09064F"/>
    <w:rsid w:val="6F163230"/>
    <w:rsid w:val="6F226411"/>
    <w:rsid w:val="6F3B1F98"/>
    <w:rsid w:val="6F3C4383"/>
    <w:rsid w:val="6F41761E"/>
    <w:rsid w:val="6F4F1C3A"/>
    <w:rsid w:val="6F5D38AE"/>
    <w:rsid w:val="6F623601"/>
    <w:rsid w:val="6F650E13"/>
    <w:rsid w:val="6F6C3A7A"/>
    <w:rsid w:val="6F73700A"/>
    <w:rsid w:val="6F8177CE"/>
    <w:rsid w:val="6F89668F"/>
    <w:rsid w:val="6F9944A0"/>
    <w:rsid w:val="6FA219AF"/>
    <w:rsid w:val="6FAD7E2C"/>
    <w:rsid w:val="6FC23DD5"/>
    <w:rsid w:val="6FCD2482"/>
    <w:rsid w:val="6FDD2F7C"/>
    <w:rsid w:val="6FF5364E"/>
    <w:rsid w:val="6FF90927"/>
    <w:rsid w:val="70360BEE"/>
    <w:rsid w:val="70387D39"/>
    <w:rsid w:val="7041603A"/>
    <w:rsid w:val="704208CB"/>
    <w:rsid w:val="705B49E8"/>
    <w:rsid w:val="70637102"/>
    <w:rsid w:val="706B294A"/>
    <w:rsid w:val="70735D48"/>
    <w:rsid w:val="70801218"/>
    <w:rsid w:val="709B2A10"/>
    <w:rsid w:val="709F56AD"/>
    <w:rsid w:val="70A41054"/>
    <w:rsid w:val="70A979D6"/>
    <w:rsid w:val="70B37D49"/>
    <w:rsid w:val="70BD6656"/>
    <w:rsid w:val="70C56D80"/>
    <w:rsid w:val="70CF708C"/>
    <w:rsid w:val="70D01A6A"/>
    <w:rsid w:val="70DD635A"/>
    <w:rsid w:val="70E22BCF"/>
    <w:rsid w:val="710C70A9"/>
    <w:rsid w:val="71104E66"/>
    <w:rsid w:val="711B50F0"/>
    <w:rsid w:val="711D312F"/>
    <w:rsid w:val="71202B3A"/>
    <w:rsid w:val="713A1C75"/>
    <w:rsid w:val="71477774"/>
    <w:rsid w:val="71537E0E"/>
    <w:rsid w:val="71676E28"/>
    <w:rsid w:val="716F70BA"/>
    <w:rsid w:val="717F50B4"/>
    <w:rsid w:val="718828AB"/>
    <w:rsid w:val="71891D92"/>
    <w:rsid w:val="718C4C9F"/>
    <w:rsid w:val="71A14870"/>
    <w:rsid w:val="71CF69BF"/>
    <w:rsid w:val="71E1690B"/>
    <w:rsid w:val="71EF18E9"/>
    <w:rsid w:val="71F66E2E"/>
    <w:rsid w:val="71F72922"/>
    <w:rsid w:val="71FA18D0"/>
    <w:rsid w:val="71FE6977"/>
    <w:rsid w:val="720E0720"/>
    <w:rsid w:val="72131B30"/>
    <w:rsid w:val="7215144B"/>
    <w:rsid w:val="72151FB0"/>
    <w:rsid w:val="721A5175"/>
    <w:rsid w:val="72316901"/>
    <w:rsid w:val="724366B6"/>
    <w:rsid w:val="725534A5"/>
    <w:rsid w:val="72A3079E"/>
    <w:rsid w:val="72AC2557"/>
    <w:rsid w:val="72B27992"/>
    <w:rsid w:val="72BD3018"/>
    <w:rsid w:val="72C24334"/>
    <w:rsid w:val="72CF4D2C"/>
    <w:rsid w:val="72E21065"/>
    <w:rsid w:val="72E41C9A"/>
    <w:rsid w:val="72ED7698"/>
    <w:rsid w:val="72EF1867"/>
    <w:rsid w:val="731A6DBF"/>
    <w:rsid w:val="73256092"/>
    <w:rsid w:val="732B5F10"/>
    <w:rsid w:val="73340850"/>
    <w:rsid w:val="733504B5"/>
    <w:rsid w:val="73397DD9"/>
    <w:rsid w:val="734D3A54"/>
    <w:rsid w:val="73593C04"/>
    <w:rsid w:val="73607F8E"/>
    <w:rsid w:val="73706265"/>
    <w:rsid w:val="737264C3"/>
    <w:rsid w:val="737441F6"/>
    <w:rsid w:val="73767FE5"/>
    <w:rsid w:val="737A05C5"/>
    <w:rsid w:val="737F7D42"/>
    <w:rsid w:val="7382582B"/>
    <w:rsid w:val="7388357C"/>
    <w:rsid w:val="73B05CFE"/>
    <w:rsid w:val="73B567E2"/>
    <w:rsid w:val="73BD3282"/>
    <w:rsid w:val="73BE31D2"/>
    <w:rsid w:val="73C2042B"/>
    <w:rsid w:val="73CC28BA"/>
    <w:rsid w:val="73D63993"/>
    <w:rsid w:val="741948B7"/>
    <w:rsid w:val="741A7D21"/>
    <w:rsid w:val="74363E2A"/>
    <w:rsid w:val="74484B8C"/>
    <w:rsid w:val="74663113"/>
    <w:rsid w:val="747434FC"/>
    <w:rsid w:val="74763B6D"/>
    <w:rsid w:val="749618D7"/>
    <w:rsid w:val="7499233B"/>
    <w:rsid w:val="749C0A4E"/>
    <w:rsid w:val="74B07EAA"/>
    <w:rsid w:val="74B14F4D"/>
    <w:rsid w:val="74C250F2"/>
    <w:rsid w:val="74EF5763"/>
    <w:rsid w:val="74F72DE6"/>
    <w:rsid w:val="750B3094"/>
    <w:rsid w:val="752E0338"/>
    <w:rsid w:val="75576C40"/>
    <w:rsid w:val="755D3A2F"/>
    <w:rsid w:val="756D29BA"/>
    <w:rsid w:val="75780709"/>
    <w:rsid w:val="75795A15"/>
    <w:rsid w:val="757A4A68"/>
    <w:rsid w:val="757D0609"/>
    <w:rsid w:val="758A340C"/>
    <w:rsid w:val="758E36CE"/>
    <w:rsid w:val="759D621D"/>
    <w:rsid w:val="759E3D87"/>
    <w:rsid w:val="75B930A0"/>
    <w:rsid w:val="75B94201"/>
    <w:rsid w:val="75BD1A86"/>
    <w:rsid w:val="75D87B78"/>
    <w:rsid w:val="75F06C96"/>
    <w:rsid w:val="75FE4DA9"/>
    <w:rsid w:val="760E3C8A"/>
    <w:rsid w:val="76180D18"/>
    <w:rsid w:val="761C5159"/>
    <w:rsid w:val="76255331"/>
    <w:rsid w:val="76261268"/>
    <w:rsid w:val="762957E8"/>
    <w:rsid w:val="76380BCF"/>
    <w:rsid w:val="767B2CE8"/>
    <w:rsid w:val="76840366"/>
    <w:rsid w:val="768C28F6"/>
    <w:rsid w:val="768D022F"/>
    <w:rsid w:val="76A44D9F"/>
    <w:rsid w:val="76A80415"/>
    <w:rsid w:val="76B104B6"/>
    <w:rsid w:val="76C90E7D"/>
    <w:rsid w:val="76CC6B5E"/>
    <w:rsid w:val="76D51AEE"/>
    <w:rsid w:val="76D5273F"/>
    <w:rsid w:val="76E35016"/>
    <w:rsid w:val="76E67857"/>
    <w:rsid w:val="76EF1714"/>
    <w:rsid w:val="76FA4390"/>
    <w:rsid w:val="76FD050C"/>
    <w:rsid w:val="76FD3E94"/>
    <w:rsid w:val="76FE40AF"/>
    <w:rsid w:val="770F1B7B"/>
    <w:rsid w:val="772439E2"/>
    <w:rsid w:val="77463BB2"/>
    <w:rsid w:val="77560BC6"/>
    <w:rsid w:val="776D3975"/>
    <w:rsid w:val="776D41E2"/>
    <w:rsid w:val="777924A9"/>
    <w:rsid w:val="77831711"/>
    <w:rsid w:val="7788660D"/>
    <w:rsid w:val="77892215"/>
    <w:rsid w:val="778B531E"/>
    <w:rsid w:val="77947D28"/>
    <w:rsid w:val="779559C6"/>
    <w:rsid w:val="77AE6F88"/>
    <w:rsid w:val="77B92818"/>
    <w:rsid w:val="77BA78E2"/>
    <w:rsid w:val="77C07918"/>
    <w:rsid w:val="77C306E6"/>
    <w:rsid w:val="77D004C2"/>
    <w:rsid w:val="77DA2950"/>
    <w:rsid w:val="77E74510"/>
    <w:rsid w:val="77E804C0"/>
    <w:rsid w:val="77E84B53"/>
    <w:rsid w:val="77E93C7D"/>
    <w:rsid w:val="77EB5690"/>
    <w:rsid w:val="77F83196"/>
    <w:rsid w:val="77F93261"/>
    <w:rsid w:val="77FB1BDF"/>
    <w:rsid w:val="78404562"/>
    <w:rsid w:val="784F410C"/>
    <w:rsid w:val="78570B45"/>
    <w:rsid w:val="78731C71"/>
    <w:rsid w:val="78775B56"/>
    <w:rsid w:val="78817456"/>
    <w:rsid w:val="788C0855"/>
    <w:rsid w:val="78AC3CE2"/>
    <w:rsid w:val="78B64AF1"/>
    <w:rsid w:val="78BA4530"/>
    <w:rsid w:val="78E007BD"/>
    <w:rsid w:val="79015262"/>
    <w:rsid w:val="790B64B7"/>
    <w:rsid w:val="79152494"/>
    <w:rsid w:val="792B44C3"/>
    <w:rsid w:val="792F0080"/>
    <w:rsid w:val="79406BD5"/>
    <w:rsid w:val="79415781"/>
    <w:rsid w:val="79630853"/>
    <w:rsid w:val="79861774"/>
    <w:rsid w:val="79AD42AA"/>
    <w:rsid w:val="79B91B27"/>
    <w:rsid w:val="79C65CEE"/>
    <w:rsid w:val="79CB5EB9"/>
    <w:rsid w:val="79F657CF"/>
    <w:rsid w:val="79FB3E63"/>
    <w:rsid w:val="79FF74FD"/>
    <w:rsid w:val="7A004201"/>
    <w:rsid w:val="7A0D38BF"/>
    <w:rsid w:val="7A0E78AB"/>
    <w:rsid w:val="7A143907"/>
    <w:rsid w:val="7A147BD8"/>
    <w:rsid w:val="7A1B0BA6"/>
    <w:rsid w:val="7A1F3880"/>
    <w:rsid w:val="7A233D20"/>
    <w:rsid w:val="7A282927"/>
    <w:rsid w:val="7A290FA0"/>
    <w:rsid w:val="7A387586"/>
    <w:rsid w:val="7A3E108B"/>
    <w:rsid w:val="7A6111F3"/>
    <w:rsid w:val="7A6B1630"/>
    <w:rsid w:val="7A7A7270"/>
    <w:rsid w:val="7A7F1255"/>
    <w:rsid w:val="7A891726"/>
    <w:rsid w:val="7A9D44F8"/>
    <w:rsid w:val="7AB230FB"/>
    <w:rsid w:val="7AC1690F"/>
    <w:rsid w:val="7AC16C6E"/>
    <w:rsid w:val="7AC33E76"/>
    <w:rsid w:val="7AD74C92"/>
    <w:rsid w:val="7ADD6DDD"/>
    <w:rsid w:val="7ADE6201"/>
    <w:rsid w:val="7AF2389B"/>
    <w:rsid w:val="7AF65CB1"/>
    <w:rsid w:val="7B001E28"/>
    <w:rsid w:val="7B0E385E"/>
    <w:rsid w:val="7B2242B5"/>
    <w:rsid w:val="7B2A33E2"/>
    <w:rsid w:val="7B38528E"/>
    <w:rsid w:val="7B410562"/>
    <w:rsid w:val="7B462816"/>
    <w:rsid w:val="7B5C0F9E"/>
    <w:rsid w:val="7B674BAA"/>
    <w:rsid w:val="7B762C81"/>
    <w:rsid w:val="7B797C92"/>
    <w:rsid w:val="7B7C5027"/>
    <w:rsid w:val="7B7D5673"/>
    <w:rsid w:val="7B7E655E"/>
    <w:rsid w:val="7B9C75EE"/>
    <w:rsid w:val="7BA97120"/>
    <w:rsid w:val="7BCC75B8"/>
    <w:rsid w:val="7BD610BA"/>
    <w:rsid w:val="7BD646E0"/>
    <w:rsid w:val="7BDA7890"/>
    <w:rsid w:val="7BEB5012"/>
    <w:rsid w:val="7BFE56E7"/>
    <w:rsid w:val="7C013290"/>
    <w:rsid w:val="7C160D3E"/>
    <w:rsid w:val="7C1E49C1"/>
    <w:rsid w:val="7C204DBC"/>
    <w:rsid w:val="7C330040"/>
    <w:rsid w:val="7C4A49DE"/>
    <w:rsid w:val="7C545DC0"/>
    <w:rsid w:val="7C5766D3"/>
    <w:rsid w:val="7C5A488F"/>
    <w:rsid w:val="7C5B0BEE"/>
    <w:rsid w:val="7C5F3BE5"/>
    <w:rsid w:val="7C6E39CF"/>
    <w:rsid w:val="7C8A3205"/>
    <w:rsid w:val="7CA1082C"/>
    <w:rsid w:val="7CD60045"/>
    <w:rsid w:val="7CDA229D"/>
    <w:rsid w:val="7CDB0D6F"/>
    <w:rsid w:val="7CE86564"/>
    <w:rsid w:val="7CF23BA2"/>
    <w:rsid w:val="7CF70317"/>
    <w:rsid w:val="7D186B24"/>
    <w:rsid w:val="7D2A502A"/>
    <w:rsid w:val="7D2D0AF1"/>
    <w:rsid w:val="7D2E5CE8"/>
    <w:rsid w:val="7D4F30FE"/>
    <w:rsid w:val="7D574BA9"/>
    <w:rsid w:val="7D654749"/>
    <w:rsid w:val="7D9E0402"/>
    <w:rsid w:val="7DA16CC0"/>
    <w:rsid w:val="7DA71031"/>
    <w:rsid w:val="7DAA00FF"/>
    <w:rsid w:val="7DBB027D"/>
    <w:rsid w:val="7DD63E7D"/>
    <w:rsid w:val="7DE6366A"/>
    <w:rsid w:val="7DE77023"/>
    <w:rsid w:val="7DF477F2"/>
    <w:rsid w:val="7DF575E7"/>
    <w:rsid w:val="7DFE7B89"/>
    <w:rsid w:val="7E157484"/>
    <w:rsid w:val="7E2934B6"/>
    <w:rsid w:val="7E3D40F6"/>
    <w:rsid w:val="7E4F3537"/>
    <w:rsid w:val="7E550680"/>
    <w:rsid w:val="7E5930C0"/>
    <w:rsid w:val="7E603853"/>
    <w:rsid w:val="7E6218AB"/>
    <w:rsid w:val="7E674F1D"/>
    <w:rsid w:val="7E725C66"/>
    <w:rsid w:val="7E746527"/>
    <w:rsid w:val="7E751CA0"/>
    <w:rsid w:val="7E7C28CD"/>
    <w:rsid w:val="7E821A22"/>
    <w:rsid w:val="7E961DBD"/>
    <w:rsid w:val="7E992F9E"/>
    <w:rsid w:val="7EA5341F"/>
    <w:rsid w:val="7EB22F58"/>
    <w:rsid w:val="7EB2574C"/>
    <w:rsid w:val="7EC650AD"/>
    <w:rsid w:val="7ED1460E"/>
    <w:rsid w:val="7EE177F2"/>
    <w:rsid w:val="7EEA2AFF"/>
    <w:rsid w:val="7EFF072C"/>
    <w:rsid w:val="7F00177C"/>
    <w:rsid w:val="7F0342C8"/>
    <w:rsid w:val="7F0E2616"/>
    <w:rsid w:val="7F191705"/>
    <w:rsid w:val="7F347C8E"/>
    <w:rsid w:val="7F597395"/>
    <w:rsid w:val="7F5C3497"/>
    <w:rsid w:val="7F64470C"/>
    <w:rsid w:val="7F77707F"/>
    <w:rsid w:val="7F8252A4"/>
    <w:rsid w:val="7F932F1F"/>
    <w:rsid w:val="7F9365A4"/>
    <w:rsid w:val="7FD43DB6"/>
    <w:rsid w:val="7FDB0D60"/>
    <w:rsid w:val="7FEC6F49"/>
    <w:rsid w:val="7FF50DA4"/>
    <w:rsid w:val="7FF662C6"/>
    <w:rsid w:val="7FF7483B"/>
    <w:rsid w:val="7FFC7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unhideWhenUsed="0" w:uiPriority="39" w:semiHidden="0" w:name="toc 9"/>
    <w:lsdException w:qFormat="1" w:unhideWhenUsed="0" w:uiPriority="0" w:semiHidden="0" w:name="Normal Indent"/>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sdException w:unhideWhenUsed="0" w:uiPriority="0" w:semiHidden="0" w:name="Body Text 2" w:locked="1"/>
    <w:lsdException w:unhideWhenUsed="0" w:uiPriority="0" w:semiHidden="0" w:name="Body Text 3" w:locked="1"/>
    <w:lsdException w:qFormat="1" w:unhideWhenUsed="0" w:uiPriority="0" w:semiHidden="0" w:name="Body Text Indent 2"/>
    <w:lsdException w:unhideWhenUsed="0" w:uiPriority="0" w:semiHidden="0" w:name="Body Text Indent 3" w:locked="1"/>
    <w:lsdException w:qFormat="1" w:unhideWhenUsed="0" w:uiPriority="0" w:semiHidden="0" w:name="Block Text"/>
    <w:lsdException w:qFormat="1" w:unhideWhenUsed="0"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nhideWhenUsed="0" w:uiPriority="0" w:semiHidden="0" w:name="HTML Preformatted" w:locked="1"/>
    <w:lsdException w:qFormat="1"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unhideWhenUsed="0" w:uiPriority="0" w:semiHidden="0" w:name="annotation subject" w:locked="1"/>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宋体" w:cs="Times New Roman"/>
      <w:color w:val="000000"/>
      <w:kern w:val="24"/>
      <w:sz w:val="24"/>
      <w:szCs w:val="24"/>
      <w:lang w:val="en-US" w:eastAsia="zh-CN" w:bidi="ar-SA"/>
    </w:rPr>
  </w:style>
  <w:style w:type="paragraph" w:styleId="3">
    <w:name w:val="heading 1"/>
    <w:basedOn w:val="1"/>
    <w:next w:val="1"/>
    <w:link w:val="59"/>
    <w:qFormat/>
    <w:locked/>
    <w:uiPriority w:val="0"/>
    <w:pPr>
      <w:keepNext/>
      <w:keepLines/>
      <w:spacing w:before="340" w:after="330" w:line="576" w:lineRule="auto"/>
      <w:outlineLvl w:val="0"/>
    </w:pPr>
    <w:rPr>
      <w:b/>
      <w:kern w:val="44"/>
      <w:sz w:val="44"/>
    </w:rPr>
  </w:style>
  <w:style w:type="paragraph" w:styleId="4">
    <w:name w:val="heading 2"/>
    <w:basedOn w:val="1"/>
    <w:next w:val="1"/>
    <w:qFormat/>
    <w:locked/>
    <w:uiPriority w:val="0"/>
    <w:pPr>
      <w:keepNext/>
      <w:keepLines/>
      <w:numPr>
        <w:ilvl w:val="1"/>
        <w:numId w:val="1"/>
      </w:numPr>
      <w:autoSpaceDE w:val="0"/>
      <w:autoSpaceDN w:val="0"/>
      <w:adjustRightInd w:val="0"/>
      <w:spacing w:before="100" w:after="60" w:line="288" w:lineRule="auto"/>
      <w:jc w:val="left"/>
      <w:textAlignment w:val="baseline"/>
      <w:outlineLvl w:val="1"/>
    </w:pPr>
    <w:rPr>
      <w:rFonts w:eastAsia="黑体"/>
      <w:kern w:val="0"/>
      <w:sz w:val="30"/>
      <w:szCs w:val="20"/>
    </w:rPr>
  </w:style>
  <w:style w:type="paragraph" w:styleId="5">
    <w:name w:val="heading 3"/>
    <w:basedOn w:val="1"/>
    <w:next w:val="1"/>
    <w:link w:val="65"/>
    <w:qFormat/>
    <w:uiPriority w:val="0"/>
    <w:pPr>
      <w:keepNext/>
      <w:keepLines/>
      <w:spacing w:before="260" w:after="260" w:line="416" w:lineRule="auto"/>
      <w:outlineLvl w:val="2"/>
    </w:pPr>
    <w:rPr>
      <w:b/>
      <w:bCs/>
      <w:sz w:val="32"/>
      <w:szCs w:val="32"/>
    </w:rPr>
  </w:style>
  <w:style w:type="paragraph" w:styleId="6">
    <w:name w:val="heading 4"/>
    <w:basedOn w:val="1"/>
    <w:next w:val="1"/>
    <w:qFormat/>
    <w:locked/>
    <w:uiPriority w:val="0"/>
    <w:pPr>
      <w:keepNext/>
      <w:keepLines/>
      <w:spacing w:after="50" w:afterLines="50" w:line="360" w:lineRule="auto"/>
      <w:outlineLvl w:val="3"/>
    </w:pPr>
    <w:rPr>
      <w:rFonts w:ascii="Times New Roman" w:hAnsi="Times New Roman" w:eastAsia="黑体"/>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69"/>
    <w:qFormat/>
    <w:uiPriority w:val="0"/>
    <w:pPr>
      <w:spacing w:line="240" w:lineRule="atLeast"/>
    </w:pPr>
    <w:rPr>
      <w:rFonts w:ascii="宋体" w:hAnsi="Courier New" w:cs="宋体"/>
      <w:sz w:val="28"/>
      <w:szCs w:val="28"/>
    </w:rPr>
  </w:style>
  <w:style w:type="paragraph" w:styleId="7">
    <w:name w:val="toc 7"/>
    <w:basedOn w:val="1"/>
    <w:next w:val="1"/>
    <w:qFormat/>
    <w:uiPriority w:val="39"/>
    <w:pPr>
      <w:ind w:left="2520" w:leftChars="1200"/>
    </w:pPr>
  </w:style>
  <w:style w:type="paragraph" w:styleId="8">
    <w:name w:val="Note Heading"/>
    <w:basedOn w:val="1"/>
    <w:next w:val="1"/>
    <w:link w:val="52"/>
    <w:qFormat/>
    <w:uiPriority w:val="0"/>
    <w:pPr>
      <w:jc w:val="center"/>
    </w:pPr>
    <w:rPr>
      <w:color w:val="auto"/>
      <w:kern w:val="2"/>
    </w:rPr>
  </w:style>
  <w:style w:type="paragraph" w:styleId="9">
    <w:name w:val="Normal Indent"/>
    <w:basedOn w:val="1"/>
    <w:next w:val="1"/>
    <w:qFormat/>
    <w:uiPriority w:val="0"/>
    <w:pPr>
      <w:snapToGrid w:val="0"/>
      <w:spacing w:line="440" w:lineRule="atLeast"/>
      <w:ind w:firstLine="480" w:firstLineChars="200"/>
    </w:pPr>
    <w:rPr>
      <w:color w:val="auto"/>
      <w:kern w:val="0"/>
    </w:rPr>
  </w:style>
  <w:style w:type="paragraph" w:styleId="10">
    <w:name w:val="caption"/>
    <w:basedOn w:val="1"/>
    <w:next w:val="1"/>
    <w:qFormat/>
    <w:locked/>
    <w:uiPriority w:val="0"/>
    <w:pPr>
      <w:spacing w:line="360" w:lineRule="auto"/>
      <w:jc w:val="center"/>
    </w:pPr>
    <w:rPr>
      <w:rFonts w:ascii="Cambria" w:hAnsi="Cambria"/>
      <w:b/>
      <w:kern w:val="0"/>
      <w:szCs w:val="20"/>
    </w:rPr>
  </w:style>
  <w:style w:type="paragraph" w:styleId="11">
    <w:name w:val="Document Map"/>
    <w:basedOn w:val="1"/>
    <w:link w:val="74"/>
    <w:qFormat/>
    <w:uiPriority w:val="0"/>
    <w:pPr>
      <w:shd w:val="clear" w:color="auto" w:fill="000080"/>
    </w:pPr>
  </w:style>
  <w:style w:type="paragraph" w:styleId="12">
    <w:name w:val="annotation text"/>
    <w:basedOn w:val="1"/>
    <w:next w:val="13"/>
    <w:link w:val="53"/>
    <w:qFormat/>
    <w:uiPriority w:val="0"/>
    <w:pPr>
      <w:jc w:val="left"/>
    </w:pPr>
  </w:style>
  <w:style w:type="paragraph" w:customStyle="1" w:styleId="13">
    <w:name w:val="表头"/>
    <w:basedOn w:val="14"/>
    <w:next w:val="14"/>
    <w:link w:val="132"/>
    <w:qFormat/>
    <w:uiPriority w:val="0"/>
    <w:pPr>
      <w:numPr>
        <w:ilvl w:val="0"/>
        <w:numId w:val="2"/>
      </w:numPr>
      <w:spacing w:line="440" w:lineRule="exact"/>
    </w:pPr>
    <w:rPr>
      <w:b/>
      <w:color w:val="000000"/>
      <w:kern w:val="0"/>
      <w:szCs w:val="24"/>
    </w:rPr>
  </w:style>
  <w:style w:type="paragraph" w:customStyle="1" w:styleId="14">
    <w:name w:val="正文啊"/>
    <w:basedOn w:val="15"/>
    <w:qFormat/>
    <w:uiPriority w:val="0"/>
    <w:pPr>
      <w:spacing w:line="360" w:lineRule="auto"/>
      <w:ind w:firstLine="200" w:firstLineChars="200"/>
    </w:pPr>
    <w:rPr>
      <w:rFonts w:ascii="Times New Roman" w:hAnsi="Times New Roman"/>
      <w:sz w:val="24"/>
    </w:rPr>
  </w:style>
  <w:style w:type="paragraph" w:styleId="15">
    <w:name w:val="No Spacing"/>
    <w:qFormat/>
    <w:uiPriority w:val="1"/>
    <w:pPr>
      <w:widowControl w:val="0"/>
      <w:jc w:val="both"/>
    </w:pPr>
    <w:rPr>
      <w:rFonts w:ascii="Calibri" w:hAnsi="Calibri" w:eastAsia="宋体" w:cs="Times New Roman"/>
      <w:kern w:val="2"/>
      <w:sz w:val="21"/>
      <w:szCs w:val="22"/>
      <w:lang w:val="en-US" w:eastAsia="zh-CN" w:bidi="ar-SA"/>
    </w:rPr>
  </w:style>
  <w:style w:type="paragraph" w:styleId="16">
    <w:name w:val="Body Text"/>
    <w:basedOn w:val="1"/>
    <w:next w:val="1"/>
    <w:link w:val="80"/>
    <w:qFormat/>
    <w:uiPriority w:val="0"/>
    <w:pPr>
      <w:spacing w:before="20" w:after="20"/>
      <w:jc w:val="center"/>
    </w:pPr>
  </w:style>
  <w:style w:type="paragraph" w:styleId="17">
    <w:name w:val="Body Text Indent"/>
    <w:basedOn w:val="1"/>
    <w:link w:val="78"/>
    <w:qFormat/>
    <w:uiPriority w:val="0"/>
    <w:pPr>
      <w:spacing w:line="360" w:lineRule="auto"/>
      <w:ind w:firstLine="425"/>
    </w:pPr>
    <w:rPr>
      <w:color w:val="auto"/>
      <w:kern w:val="2"/>
    </w:rPr>
  </w:style>
  <w:style w:type="paragraph" w:styleId="18">
    <w:name w:val="Block Text"/>
    <w:basedOn w:val="1"/>
    <w:qFormat/>
    <w:uiPriority w:val="0"/>
    <w:pPr>
      <w:snapToGrid w:val="0"/>
      <w:spacing w:line="240" w:lineRule="atLeast"/>
      <w:ind w:left="113" w:right="113"/>
      <w:jc w:val="center"/>
    </w:pPr>
    <w:rPr>
      <w:color w:val="auto"/>
      <w:spacing w:val="-8"/>
      <w:kern w:val="0"/>
      <w:sz w:val="18"/>
      <w:szCs w:val="18"/>
    </w:rPr>
  </w:style>
  <w:style w:type="paragraph" w:styleId="19">
    <w:name w:val="toc 5"/>
    <w:basedOn w:val="1"/>
    <w:next w:val="1"/>
    <w:qFormat/>
    <w:uiPriority w:val="39"/>
    <w:pPr>
      <w:ind w:left="1680" w:leftChars="800"/>
    </w:pPr>
  </w:style>
  <w:style w:type="paragraph" w:styleId="20">
    <w:name w:val="toc 3"/>
    <w:basedOn w:val="1"/>
    <w:next w:val="1"/>
    <w:qFormat/>
    <w:uiPriority w:val="39"/>
    <w:pPr>
      <w:ind w:left="840" w:leftChars="400"/>
    </w:pPr>
  </w:style>
  <w:style w:type="paragraph" w:styleId="21">
    <w:name w:val="toc 8"/>
    <w:basedOn w:val="1"/>
    <w:next w:val="1"/>
    <w:qFormat/>
    <w:uiPriority w:val="39"/>
    <w:pPr>
      <w:ind w:left="2940" w:leftChars="1400"/>
    </w:pPr>
  </w:style>
  <w:style w:type="paragraph" w:styleId="22">
    <w:name w:val="Date"/>
    <w:basedOn w:val="1"/>
    <w:next w:val="1"/>
    <w:link w:val="64"/>
    <w:qFormat/>
    <w:uiPriority w:val="0"/>
    <w:rPr>
      <w:color w:val="auto"/>
      <w:kern w:val="2"/>
      <w:sz w:val="28"/>
      <w:szCs w:val="28"/>
      <w:u w:val="single"/>
    </w:rPr>
  </w:style>
  <w:style w:type="paragraph" w:styleId="23">
    <w:name w:val="Body Text Indent 2"/>
    <w:basedOn w:val="1"/>
    <w:link w:val="70"/>
    <w:qFormat/>
    <w:uiPriority w:val="0"/>
    <w:pPr>
      <w:ind w:left="284"/>
    </w:pPr>
    <w:rPr>
      <w:color w:val="auto"/>
      <w:kern w:val="2"/>
    </w:rPr>
  </w:style>
  <w:style w:type="paragraph" w:styleId="24">
    <w:name w:val="Balloon Text"/>
    <w:basedOn w:val="1"/>
    <w:link w:val="55"/>
    <w:qFormat/>
    <w:uiPriority w:val="0"/>
    <w:rPr>
      <w:sz w:val="18"/>
      <w:szCs w:val="18"/>
    </w:rPr>
  </w:style>
  <w:style w:type="paragraph" w:styleId="25">
    <w:name w:val="footer"/>
    <w:basedOn w:val="1"/>
    <w:link w:val="82"/>
    <w:qFormat/>
    <w:uiPriority w:val="99"/>
    <w:pPr>
      <w:tabs>
        <w:tab w:val="center" w:pos="4153"/>
        <w:tab w:val="right" w:pos="8306"/>
      </w:tabs>
      <w:snapToGrid w:val="0"/>
      <w:jc w:val="left"/>
    </w:pPr>
    <w:rPr>
      <w:color w:val="auto"/>
      <w:kern w:val="2"/>
      <w:sz w:val="18"/>
      <w:szCs w:val="18"/>
    </w:rPr>
  </w:style>
  <w:style w:type="paragraph" w:styleId="26">
    <w:name w:val="header"/>
    <w:basedOn w:val="1"/>
    <w:link w:val="77"/>
    <w:qFormat/>
    <w:uiPriority w:val="0"/>
    <w:pPr>
      <w:jc w:val="center"/>
    </w:pPr>
    <w:rPr>
      <w:color w:val="auto"/>
      <w:kern w:val="2"/>
    </w:rPr>
  </w:style>
  <w:style w:type="paragraph" w:styleId="27">
    <w:name w:val="toc 1"/>
    <w:basedOn w:val="1"/>
    <w:next w:val="1"/>
    <w:qFormat/>
    <w:uiPriority w:val="39"/>
  </w:style>
  <w:style w:type="paragraph" w:styleId="28">
    <w:name w:val="toc 4"/>
    <w:basedOn w:val="1"/>
    <w:next w:val="1"/>
    <w:qFormat/>
    <w:uiPriority w:val="39"/>
    <w:pPr>
      <w:ind w:left="1260" w:leftChars="600"/>
    </w:pPr>
  </w:style>
  <w:style w:type="paragraph" w:styleId="29">
    <w:name w:val="toc 6"/>
    <w:basedOn w:val="1"/>
    <w:next w:val="1"/>
    <w:qFormat/>
    <w:uiPriority w:val="39"/>
    <w:pPr>
      <w:ind w:left="2100" w:leftChars="1000"/>
    </w:pPr>
  </w:style>
  <w:style w:type="paragraph" w:styleId="30">
    <w:name w:val="toc 2"/>
    <w:basedOn w:val="1"/>
    <w:next w:val="1"/>
    <w:qFormat/>
    <w:uiPriority w:val="39"/>
    <w:pPr>
      <w:ind w:left="420" w:leftChars="200"/>
    </w:pPr>
  </w:style>
  <w:style w:type="paragraph" w:styleId="31">
    <w:name w:val="toc 9"/>
    <w:basedOn w:val="1"/>
    <w:next w:val="1"/>
    <w:uiPriority w:val="39"/>
    <w:pPr>
      <w:ind w:left="3360" w:leftChars="1600"/>
    </w:pPr>
  </w:style>
  <w:style w:type="paragraph" w:styleId="32">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33">
    <w:name w:val="Normal (Web)"/>
    <w:basedOn w:val="1"/>
    <w:qFormat/>
    <w:uiPriority w:val="99"/>
    <w:pPr>
      <w:widowControl/>
      <w:spacing w:before="100" w:beforeAutospacing="1" w:after="100" w:afterAutospacing="1"/>
      <w:jc w:val="left"/>
    </w:pPr>
    <w:rPr>
      <w:rFonts w:ascii="宋体" w:hAnsi="宋体" w:cs="宋体"/>
      <w:kern w:val="0"/>
    </w:rPr>
  </w:style>
  <w:style w:type="paragraph" w:styleId="34">
    <w:name w:val="index 1"/>
    <w:basedOn w:val="1"/>
    <w:next w:val="1"/>
    <w:qFormat/>
    <w:locked/>
    <w:uiPriority w:val="0"/>
    <w:pPr>
      <w:ind w:left="560" w:hanging="560"/>
    </w:pPr>
    <w:rPr>
      <w:rFonts w:hAnsi="宋体"/>
      <w:spacing w:val="10"/>
      <w:kern w:val="2"/>
      <w:sz w:val="21"/>
    </w:rPr>
  </w:style>
  <w:style w:type="paragraph" w:styleId="35">
    <w:name w:val="annotation subject"/>
    <w:basedOn w:val="12"/>
    <w:next w:val="12"/>
    <w:link w:val="73"/>
    <w:locked/>
    <w:uiPriority w:val="0"/>
    <w:rPr>
      <w:b/>
      <w:bCs/>
    </w:rPr>
  </w:style>
  <w:style w:type="paragraph" w:styleId="36">
    <w:name w:val="Body Text First Indent"/>
    <w:basedOn w:val="16"/>
    <w:next w:val="1"/>
    <w:qFormat/>
    <w:locked/>
    <w:uiPriority w:val="0"/>
    <w:pPr>
      <w:ind w:firstLine="420" w:firstLineChars="100"/>
    </w:pPr>
  </w:style>
  <w:style w:type="paragraph" w:styleId="37">
    <w:name w:val="Body Text First Indent 2"/>
    <w:basedOn w:val="1"/>
    <w:next w:val="36"/>
    <w:qFormat/>
    <w:locked/>
    <w:uiPriority w:val="0"/>
    <w:pPr>
      <w:ind w:firstLine="420" w:firstLineChars="200"/>
    </w:p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locked/>
    <w:uiPriority w:val="0"/>
    <w:rPr>
      <w:b/>
    </w:rPr>
  </w:style>
  <w:style w:type="character" w:styleId="42">
    <w:name w:val="page number"/>
    <w:qFormat/>
    <w:uiPriority w:val="0"/>
    <w:rPr>
      <w:rFonts w:cs="Times New Roman"/>
    </w:rPr>
  </w:style>
  <w:style w:type="character" w:styleId="43">
    <w:name w:val="FollowedHyperlink"/>
    <w:qFormat/>
    <w:locked/>
    <w:uiPriority w:val="0"/>
    <w:rPr>
      <w:color w:val="333333"/>
      <w:u w:val="none"/>
    </w:rPr>
  </w:style>
  <w:style w:type="character" w:styleId="44">
    <w:name w:val="Emphasis"/>
    <w:qFormat/>
    <w:locked/>
    <w:uiPriority w:val="0"/>
  </w:style>
  <w:style w:type="character" w:styleId="45">
    <w:name w:val="HTML Definition"/>
    <w:basedOn w:val="40"/>
    <w:qFormat/>
    <w:locked/>
    <w:uiPriority w:val="0"/>
    <w:rPr>
      <w:i/>
      <w:color w:val="FFFFFF"/>
      <w:sz w:val="18"/>
      <w:szCs w:val="18"/>
      <w:shd w:val="clear" w:color="auto" w:fill="777777"/>
    </w:rPr>
  </w:style>
  <w:style w:type="character" w:styleId="46">
    <w:name w:val="Hyperlink"/>
    <w:qFormat/>
    <w:locked/>
    <w:uiPriority w:val="99"/>
    <w:rPr>
      <w:color w:val="333333"/>
      <w:u w:val="none"/>
    </w:rPr>
  </w:style>
  <w:style w:type="character" w:styleId="47">
    <w:name w:val="HTML Code"/>
    <w:basedOn w:val="40"/>
    <w:qFormat/>
    <w:locked/>
    <w:uiPriority w:val="0"/>
    <w:rPr>
      <w:rFonts w:hint="default" w:ascii="Consolas" w:hAnsi="Consolas" w:eastAsia="Consolas" w:cs="Consolas"/>
      <w:color w:val="C7254E"/>
      <w:sz w:val="21"/>
      <w:szCs w:val="21"/>
      <w:bdr w:val="single" w:color="E1E1E1" w:sz="6" w:space="0"/>
      <w:shd w:val="clear" w:color="auto" w:fill="F9F2F4"/>
    </w:rPr>
  </w:style>
  <w:style w:type="character" w:styleId="48">
    <w:name w:val="annotation reference"/>
    <w:qFormat/>
    <w:uiPriority w:val="0"/>
    <w:rPr>
      <w:rFonts w:cs="Times New Roman"/>
      <w:sz w:val="21"/>
      <w:szCs w:val="21"/>
    </w:rPr>
  </w:style>
  <w:style w:type="character" w:styleId="49">
    <w:name w:val="HTML Keyboard"/>
    <w:basedOn w:val="40"/>
    <w:qFormat/>
    <w:locked/>
    <w:uiPriority w:val="0"/>
    <w:rPr>
      <w:rFonts w:ascii="Consolas" w:hAnsi="Consolas" w:eastAsia="Consolas" w:cs="Consolas"/>
      <w:color w:val="FFFFFF"/>
      <w:sz w:val="21"/>
      <w:szCs w:val="21"/>
      <w:shd w:val="clear" w:color="auto" w:fill="333333"/>
    </w:rPr>
  </w:style>
  <w:style w:type="character" w:styleId="50">
    <w:name w:val="HTML Sample"/>
    <w:basedOn w:val="40"/>
    <w:qFormat/>
    <w:locked/>
    <w:uiPriority w:val="0"/>
    <w:rPr>
      <w:rFonts w:hint="default" w:ascii="Consolas" w:hAnsi="Consolas" w:eastAsia="Consolas" w:cs="Consolas"/>
      <w:sz w:val="21"/>
      <w:szCs w:val="21"/>
    </w:rPr>
  </w:style>
  <w:style w:type="character" w:customStyle="1" w:styleId="51">
    <w:name w:val="页眉 字符"/>
    <w:basedOn w:val="40"/>
    <w:qFormat/>
    <w:uiPriority w:val="0"/>
  </w:style>
  <w:style w:type="character" w:customStyle="1" w:styleId="52">
    <w:name w:val="注释标题 字符"/>
    <w:link w:val="8"/>
    <w:semiHidden/>
    <w:qFormat/>
    <w:locked/>
    <w:uiPriority w:val="0"/>
    <w:rPr>
      <w:rFonts w:cs="Times New Roman"/>
      <w:color w:val="000000"/>
      <w:kern w:val="24"/>
      <w:sz w:val="24"/>
      <w:szCs w:val="24"/>
    </w:rPr>
  </w:style>
  <w:style w:type="character" w:customStyle="1" w:styleId="53">
    <w:name w:val="批注文字 字符"/>
    <w:link w:val="12"/>
    <w:qFormat/>
    <w:locked/>
    <w:uiPriority w:val="0"/>
    <w:rPr>
      <w:rFonts w:cs="Times New Roman"/>
      <w:color w:val="000000"/>
      <w:kern w:val="24"/>
      <w:sz w:val="24"/>
      <w:szCs w:val="24"/>
    </w:rPr>
  </w:style>
  <w:style w:type="character" w:customStyle="1" w:styleId="54">
    <w:name w:val="页脚 Char1"/>
    <w:basedOn w:val="40"/>
    <w:qFormat/>
    <w:uiPriority w:val="0"/>
  </w:style>
  <w:style w:type="character" w:customStyle="1" w:styleId="55">
    <w:name w:val="批注框文本 字符"/>
    <w:link w:val="24"/>
    <w:qFormat/>
    <w:locked/>
    <w:uiPriority w:val="0"/>
    <w:rPr>
      <w:rFonts w:cs="Times New Roman"/>
      <w:color w:val="000000"/>
      <w:kern w:val="24"/>
      <w:sz w:val="2"/>
      <w:szCs w:val="2"/>
    </w:rPr>
  </w:style>
  <w:style w:type="character" w:customStyle="1" w:styleId="56">
    <w:name w:val="页脚 Char"/>
    <w:semiHidden/>
    <w:qFormat/>
    <w:locked/>
    <w:uiPriority w:val="0"/>
    <w:rPr>
      <w:rFonts w:cs="Times New Roman"/>
      <w:color w:val="000000"/>
      <w:kern w:val="24"/>
      <w:sz w:val="18"/>
      <w:szCs w:val="18"/>
    </w:rPr>
  </w:style>
  <w:style w:type="character" w:customStyle="1" w:styleId="57">
    <w:name w:val="tit-wz"/>
    <w:qFormat/>
    <w:uiPriority w:val="0"/>
    <w:rPr>
      <w:rFonts w:hint="eastAsia" w:ascii="STHeiti" w:hAnsi="STHeiti" w:eastAsia="STHeiti" w:cs="STHeiti"/>
      <w:color w:val="103184"/>
      <w:sz w:val="22"/>
      <w:szCs w:val="22"/>
    </w:rPr>
  </w:style>
  <w:style w:type="character" w:customStyle="1" w:styleId="58">
    <w:name w:val="dz1"/>
    <w:basedOn w:val="40"/>
    <w:qFormat/>
    <w:uiPriority w:val="0"/>
    <w:rPr>
      <w:rFonts w:hint="default" w:ascii="Geneva" w:hAnsi="Geneva"/>
      <w:sz w:val="20"/>
      <w:szCs w:val="20"/>
    </w:rPr>
  </w:style>
  <w:style w:type="character" w:customStyle="1" w:styleId="59">
    <w:name w:val="标题 1 字符"/>
    <w:link w:val="3"/>
    <w:qFormat/>
    <w:uiPriority w:val="0"/>
    <w:rPr>
      <w:rFonts w:hint="eastAsia" w:ascii="宋体" w:hAnsi="宋体" w:eastAsia="宋体" w:cs="宋体"/>
      <w:b/>
      <w:kern w:val="44"/>
      <w:sz w:val="44"/>
      <w:szCs w:val="44"/>
    </w:rPr>
  </w:style>
  <w:style w:type="character" w:customStyle="1" w:styleId="60">
    <w:name w:val="timespan7"/>
    <w:qFormat/>
    <w:uiPriority w:val="0"/>
    <w:rPr>
      <w:color w:val="CCCCCC"/>
    </w:rPr>
  </w:style>
  <w:style w:type="character" w:customStyle="1" w:styleId="61">
    <w:name w:val="正文文本 (2)_"/>
    <w:link w:val="62"/>
    <w:unhideWhenUsed/>
    <w:qFormat/>
    <w:uiPriority w:val="99"/>
    <w:rPr>
      <w:rFonts w:hint="eastAsia" w:ascii="Times New Roman" w:hAnsi="Times New Roman" w:eastAsia="Times New Roman"/>
      <w:sz w:val="20"/>
    </w:rPr>
  </w:style>
  <w:style w:type="paragraph" w:customStyle="1" w:styleId="62">
    <w:name w:val="正文文本 (2)"/>
    <w:basedOn w:val="1"/>
    <w:link w:val="61"/>
    <w:unhideWhenUsed/>
    <w:qFormat/>
    <w:uiPriority w:val="99"/>
    <w:pPr>
      <w:shd w:val="clear" w:color="auto" w:fill="FFFFFF"/>
    </w:pPr>
    <w:rPr>
      <w:rFonts w:hint="eastAsia" w:ascii="Times New Roman" w:hAnsi="Times New Roman" w:eastAsia="Times New Roman"/>
      <w:sz w:val="20"/>
    </w:rPr>
  </w:style>
  <w:style w:type="character" w:customStyle="1" w:styleId="63">
    <w:name w:val="正文文本 Char"/>
    <w:qFormat/>
    <w:locked/>
    <w:uiPriority w:val="0"/>
    <w:rPr>
      <w:rFonts w:cs="Times New Roman"/>
      <w:color w:val="000000"/>
      <w:kern w:val="24"/>
      <w:sz w:val="24"/>
      <w:szCs w:val="24"/>
    </w:rPr>
  </w:style>
  <w:style w:type="character" w:customStyle="1" w:styleId="64">
    <w:name w:val="日期 字符"/>
    <w:link w:val="22"/>
    <w:locked/>
    <w:uiPriority w:val="0"/>
    <w:rPr>
      <w:rFonts w:cs="Times New Roman"/>
      <w:color w:val="000000"/>
      <w:kern w:val="24"/>
      <w:sz w:val="24"/>
      <w:szCs w:val="24"/>
    </w:rPr>
  </w:style>
  <w:style w:type="character" w:customStyle="1" w:styleId="65">
    <w:name w:val="标题 3 字符"/>
    <w:link w:val="5"/>
    <w:semiHidden/>
    <w:qFormat/>
    <w:locked/>
    <w:uiPriority w:val="0"/>
    <w:rPr>
      <w:rFonts w:cs="Times New Roman"/>
      <w:b/>
      <w:bCs/>
      <w:color w:val="000000"/>
      <w:kern w:val="24"/>
      <w:sz w:val="32"/>
      <w:szCs w:val="32"/>
    </w:rPr>
  </w:style>
  <w:style w:type="character" w:customStyle="1" w:styleId="66">
    <w:name w:val="标题 1 Char"/>
    <w:uiPriority w:val="0"/>
    <w:rPr>
      <w:rFonts w:hint="eastAsia" w:ascii="宋体" w:hAnsi="宋体" w:eastAsia="宋体" w:cs="宋体"/>
      <w:b/>
      <w:kern w:val="44"/>
      <w:sz w:val="44"/>
      <w:szCs w:val="44"/>
    </w:rPr>
  </w:style>
  <w:style w:type="character" w:customStyle="1" w:styleId="67">
    <w:name w:val="页眉 Char1"/>
    <w:basedOn w:val="40"/>
    <w:uiPriority w:val="0"/>
  </w:style>
  <w:style w:type="character" w:customStyle="1" w:styleId="68">
    <w:name w:val="正文文本 Char1"/>
    <w:qFormat/>
    <w:uiPriority w:val="0"/>
    <w:rPr>
      <w:rFonts w:hint="eastAsia" w:ascii="宋体" w:hAnsi="宋体" w:eastAsia="宋体" w:cs="宋体"/>
      <w:sz w:val="22"/>
      <w:szCs w:val="22"/>
    </w:rPr>
  </w:style>
  <w:style w:type="character" w:customStyle="1" w:styleId="69">
    <w:name w:val="纯文本 字符"/>
    <w:link w:val="2"/>
    <w:locked/>
    <w:uiPriority w:val="0"/>
    <w:rPr>
      <w:rFonts w:ascii="宋体" w:hAnsi="Courier New" w:cs="宋体"/>
      <w:color w:val="000000"/>
      <w:kern w:val="24"/>
      <w:sz w:val="21"/>
      <w:szCs w:val="21"/>
    </w:rPr>
  </w:style>
  <w:style w:type="character" w:customStyle="1" w:styleId="70">
    <w:name w:val="正文文本缩进 2 字符"/>
    <w:link w:val="23"/>
    <w:semiHidden/>
    <w:qFormat/>
    <w:locked/>
    <w:uiPriority w:val="0"/>
    <w:rPr>
      <w:rFonts w:cs="Times New Roman"/>
      <w:color w:val="000000"/>
      <w:kern w:val="24"/>
      <w:sz w:val="24"/>
      <w:szCs w:val="24"/>
    </w:rPr>
  </w:style>
  <w:style w:type="character" w:customStyle="1" w:styleId="71">
    <w:name w:val="input-group-addon8"/>
    <w:basedOn w:val="40"/>
    <w:qFormat/>
    <w:uiPriority w:val="0"/>
  </w:style>
  <w:style w:type="character" w:customStyle="1" w:styleId="72">
    <w:name w:val="timespan6"/>
    <w:qFormat/>
    <w:uiPriority w:val="0"/>
    <w:rPr>
      <w:color w:val="CCCCCC"/>
    </w:rPr>
  </w:style>
  <w:style w:type="character" w:customStyle="1" w:styleId="73">
    <w:name w:val="批注主题 字符"/>
    <w:link w:val="35"/>
    <w:qFormat/>
    <w:uiPriority w:val="0"/>
    <w:rPr>
      <w:rFonts w:cs="Times New Roman"/>
      <w:b/>
      <w:bCs/>
      <w:color w:val="000000"/>
      <w:kern w:val="24"/>
      <w:sz w:val="24"/>
      <w:szCs w:val="24"/>
    </w:rPr>
  </w:style>
  <w:style w:type="character" w:customStyle="1" w:styleId="74">
    <w:name w:val="文档结构图 字符"/>
    <w:link w:val="11"/>
    <w:qFormat/>
    <w:locked/>
    <w:uiPriority w:val="0"/>
    <w:rPr>
      <w:rFonts w:cs="Times New Roman"/>
      <w:color w:val="000000"/>
      <w:kern w:val="24"/>
      <w:sz w:val="2"/>
      <w:szCs w:val="2"/>
    </w:rPr>
  </w:style>
  <w:style w:type="character" w:customStyle="1" w:styleId="75">
    <w:name w:val="gly"/>
    <w:basedOn w:val="40"/>
    <w:qFormat/>
    <w:uiPriority w:val="0"/>
  </w:style>
  <w:style w:type="character" w:customStyle="1" w:styleId="76">
    <w:name w:val="grame"/>
    <w:basedOn w:val="40"/>
    <w:qFormat/>
    <w:uiPriority w:val="0"/>
  </w:style>
  <w:style w:type="character" w:customStyle="1" w:styleId="77">
    <w:name w:val="页眉 字符1"/>
    <w:link w:val="26"/>
    <w:semiHidden/>
    <w:qFormat/>
    <w:locked/>
    <w:uiPriority w:val="0"/>
    <w:rPr>
      <w:rFonts w:cs="Times New Roman"/>
      <w:color w:val="000000"/>
      <w:kern w:val="24"/>
      <w:sz w:val="18"/>
      <w:szCs w:val="18"/>
    </w:rPr>
  </w:style>
  <w:style w:type="character" w:customStyle="1" w:styleId="78">
    <w:name w:val="正文文本缩进 字符"/>
    <w:link w:val="17"/>
    <w:qFormat/>
    <w:locked/>
    <w:uiPriority w:val="0"/>
    <w:rPr>
      <w:rFonts w:cs="Times New Roman"/>
      <w:color w:val="000000"/>
      <w:kern w:val="24"/>
      <w:sz w:val="24"/>
      <w:szCs w:val="24"/>
    </w:rPr>
  </w:style>
  <w:style w:type="character" w:customStyle="1" w:styleId="79">
    <w:name w:val="input-group-addon"/>
    <w:basedOn w:val="40"/>
    <w:qFormat/>
    <w:uiPriority w:val="0"/>
  </w:style>
  <w:style w:type="character" w:customStyle="1" w:styleId="80">
    <w:name w:val="正文文本 字符"/>
    <w:link w:val="16"/>
    <w:uiPriority w:val="0"/>
    <w:rPr>
      <w:rFonts w:hint="eastAsia" w:ascii="宋体" w:hAnsi="宋体" w:eastAsia="宋体" w:cs="宋体"/>
      <w:sz w:val="22"/>
      <w:szCs w:val="22"/>
    </w:rPr>
  </w:style>
  <w:style w:type="character" w:customStyle="1" w:styleId="81">
    <w:name w:val="正文文本 (2) + Microsoft YaHei"/>
    <w:unhideWhenUsed/>
    <w:qFormat/>
    <w:uiPriority w:val="99"/>
    <w:rPr>
      <w:rFonts w:hint="eastAsia" w:ascii="微软雅黑" w:hAnsi="微软雅黑" w:eastAsia="微软雅黑"/>
      <w:sz w:val="13"/>
    </w:rPr>
  </w:style>
  <w:style w:type="character" w:customStyle="1" w:styleId="82">
    <w:name w:val="页脚 字符"/>
    <w:basedOn w:val="40"/>
    <w:link w:val="25"/>
    <w:uiPriority w:val="99"/>
  </w:style>
  <w:style w:type="paragraph" w:customStyle="1" w:styleId="83">
    <w:name w:val="报告表格"/>
    <w:basedOn w:val="1"/>
    <w:qFormat/>
    <w:uiPriority w:val="0"/>
    <w:pPr>
      <w:autoSpaceDE w:val="0"/>
      <w:autoSpaceDN w:val="0"/>
      <w:adjustRightInd w:val="0"/>
      <w:spacing w:before="20" w:after="20"/>
      <w:jc w:val="center"/>
      <w:textAlignment w:val="center"/>
    </w:pPr>
    <w:rPr>
      <w:kern w:val="0"/>
      <w:sz w:val="21"/>
      <w:szCs w:val="21"/>
    </w:rPr>
  </w:style>
  <w:style w:type="paragraph" w:styleId="84">
    <w:name w:val="List Paragraph"/>
    <w:basedOn w:val="1"/>
    <w:link w:val="118"/>
    <w:qFormat/>
    <w:uiPriority w:val="99"/>
    <w:pPr>
      <w:ind w:firstLine="420"/>
    </w:pPr>
  </w:style>
  <w:style w:type="paragraph" w:customStyle="1" w:styleId="85">
    <w:name w:val="样式35"/>
    <w:basedOn w:val="1"/>
    <w:qFormat/>
    <w:uiPriority w:val="0"/>
    <w:pPr>
      <w:adjustRightInd w:val="0"/>
      <w:spacing w:line="312" w:lineRule="auto"/>
      <w:ind w:firstLine="567"/>
    </w:pPr>
    <w:rPr>
      <w:rFonts w:ascii="宋体" w:cs="宋体"/>
      <w:kern w:val="0"/>
      <w:sz w:val="28"/>
      <w:szCs w:val="28"/>
    </w:rPr>
  </w:style>
  <w:style w:type="paragraph" w:customStyle="1" w:styleId="86">
    <w:name w:val="表标题"/>
    <w:basedOn w:val="1"/>
    <w:qFormat/>
    <w:uiPriority w:val="0"/>
    <w:pPr>
      <w:spacing w:line="360" w:lineRule="auto"/>
      <w:ind w:firstLine="200" w:firstLineChars="200"/>
      <w:jc w:val="center"/>
    </w:pPr>
    <w:rPr>
      <w:b/>
      <w:bCs/>
    </w:rPr>
  </w:style>
  <w:style w:type="paragraph" w:customStyle="1" w:styleId="87">
    <w:name w:val="Char"/>
    <w:basedOn w:val="1"/>
    <w:qFormat/>
    <w:uiPriority w:val="0"/>
  </w:style>
  <w:style w:type="paragraph" w:customStyle="1" w:styleId="88">
    <w:name w:val="Table Paragraph"/>
    <w:basedOn w:val="1"/>
    <w:qFormat/>
    <w:uiPriority w:val="1"/>
    <w:pPr>
      <w:widowControl/>
      <w:jc w:val="left"/>
    </w:pPr>
    <w:rPr>
      <w:rFonts w:ascii="Calibri" w:hAnsi="Calibri"/>
      <w:kern w:val="0"/>
      <w:sz w:val="22"/>
      <w:szCs w:val="22"/>
    </w:rPr>
  </w:style>
  <w:style w:type="paragraph" w:customStyle="1" w:styleId="89">
    <w:name w:val="表内容1"/>
    <w:basedOn w:val="1"/>
    <w:qFormat/>
    <w:uiPriority w:val="0"/>
    <w:pPr>
      <w:jc w:val="center"/>
      <w:textAlignment w:val="center"/>
    </w:pPr>
  </w:style>
  <w:style w:type="paragraph" w:customStyle="1" w:styleId="90">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91">
    <w:name w:val="报告表正文"/>
    <w:basedOn w:val="1"/>
    <w:qFormat/>
    <w:uiPriority w:val="0"/>
    <w:pPr>
      <w:adjustRightInd w:val="0"/>
      <w:snapToGrid w:val="0"/>
      <w:spacing w:line="440" w:lineRule="atLeast"/>
      <w:ind w:firstLine="200" w:firstLineChars="200"/>
    </w:pPr>
    <w:rPr>
      <w:color w:val="auto"/>
      <w:kern w:val="2"/>
    </w:rPr>
  </w:style>
  <w:style w:type="paragraph" w:customStyle="1" w:styleId="92">
    <w:name w:val="表格文字"/>
    <w:basedOn w:val="1"/>
    <w:qFormat/>
    <w:uiPriority w:val="0"/>
    <w:pPr>
      <w:jc w:val="center"/>
    </w:pPr>
  </w:style>
  <w:style w:type="paragraph" w:customStyle="1" w:styleId="93">
    <w:name w:val="样式2"/>
    <w:basedOn w:val="1"/>
    <w:qFormat/>
    <w:uiPriority w:val="0"/>
    <w:pPr>
      <w:adjustRightInd w:val="0"/>
      <w:jc w:val="center"/>
    </w:pPr>
    <w:rPr>
      <w:rFonts w:eastAsia="黑体"/>
      <w:sz w:val="21"/>
    </w:rPr>
  </w:style>
  <w:style w:type="paragraph" w:customStyle="1" w:styleId="94">
    <w:name w:val="0"/>
    <w:basedOn w:val="1"/>
    <w:qFormat/>
    <w:uiPriority w:val="0"/>
    <w:pPr>
      <w:widowControl/>
      <w:snapToGrid w:val="0"/>
    </w:pPr>
    <w:rPr>
      <w:kern w:val="0"/>
      <w:szCs w:val="20"/>
    </w:rPr>
  </w:style>
  <w:style w:type="paragraph" w:customStyle="1" w:styleId="95">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96">
    <w:name w:val="Char Char Char Char"/>
    <w:basedOn w:val="1"/>
    <w:qFormat/>
    <w:uiPriority w:val="0"/>
  </w:style>
  <w:style w:type="paragraph" w:customStyle="1" w:styleId="97">
    <w:name w:val="默认段落字体 Para Char Char Char Char"/>
    <w:basedOn w:val="1"/>
    <w:qFormat/>
    <w:uiPriority w:val="0"/>
  </w:style>
  <w:style w:type="paragraph" w:customStyle="1" w:styleId="98">
    <w:name w:val="表文字"/>
    <w:basedOn w:val="1"/>
    <w:qFormat/>
    <w:uiPriority w:val="0"/>
    <w:pPr>
      <w:tabs>
        <w:tab w:val="left" w:pos="945"/>
        <w:tab w:val="right" w:leader="dot" w:pos="1155"/>
        <w:tab w:val="left" w:pos="8715"/>
      </w:tabs>
      <w:adjustRightInd w:val="0"/>
      <w:snapToGrid w:val="0"/>
      <w:spacing w:beforeLines="15" w:afterLines="15"/>
      <w:jc w:val="center"/>
      <w:textAlignment w:val="baseline"/>
    </w:pPr>
    <w:rPr>
      <w:rFonts w:ascii="宋体" w:cs="宋体"/>
      <w:kern w:val="0"/>
      <w:sz w:val="21"/>
      <w:szCs w:val="21"/>
      <w:lang w:val="zh-CN"/>
    </w:rPr>
  </w:style>
  <w:style w:type="paragraph" w:customStyle="1" w:styleId="99">
    <w:name w:val="表"/>
    <w:qFormat/>
    <w:uiPriority w:val="0"/>
    <w:pPr>
      <w:spacing w:line="440" w:lineRule="exact"/>
      <w:ind w:firstLine="200" w:firstLineChars="200"/>
      <w:jc w:val="both"/>
    </w:pPr>
    <w:rPr>
      <w:rFonts w:ascii="Times New Roman" w:hAnsi="Times New Roman" w:eastAsia="宋体" w:cs="Times New Roman"/>
      <w:sz w:val="24"/>
      <w:lang w:val="en-US" w:eastAsia="zh-CN" w:bidi="ar-SA"/>
    </w:rPr>
  </w:style>
  <w:style w:type="paragraph" w:customStyle="1" w:styleId="100">
    <w:name w:val="中文报告书样式"/>
    <w:basedOn w:val="1"/>
    <w:qFormat/>
    <w:uiPriority w:val="0"/>
    <w:pPr>
      <w:adjustRightInd w:val="0"/>
      <w:spacing w:line="480" w:lineRule="atLeast"/>
      <w:ind w:firstLine="482"/>
      <w:textAlignment w:val="baseline"/>
    </w:pPr>
    <w:rPr>
      <w:rFonts w:ascii="Times New Roman" w:hAnsi="Times New Roman"/>
    </w:rPr>
  </w:style>
  <w:style w:type="paragraph" w:customStyle="1" w:styleId="101">
    <w:name w:val="宋体 小四"/>
    <w:basedOn w:val="1"/>
    <w:qFormat/>
    <w:uiPriority w:val="0"/>
    <w:pPr>
      <w:spacing w:line="360" w:lineRule="auto"/>
      <w:ind w:firstLine="200" w:firstLineChars="200"/>
    </w:pPr>
    <w:rPr>
      <w:rFonts w:hAnsi="宋体"/>
    </w:rPr>
  </w:style>
  <w:style w:type="paragraph" w:customStyle="1" w:styleId="102">
    <w:name w:val="【正文】"/>
    <w:basedOn w:val="1"/>
    <w:qFormat/>
    <w:uiPriority w:val="0"/>
    <w:pPr>
      <w:spacing w:line="440" w:lineRule="exact"/>
      <w:ind w:firstLine="544" w:firstLineChars="200"/>
    </w:pPr>
    <w:rPr>
      <w:rFonts w:cs="宋体"/>
    </w:rPr>
  </w:style>
  <w:style w:type="paragraph" w:customStyle="1" w:styleId="103">
    <w:name w:val="文本"/>
    <w:basedOn w:val="1"/>
    <w:next w:val="23"/>
    <w:qFormat/>
    <w:uiPriority w:val="0"/>
    <w:pPr>
      <w:spacing w:line="360" w:lineRule="auto"/>
      <w:ind w:firstLine="495"/>
    </w:pPr>
    <w:rPr>
      <w:rFonts w:ascii="Calibri" w:hAnsi="Calibri" w:cs="Calibri"/>
      <w:kern w:val="0"/>
    </w:rPr>
  </w:style>
  <w:style w:type="paragraph" w:customStyle="1" w:styleId="104">
    <w:name w:val="xl24"/>
    <w:basedOn w:val="1"/>
    <w:qFormat/>
    <w:uiPriority w:val="0"/>
    <w:pPr>
      <w:widowControl/>
      <w:spacing w:before="100" w:beforeAutospacing="1" w:after="100" w:afterAutospacing="1"/>
      <w:jc w:val="center"/>
    </w:pPr>
    <w:rPr>
      <w:rFonts w:ascii="宋体" w:hAnsi="宋体" w:cs="宋体"/>
      <w:kern w:val="0"/>
    </w:rPr>
  </w:style>
  <w:style w:type="paragraph" w:customStyle="1" w:styleId="105">
    <w:name w:val="表格内容"/>
    <w:qFormat/>
    <w:uiPriority w:val="0"/>
    <w:pPr>
      <w:adjustRightInd w:val="0"/>
      <w:snapToGrid w:val="0"/>
      <w:spacing w:line="360" w:lineRule="exact"/>
      <w:jc w:val="center"/>
    </w:pPr>
    <w:rPr>
      <w:rFonts w:ascii="Times New Roman" w:hAnsi="Times New Roman" w:eastAsia="宋体" w:cs="Times New Roman"/>
      <w:color w:val="000000"/>
      <w:sz w:val="21"/>
      <w:szCs w:val="24"/>
      <w:lang w:val="en-US" w:eastAsia="zh-CN" w:bidi="ar-SA"/>
    </w:rPr>
  </w:style>
  <w:style w:type="paragraph" w:customStyle="1" w:styleId="106">
    <w:name w:val="正文_5"/>
    <w:qFormat/>
    <w:uiPriority w:val="0"/>
    <w:pPr>
      <w:widowControl w:val="0"/>
      <w:jc w:val="both"/>
    </w:pPr>
    <w:rPr>
      <w:rFonts w:ascii="Calibri" w:hAnsi="Calibri" w:eastAsia="宋体" w:cs="Times New Roman"/>
      <w:kern w:val="2"/>
      <w:sz w:val="21"/>
      <w:lang w:val="en-US" w:eastAsia="zh-CN" w:bidi="ar-SA"/>
    </w:rPr>
  </w:style>
  <w:style w:type="paragraph" w:customStyle="1" w:styleId="107">
    <w:name w:val="表格标题"/>
    <w:basedOn w:val="1"/>
    <w:qFormat/>
    <w:uiPriority w:val="0"/>
    <w:pPr>
      <w:jc w:val="center"/>
    </w:pPr>
    <w:rPr>
      <w:rFonts w:ascii="黑体" w:eastAsia="黑体" w:cs="黑体"/>
    </w:rPr>
  </w:style>
  <w:style w:type="paragraph" w:customStyle="1" w:styleId="108">
    <w:name w:val="二级无标题条"/>
    <w:basedOn w:val="1"/>
    <w:qFormat/>
    <w:uiPriority w:val="0"/>
  </w:style>
  <w:style w:type="paragraph" w:customStyle="1" w:styleId="109">
    <w:name w:val="正文缩进1"/>
    <w:basedOn w:val="1"/>
    <w:qFormat/>
    <w:uiPriority w:val="0"/>
    <w:pPr>
      <w:ind w:firstLine="420"/>
    </w:pPr>
    <w:rPr>
      <w:sz w:val="28"/>
    </w:rPr>
  </w:style>
  <w:style w:type="paragraph" w:customStyle="1" w:styleId="110">
    <w:name w:val="报告"/>
    <w:basedOn w:val="1"/>
    <w:qFormat/>
    <w:uiPriority w:val="0"/>
    <w:pPr>
      <w:adjustRightInd w:val="0"/>
      <w:ind w:firstLine="505"/>
      <w:textAlignment w:val="center"/>
    </w:pPr>
    <w:rPr>
      <w:rFonts w:ascii="TimesNewRoman" w:hAnsi="TimesNewRoman" w:cs="TimesNewRoman"/>
      <w:kern w:val="0"/>
    </w:rPr>
  </w:style>
  <w:style w:type="character" w:styleId="111">
    <w:name w:val="Placeholder Text"/>
    <w:basedOn w:val="40"/>
    <w:unhideWhenUsed/>
    <w:qFormat/>
    <w:uiPriority w:val="99"/>
    <w:rPr>
      <w:color w:val="808080"/>
    </w:rPr>
  </w:style>
  <w:style w:type="character" w:customStyle="1" w:styleId="112">
    <w:name w:val="font11"/>
    <w:qFormat/>
    <w:uiPriority w:val="99"/>
    <w:rPr>
      <w:rFonts w:ascii="Times New Roman" w:hAnsi="Times New Roman" w:cs="Times New Roman"/>
      <w:color w:val="000000"/>
      <w:sz w:val="21"/>
      <w:szCs w:val="21"/>
      <w:u w:val="none"/>
    </w:rPr>
  </w:style>
  <w:style w:type="character" w:customStyle="1" w:styleId="113">
    <w:name w:val="font41"/>
    <w:qFormat/>
    <w:uiPriority w:val="0"/>
    <w:rPr>
      <w:rFonts w:hint="eastAsia" w:ascii="宋体" w:hAnsi="宋体" w:eastAsia="宋体" w:cs="宋体"/>
      <w:color w:val="000000"/>
      <w:sz w:val="20"/>
      <w:szCs w:val="20"/>
      <w:u w:val="none"/>
    </w:rPr>
  </w:style>
  <w:style w:type="character" w:customStyle="1" w:styleId="114">
    <w:name w:val="font01"/>
    <w:qFormat/>
    <w:uiPriority w:val="0"/>
    <w:rPr>
      <w:rFonts w:hint="default" w:ascii="Times New Roman" w:hAnsi="Times New Roman" w:cs="Times New Roman"/>
      <w:color w:val="000000"/>
      <w:sz w:val="20"/>
      <w:szCs w:val="20"/>
      <w:u w:val="none"/>
    </w:rPr>
  </w:style>
  <w:style w:type="character" w:customStyle="1" w:styleId="115">
    <w:name w:val="Char Char Char Char Char Char Char Char Char Char Char Char Char1"/>
    <w:link w:val="116"/>
    <w:qFormat/>
    <w:uiPriority w:val="0"/>
    <w:rPr>
      <w:rFonts w:ascii="宋体" w:hAnsi="宋体" w:cs="宋体"/>
      <w:kern w:val="2"/>
      <w:sz w:val="24"/>
      <w:szCs w:val="24"/>
    </w:rPr>
  </w:style>
  <w:style w:type="paragraph" w:customStyle="1" w:styleId="116">
    <w:name w:val="Char Char Char Char Char Char Char Char Char Char Char Char"/>
    <w:basedOn w:val="1"/>
    <w:link w:val="115"/>
    <w:qFormat/>
    <w:uiPriority w:val="0"/>
    <w:pPr>
      <w:spacing w:line="360" w:lineRule="auto"/>
      <w:ind w:firstLine="200" w:firstLineChars="200"/>
    </w:pPr>
    <w:rPr>
      <w:rFonts w:ascii="宋体" w:hAnsi="宋体" w:cs="宋体"/>
      <w:color w:val="auto"/>
      <w:kern w:val="2"/>
    </w:rPr>
  </w:style>
  <w:style w:type="character" w:customStyle="1" w:styleId="117">
    <w:name w:val="列出段落 Char"/>
    <w:qFormat/>
    <w:uiPriority w:val="34"/>
    <w:rPr>
      <w:rFonts w:ascii="Times New Roman" w:hAnsi="Times New Roman"/>
      <w:kern w:val="2"/>
      <w:sz w:val="28"/>
    </w:rPr>
  </w:style>
  <w:style w:type="character" w:customStyle="1" w:styleId="118">
    <w:name w:val="列表段落 字符"/>
    <w:link w:val="84"/>
    <w:qFormat/>
    <w:uiPriority w:val="0"/>
    <w:rPr>
      <w:rFonts w:ascii="等线" w:hAnsi="等线"/>
      <w:color w:val="000000"/>
      <w:kern w:val="24"/>
      <w:sz w:val="24"/>
      <w:szCs w:val="24"/>
    </w:rPr>
  </w:style>
  <w:style w:type="character" w:customStyle="1" w:styleId="119">
    <w:name w:val="15"/>
    <w:qFormat/>
    <w:uiPriority w:val="0"/>
    <w:rPr>
      <w:rFonts w:hint="default" w:ascii="Geneva" w:hAnsi="Geneva"/>
      <w:sz w:val="20"/>
      <w:szCs w:val="20"/>
    </w:rPr>
  </w:style>
  <w:style w:type="character" w:customStyle="1" w:styleId="120">
    <w:name w:val="虎3 Char"/>
    <w:link w:val="121"/>
    <w:qFormat/>
    <w:uiPriority w:val="0"/>
    <w:rPr>
      <w:b/>
      <w:bCs/>
      <w:kern w:val="2"/>
      <w:sz w:val="32"/>
      <w:szCs w:val="32"/>
    </w:rPr>
  </w:style>
  <w:style w:type="paragraph" w:customStyle="1" w:styleId="121">
    <w:name w:val="虎3"/>
    <w:basedOn w:val="4"/>
    <w:link w:val="120"/>
    <w:qFormat/>
    <w:uiPriority w:val="0"/>
    <w:pPr>
      <w:numPr>
        <w:ilvl w:val="0"/>
        <w:numId w:val="0"/>
      </w:numPr>
      <w:autoSpaceDE/>
      <w:autoSpaceDN/>
      <w:adjustRightInd/>
      <w:spacing w:before="0" w:after="0" w:line="415" w:lineRule="auto"/>
      <w:jc w:val="both"/>
      <w:textAlignment w:val="auto"/>
      <w:outlineLvl w:val="2"/>
    </w:pPr>
    <w:rPr>
      <w:rFonts w:ascii="Times New Roman" w:hAnsi="Times New Roman" w:eastAsia="宋体"/>
      <w:b/>
      <w:bCs/>
      <w:color w:val="auto"/>
      <w:kern w:val="2"/>
      <w:sz w:val="32"/>
      <w:szCs w:val="32"/>
    </w:rPr>
  </w:style>
  <w:style w:type="character" w:customStyle="1" w:styleId="122">
    <w:name w:val="font51"/>
    <w:qFormat/>
    <w:uiPriority w:val="0"/>
    <w:rPr>
      <w:rFonts w:hint="default" w:ascii="Times New Roman" w:hAnsi="Times New Roman" w:cs="Times New Roman"/>
      <w:color w:val="000000"/>
      <w:sz w:val="20"/>
      <w:szCs w:val="20"/>
      <w:u w:val="none"/>
    </w:rPr>
  </w:style>
  <w:style w:type="paragraph" w:customStyle="1" w:styleId="123">
    <w:name w:val="表内容"/>
    <w:basedOn w:val="1"/>
    <w:qFormat/>
    <w:uiPriority w:val="0"/>
    <w:pPr>
      <w:spacing w:line="312" w:lineRule="auto"/>
      <w:jc w:val="center"/>
    </w:pPr>
    <w:rPr>
      <w:rFonts w:ascii="Times New Roman" w:hAnsi="Times New Roman"/>
      <w:color w:val="auto"/>
      <w:kern w:val="0"/>
      <w:sz w:val="20"/>
      <w:szCs w:val="20"/>
    </w:rPr>
  </w:style>
  <w:style w:type="paragraph" w:customStyle="1" w:styleId="124">
    <w:name w:val="自定义2"/>
    <w:basedOn w:val="1"/>
    <w:qFormat/>
    <w:uiPriority w:val="0"/>
    <w:pPr>
      <w:spacing w:line="360" w:lineRule="auto"/>
      <w:ind w:firstLine="480" w:firstLineChars="200"/>
    </w:pPr>
    <w:rPr>
      <w:rFonts w:ascii="宋体" w:hAnsi="宋体"/>
      <w:color w:val="auto"/>
      <w:kern w:val="2"/>
      <w:szCs w:val="22"/>
    </w:rPr>
  </w:style>
  <w:style w:type="paragraph" w:customStyle="1" w:styleId="125">
    <w:name w:val="Char1"/>
    <w:basedOn w:val="1"/>
    <w:qFormat/>
    <w:uiPriority w:val="0"/>
    <w:pPr>
      <w:widowControl/>
      <w:spacing w:after="160" w:line="240" w:lineRule="exact"/>
      <w:jc w:val="left"/>
    </w:pPr>
    <w:rPr>
      <w:rFonts w:ascii="Times New Roman" w:hAnsi="Times New Roman"/>
      <w:color w:val="auto"/>
      <w:kern w:val="2"/>
      <w:sz w:val="21"/>
    </w:rPr>
  </w:style>
  <w:style w:type="paragraph" w:customStyle="1" w:styleId="126">
    <w:name w:val="文本 首行缩进:  2 字符"/>
    <w:basedOn w:val="1"/>
    <w:qFormat/>
    <w:uiPriority w:val="0"/>
    <w:pPr>
      <w:tabs>
        <w:tab w:val="center" w:pos="0"/>
      </w:tabs>
      <w:spacing w:line="360" w:lineRule="auto"/>
      <w:ind w:firstLine="480" w:firstLineChars="200"/>
    </w:pPr>
    <w:rPr>
      <w:rFonts w:ascii="Times New Roman" w:hAnsi="Times New Roman" w:cs="宋体"/>
      <w:color w:val="auto"/>
      <w:kern w:val="2"/>
      <w:szCs w:val="20"/>
    </w:rPr>
  </w:style>
  <w:style w:type="paragraph" w:customStyle="1" w:styleId="127">
    <w:name w:val="样式 内容 + 首行缩进:  2 字符"/>
    <w:basedOn w:val="1"/>
    <w:qFormat/>
    <w:uiPriority w:val="99"/>
    <w:pPr>
      <w:spacing w:line="360" w:lineRule="auto"/>
      <w:ind w:firstLine="480" w:firstLineChars="200"/>
      <w:jc w:val="left"/>
    </w:pPr>
    <w:rPr>
      <w:rFonts w:ascii="Times New Roman" w:hAnsi="Times New Roman" w:cs="宋体"/>
      <w:color w:val="auto"/>
      <w:kern w:val="2"/>
      <w:szCs w:val="20"/>
    </w:rPr>
  </w:style>
  <w:style w:type="paragraph" w:customStyle="1" w:styleId="128">
    <w:name w:val="样式 样式 小四 段前: 7.8 磅 段后: 7.8 磅 行距: 1.5 倍行距 + 首行缩进:  2 字符"/>
    <w:basedOn w:val="1"/>
    <w:qFormat/>
    <w:uiPriority w:val="0"/>
    <w:pPr>
      <w:spacing w:line="360" w:lineRule="auto"/>
      <w:ind w:firstLine="480" w:firstLineChars="200"/>
    </w:pPr>
    <w:rPr>
      <w:rFonts w:ascii="Times New Roman" w:hAnsi="Times New Roman"/>
      <w:color w:val="auto"/>
      <w:kern w:val="2"/>
    </w:rPr>
  </w:style>
  <w:style w:type="table" w:customStyle="1" w:styleId="129">
    <w:name w:val="三线1"/>
    <w:basedOn w:val="38"/>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0">
    <w:name w:val="Unresolved Mention"/>
    <w:semiHidden/>
    <w:unhideWhenUsed/>
    <w:qFormat/>
    <w:uiPriority w:val="99"/>
    <w:rPr>
      <w:color w:val="605E5C"/>
      <w:shd w:val="clear" w:color="auto" w:fill="E1DFDD"/>
    </w:rPr>
  </w:style>
  <w:style w:type="paragraph" w:customStyle="1" w:styleId="131">
    <w:name w:val="表格"/>
    <w:basedOn w:val="1"/>
    <w:next w:val="1"/>
    <w:qFormat/>
    <w:uiPriority w:val="0"/>
    <w:pPr>
      <w:widowControl/>
      <w:tabs>
        <w:tab w:val="left" w:pos="893"/>
      </w:tabs>
      <w:jc w:val="center"/>
    </w:pPr>
    <w:rPr>
      <w:rFonts w:ascii="Times New Roman" w:hAnsi="Times New Roman"/>
      <w:b/>
      <w:snapToGrid w:val="0"/>
      <w:color w:val="auto"/>
      <w:kern w:val="0"/>
      <w:sz w:val="21"/>
      <w:szCs w:val="20"/>
      <w:lang w:val="zh-CN"/>
    </w:rPr>
  </w:style>
  <w:style w:type="character" w:customStyle="1" w:styleId="132">
    <w:name w:val="表头 Char"/>
    <w:link w:val="13"/>
    <w:qFormat/>
    <w:uiPriority w:val="0"/>
    <w:rPr>
      <w:b/>
      <w:color w:val="000000"/>
      <w:sz w:val="24"/>
      <w:szCs w:val="24"/>
    </w:rPr>
  </w:style>
  <w:style w:type="paragraph" w:customStyle="1" w:styleId="133">
    <w:name w:val="p15"/>
    <w:basedOn w:val="1"/>
    <w:qFormat/>
    <w:uiPriority w:val="0"/>
    <w:pPr>
      <w:widowControl/>
      <w:ind w:left="420"/>
    </w:pPr>
    <w:rPr>
      <w:rFonts w:ascii="Calibri" w:hAnsi="Calibri" w:cs="Calibri"/>
      <w:kern w:val="0"/>
    </w:rPr>
  </w:style>
  <w:style w:type="paragraph" w:customStyle="1" w:styleId="134">
    <w:name w:val="p0"/>
    <w:basedOn w:val="1"/>
    <w:qFormat/>
    <w:uiPriority w:val="0"/>
    <w:pPr>
      <w:widowControl/>
      <w:adjustRightInd/>
      <w:spacing w:line="240" w:lineRule="auto"/>
      <w:jc w:val="both"/>
      <w:textAlignment w:val="auto"/>
    </w:pPr>
    <w:rPr>
      <w:rFonts w:ascii="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42.wmf"/><Relationship Id="rId82" Type="http://schemas.openxmlformats.org/officeDocument/2006/relationships/oleObject" Target="embeddings/oleObject36.bin"/><Relationship Id="rId81" Type="http://schemas.openxmlformats.org/officeDocument/2006/relationships/oleObject" Target="embeddings/oleObject35.bin"/><Relationship Id="rId80" Type="http://schemas.openxmlformats.org/officeDocument/2006/relationships/image" Target="media/image41.wmf"/><Relationship Id="rId8" Type="http://schemas.openxmlformats.org/officeDocument/2006/relationships/image" Target="media/image3.jpeg"/><Relationship Id="rId79" Type="http://schemas.openxmlformats.org/officeDocument/2006/relationships/oleObject" Target="embeddings/oleObject34.bin"/><Relationship Id="rId78" Type="http://schemas.openxmlformats.org/officeDocument/2006/relationships/image" Target="media/image40.wmf"/><Relationship Id="rId77" Type="http://schemas.openxmlformats.org/officeDocument/2006/relationships/oleObject" Target="embeddings/oleObject33.bin"/><Relationship Id="rId76" Type="http://schemas.openxmlformats.org/officeDocument/2006/relationships/image" Target="media/image39.emf"/><Relationship Id="rId75" Type="http://schemas.openxmlformats.org/officeDocument/2006/relationships/oleObject" Target="embeddings/oleObject32.bin"/><Relationship Id="rId74" Type="http://schemas.openxmlformats.org/officeDocument/2006/relationships/image" Target="media/image38.wmf"/><Relationship Id="rId73" Type="http://schemas.openxmlformats.org/officeDocument/2006/relationships/image" Target="media/image37.wmf"/><Relationship Id="rId72" Type="http://schemas.openxmlformats.org/officeDocument/2006/relationships/oleObject" Target="embeddings/oleObject31.bin"/><Relationship Id="rId71" Type="http://schemas.openxmlformats.org/officeDocument/2006/relationships/oleObject" Target="embeddings/oleObject30.bin"/><Relationship Id="rId70" Type="http://schemas.openxmlformats.org/officeDocument/2006/relationships/image" Target="media/image36.wmf"/><Relationship Id="rId7" Type="http://schemas.openxmlformats.org/officeDocument/2006/relationships/image" Target="media/image2.jpeg"/><Relationship Id="rId69" Type="http://schemas.openxmlformats.org/officeDocument/2006/relationships/image" Target="media/image35.wmf"/><Relationship Id="rId68" Type="http://schemas.openxmlformats.org/officeDocument/2006/relationships/oleObject" Target="embeddings/oleObject29.bin"/><Relationship Id="rId67" Type="http://schemas.openxmlformats.org/officeDocument/2006/relationships/oleObject" Target="embeddings/oleObject28.bin"/><Relationship Id="rId66" Type="http://schemas.openxmlformats.org/officeDocument/2006/relationships/oleObject" Target="embeddings/oleObject27.bin"/><Relationship Id="rId65" Type="http://schemas.openxmlformats.org/officeDocument/2006/relationships/image" Target="media/image34.wmf"/><Relationship Id="rId64" Type="http://schemas.openxmlformats.org/officeDocument/2006/relationships/oleObject" Target="embeddings/oleObject26.bin"/><Relationship Id="rId63" Type="http://schemas.openxmlformats.org/officeDocument/2006/relationships/image" Target="media/image33.wmf"/><Relationship Id="rId62" Type="http://schemas.openxmlformats.org/officeDocument/2006/relationships/oleObject" Target="embeddings/oleObject25.bin"/><Relationship Id="rId61" Type="http://schemas.openxmlformats.org/officeDocument/2006/relationships/image" Target="media/image32.wmf"/><Relationship Id="rId60" Type="http://schemas.openxmlformats.org/officeDocument/2006/relationships/oleObject" Target="embeddings/oleObject24.bin"/><Relationship Id="rId6" Type="http://schemas.openxmlformats.org/officeDocument/2006/relationships/image" Target="media/image1.jpeg"/><Relationship Id="rId59" Type="http://schemas.openxmlformats.org/officeDocument/2006/relationships/image" Target="media/image31.wmf"/><Relationship Id="rId58" Type="http://schemas.openxmlformats.org/officeDocument/2006/relationships/oleObject" Target="embeddings/oleObject23.bin"/><Relationship Id="rId57" Type="http://schemas.openxmlformats.org/officeDocument/2006/relationships/image" Target="media/image30.wmf"/><Relationship Id="rId56" Type="http://schemas.openxmlformats.org/officeDocument/2006/relationships/oleObject" Target="embeddings/oleObject22.bin"/><Relationship Id="rId55" Type="http://schemas.openxmlformats.org/officeDocument/2006/relationships/image" Target="media/image29.wmf"/><Relationship Id="rId54" Type="http://schemas.openxmlformats.org/officeDocument/2006/relationships/oleObject" Target="embeddings/oleObject21.bin"/><Relationship Id="rId53" Type="http://schemas.openxmlformats.org/officeDocument/2006/relationships/image" Target="media/image28.wmf"/><Relationship Id="rId52" Type="http://schemas.openxmlformats.org/officeDocument/2006/relationships/oleObject" Target="embeddings/oleObject20.bin"/><Relationship Id="rId51" Type="http://schemas.openxmlformats.org/officeDocument/2006/relationships/image" Target="media/image27.wmf"/><Relationship Id="rId50" Type="http://schemas.openxmlformats.org/officeDocument/2006/relationships/oleObject" Target="embeddings/oleObject19.bin"/><Relationship Id="rId5" Type="http://schemas.openxmlformats.org/officeDocument/2006/relationships/theme" Target="theme/theme1.xml"/><Relationship Id="rId49" Type="http://schemas.openxmlformats.org/officeDocument/2006/relationships/image" Target="media/image26.wmf"/><Relationship Id="rId48" Type="http://schemas.openxmlformats.org/officeDocument/2006/relationships/oleObject" Target="embeddings/oleObject18.bin"/><Relationship Id="rId47" Type="http://schemas.openxmlformats.org/officeDocument/2006/relationships/image" Target="media/image25.wmf"/><Relationship Id="rId46" Type="http://schemas.openxmlformats.org/officeDocument/2006/relationships/oleObject" Target="embeddings/oleObject17.bin"/><Relationship Id="rId45" Type="http://schemas.openxmlformats.org/officeDocument/2006/relationships/image" Target="media/image24.wmf"/><Relationship Id="rId44" Type="http://schemas.openxmlformats.org/officeDocument/2006/relationships/oleObject" Target="embeddings/oleObject16.bin"/><Relationship Id="rId43" Type="http://schemas.openxmlformats.org/officeDocument/2006/relationships/image" Target="media/image23.wmf"/><Relationship Id="rId42" Type="http://schemas.openxmlformats.org/officeDocument/2006/relationships/oleObject" Target="embeddings/oleObject15.bin"/><Relationship Id="rId41" Type="http://schemas.openxmlformats.org/officeDocument/2006/relationships/image" Target="media/image22.wmf"/><Relationship Id="rId40" Type="http://schemas.openxmlformats.org/officeDocument/2006/relationships/oleObject" Target="embeddings/oleObject14.bin"/><Relationship Id="rId4" Type="http://schemas.openxmlformats.org/officeDocument/2006/relationships/footer" Target="footer2.xml"/><Relationship Id="rId39" Type="http://schemas.openxmlformats.org/officeDocument/2006/relationships/image" Target="media/image21.wmf"/><Relationship Id="rId38" Type="http://schemas.openxmlformats.org/officeDocument/2006/relationships/oleObject" Target="embeddings/oleObject13.bin"/><Relationship Id="rId37" Type="http://schemas.openxmlformats.org/officeDocument/2006/relationships/image" Target="media/image20.wmf"/><Relationship Id="rId36" Type="http://schemas.openxmlformats.org/officeDocument/2006/relationships/oleObject" Target="embeddings/oleObject12.bin"/><Relationship Id="rId35" Type="http://schemas.openxmlformats.org/officeDocument/2006/relationships/image" Target="media/image19.wmf"/><Relationship Id="rId34" Type="http://schemas.openxmlformats.org/officeDocument/2006/relationships/oleObject" Target="embeddings/oleObject11.bin"/><Relationship Id="rId33" Type="http://schemas.openxmlformats.org/officeDocument/2006/relationships/image" Target="media/image18.wmf"/><Relationship Id="rId32" Type="http://schemas.openxmlformats.org/officeDocument/2006/relationships/oleObject" Target="embeddings/oleObject10.bin"/><Relationship Id="rId31" Type="http://schemas.openxmlformats.org/officeDocument/2006/relationships/image" Target="media/image17.wmf"/><Relationship Id="rId30" Type="http://schemas.openxmlformats.org/officeDocument/2006/relationships/oleObject" Target="embeddings/oleObject9.bin"/><Relationship Id="rId3" Type="http://schemas.openxmlformats.org/officeDocument/2006/relationships/footer" Target="footer1.xml"/><Relationship Id="rId29" Type="http://schemas.openxmlformats.org/officeDocument/2006/relationships/image" Target="media/image16.wmf"/><Relationship Id="rId28" Type="http://schemas.openxmlformats.org/officeDocument/2006/relationships/oleObject" Target="embeddings/oleObject8.bin"/><Relationship Id="rId27" Type="http://schemas.openxmlformats.org/officeDocument/2006/relationships/image" Target="media/image15.wmf"/><Relationship Id="rId26" Type="http://schemas.openxmlformats.org/officeDocument/2006/relationships/oleObject" Target="embeddings/oleObject7.bin"/><Relationship Id="rId25" Type="http://schemas.openxmlformats.org/officeDocument/2006/relationships/image" Target="media/image14.wmf"/><Relationship Id="rId24" Type="http://schemas.openxmlformats.org/officeDocument/2006/relationships/image" Target="media/image13.wmf"/><Relationship Id="rId23" Type="http://schemas.openxmlformats.org/officeDocument/2006/relationships/image" Target="media/image12.emf"/><Relationship Id="rId22" Type="http://schemas.openxmlformats.org/officeDocument/2006/relationships/oleObject" Target="embeddings/oleObject6.bin"/><Relationship Id="rId21" Type="http://schemas.openxmlformats.org/officeDocument/2006/relationships/image" Target="media/image11.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oleObject" Target="embeddings/oleObject4.bin"/><Relationship Id="rId17" Type="http://schemas.openxmlformats.org/officeDocument/2006/relationships/image" Target="media/image9.wmf"/><Relationship Id="rId16" Type="http://schemas.openxmlformats.org/officeDocument/2006/relationships/oleObject" Target="embeddings/oleObject3.bin"/><Relationship Id="rId15" Type="http://schemas.openxmlformats.org/officeDocument/2006/relationships/image" Target="media/image8.wmf"/><Relationship Id="rId14" Type="http://schemas.openxmlformats.org/officeDocument/2006/relationships/oleObject" Target="embeddings/oleObject2.bin"/><Relationship Id="rId13" Type="http://schemas.openxmlformats.org/officeDocument/2006/relationships/image" Target="media/image7.emf"/><Relationship Id="rId12" Type="http://schemas.openxmlformats.org/officeDocument/2006/relationships/oleObject" Target="embeddings/oleObject1.bin"/><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JMESI</Company>
  <Pages>61</Pages>
  <Words>7191</Words>
  <Characters>40991</Characters>
  <Lines>341</Lines>
  <Paragraphs>96</Paragraphs>
  <TotalTime>9</TotalTime>
  <ScaleCrop>false</ScaleCrop>
  <LinksUpToDate>false</LinksUpToDate>
  <CharactersWithSpaces>48086</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2021-03-02T12:19:00Z</dcterms:created>
  <dc:creator>赵岚2</dc:creator>
  <cp:lastModifiedBy>莫客非陌</cp:lastModifiedBy>
  <cp:lastPrinted>2021-01-07T09:24:00Z</cp:lastPrinted>
  <dcterms:modified xsi:type="dcterms:W3CDTF">2021-03-15T10:40:05Z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DCEE85C0831545C698B4B980E084B7FE</vt:lpwstr>
  </property>
</Properties>
</file>