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after="240"/>
        <w:jc w:val="center"/>
        <w:rPr>
          <w:sz w:val="28"/>
          <w:szCs w:val="28"/>
        </w:rPr>
      </w:pPr>
      <w:r>
        <w:rPr>
          <w:b/>
          <w:bCs/>
          <w:sz w:val="28"/>
          <w:szCs w:val="28"/>
        </w:rPr>
        <w:t>《建设项目环境影响报告表》编制说明</w:t>
      </w:r>
    </w:p>
    <w:p>
      <w:pPr>
        <w:adjustRightInd w:val="0"/>
        <w:snapToGrid w:val="0"/>
        <w:ind w:firstLine="560"/>
        <w:rPr>
          <w:sz w:val="28"/>
          <w:szCs w:val="28"/>
        </w:rPr>
      </w:pPr>
      <w:r>
        <w:rPr>
          <w:sz w:val="28"/>
          <w:szCs w:val="28"/>
        </w:rPr>
        <w:t>《建设项目环境影响报告表》由具有从事环境影响评价工作资质的单位编制。</w:t>
      </w:r>
    </w:p>
    <w:p>
      <w:pPr>
        <w:adjustRightInd w:val="0"/>
        <w:snapToGrid w:val="0"/>
        <w:ind w:firstLine="560"/>
        <w:rPr>
          <w:sz w:val="28"/>
          <w:szCs w:val="28"/>
        </w:rPr>
      </w:pPr>
      <w:r>
        <w:rPr>
          <w:sz w:val="28"/>
          <w:szCs w:val="28"/>
        </w:rPr>
        <w:t>1、项目名称——指项目立项批复时的名称，应不超过30个字（两个英文字段作一个汉字）。</w:t>
      </w:r>
    </w:p>
    <w:p>
      <w:pPr>
        <w:adjustRightInd w:val="0"/>
        <w:snapToGrid w:val="0"/>
        <w:ind w:firstLine="560"/>
        <w:rPr>
          <w:sz w:val="28"/>
          <w:szCs w:val="28"/>
        </w:rPr>
      </w:pPr>
      <w:r>
        <w:rPr>
          <w:sz w:val="28"/>
          <w:szCs w:val="28"/>
        </w:rPr>
        <w:t>2、建设地点——指项目所在地详细地址，公路、铁路应填写起止地点。</w:t>
      </w:r>
    </w:p>
    <w:p>
      <w:pPr>
        <w:adjustRightInd w:val="0"/>
        <w:snapToGrid w:val="0"/>
        <w:ind w:firstLine="560"/>
        <w:rPr>
          <w:sz w:val="28"/>
          <w:szCs w:val="28"/>
        </w:rPr>
      </w:pPr>
      <w:r>
        <w:rPr>
          <w:sz w:val="28"/>
          <w:szCs w:val="28"/>
        </w:rPr>
        <w:t>3、行业类别——按国标填写。</w:t>
      </w:r>
    </w:p>
    <w:p>
      <w:pPr>
        <w:adjustRightInd w:val="0"/>
        <w:snapToGrid w:val="0"/>
        <w:ind w:firstLine="560"/>
        <w:rPr>
          <w:sz w:val="28"/>
          <w:szCs w:val="28"/>
        </w:rPr>
      </w:pPr>
      <w:r>
        <w:rPr>
          <w:sz w:val="28"/>
          <w:szCs w:val="28"/>
        </w:rPr>
        <w:t>4、总投资——指项目投资总额。</w:t>
      </w:r>
    </w:p>
    <w:p>
      <w:pPr>
        <w:adjustRightInd w:val="0"/>
        <w:snapToGrid w:val="0"/>
        <w:ind w:firstLine="560"/>
        <w:rPr>
          <w:sz w:val="28"/>
          <w:szCs w:val="28"/>
        </w:rPr>
      </w:pPr>
      <w:r>
        <w:rPr>
          <w:sz w:val="28"/>
          <w:szCs w:val="28"/>
        </w:rPr>
        <w:t>5、主要环境保护目标——指项目区周围一定范围内集中居民住宅区、学校、医院、保护文物、风景名胜区、水源地和生态敏感点等，应尽可能给出保护目标、性质、规模和距厂界距离等。</w:t>
      </w:r>
    </w:p>
    <w:p>
      <w:pPr>
        <w:adjustRightInd w:val="0"/>
        <w:snapToGrid w:val="0"/>
        <w:ind w:firstLine="560"/>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adjustRightInd w:val="0"/>
        <w:snapToGrid w:val="0"/>
        <w:ind w:firstLine="560"/>
        <w:rPr>
          <w:sz w:val="28"/>
          <w:szCs w:val="28"/>
        </w:rPr>
      </w:pPr>
      <w:r>
        <w:rPr>
          <w:sz w:val="28"/>
          <w:szCs w:val="28"/>
        </w:rPr>
        <w:t>7、预审意见——由行业主管部门填写答复意见，无主管部门项目，可不填。</w:t>
      </w:r>
    </w:p>
    <w:p>
      <w:pPr>
        <w:adjustRightInd w:val="0"/>
        <w:snapToGrid w:val="0"/>
        <w:ind w:firstLine="560"/>
        <w:rPr>
          <w:sz w:val="28"/>
          <w:szCs w:val="28"/>
        </w:rPr>
      </w:pPr>
      <w:r>
        <w:rPr>
          <w:sz w:val="28"/>
          <w:szCs w:val="28"/>
        </w:rPr>
        <w:t>8、审批意见——由负责审批该项目的环境保护行政主管部门批复。</w:t>
      </w:r>
    </w:p>
    <w:p>
      <w:pPr>
        <w:ind w:firstLine="560"/>
        <w:rPr>
          <w:sz w:val="28"/>
          <w:szCs w:val="28"/>
        </w:rPr>
      </w:pPr>
      <w:r>
        <w:rPr>
          <w:sz w:val="28"/>
          <w:szCs w:val="28"/>
        </w:rPr>
        <w:br w:type="page"/>
      </w:r>
    </w:p>
    <w:sdt>
      <w:sdtPr>
        <w:rPr>
          <w:rFonts w:ascii="宋体" w:hAnsi="宋体"/>
          <w:sz w:val="21"/>
        </w:rPr>
        <w:id w:val="147482478"/>
        <w:docPartObj>
          <w:docPartGallery w:val="Table of Contents"/>
          <w:docPartUnique/>
        </w:docPartObj>
      </w:sdtPr>
      <w:sdtEndPr>
        <w:rPr>
          <w:rFonts w:ascii="Times New Roman" w:hAnsi="Times New Roman" w:cs="宋体"/>
          <w:kern w:val="18"/>
          <w:sz w:val="24"/>
          <w:szCs w:val="20"/>
        </w:rPr>
      </w:sdtEndPr>
      <w:sdtContent>
        <w:p>
          <w:pPr>
            <w:spacing w:line="240" w:lineRule="auto"/>
            <w:ind w:firstLine="0" w:firstLineChars="0"/>
            <w:jc w:val="center"/>
            <w:rPr>
              <w:sz w:val="28"/>
              <w:szCs w:val="28"/>
            </w:rPr>
          </w:pPr>
          <w:r>
            <w:rPr>
              <w:rFonts w:ascii="宋体" w:hAnsi="宋体"/>
              <w:sz w:val="28"/>
              <w:szCs w:val="28"/>
            </w:rPr>
            <w:t>目录</w:t>
          </w:r>
        </w:p>
        <w:p>
          <w:pPr>
            <w:pStyle w:val="47"/>
            <w:tabs>
              <w:tab w:val="right" w:leader="dot" w:pos="8306"/>
            </w:tabs>
            <w:spacing w:line="360" w:lineRule="auto"/>
            <w:rPr>
              <w:rFonts w:ascii="Times New Roman" w:hAnsi="Times New Roman" w:eastAsia="宋体" w:cs="Times New Roman"/>
              <w:sz w:val="24"/>
              <w:szCs w:val="24"/>
            </w:rPr>
          </w:pPr>
          <w:r>
            <w:fldChar w:fldCharType="begin"/>
          </w:r>
          <w:r>
            <w:instrText xml:space="preserve">TOC \o "1-1" \h \u </w:instrText>
          </w:r>
          <w:r>
            <w:fldChar w:fldCharType="separate"/>
          </w:r>
          <w:r>
            <w:fldChar w:fldCharType="begin"/>
          </w:r>
          <w:r>
            <w:instrText xml:space="preserve"> HYPERLINK \l "_Toc18473" </w:instrText>
          </w:r>
          <w:r>
            <w:fldChar w:fldCharType="separate"/>
          </w:r>
          <w:r>
            <w:rPr>
              <w:rFonts w:ascii="Times New Roman" w:hAnsi="Times New Roman" w:eastAsia="宋体" w:cs="Times New Roman"/>
              <w:bCs/>
              <w:sz w:val="24"/>
              <w:szCs w:val="24"/>
            </w:rPr>
            <w:t>表一、建设项目基本情况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_Toc18473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"_Toc31697" </w:instrText>
          </w:r>
          <w:r>
            <w:fldChar w:fldCharType="separate"/>
          </w:r>
          <w:r>
            <w:rPr>
              <w:rFonts w:ascii="Times New Roman" w:hAnsi="Times New Roman" w:eastAsia="宋体" w:cs="Times New Roman"/>
              <w:bCs/>
              <w:sz w:val="24"/>
              <w:szCs w:val="24"/>
            </w:rPr>
            <w:t>表二、建设项目所在地自然环境简况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_Toc31697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"_Toc8347" </w:instrText>
          </w:r>
          <w:r>
            <w:fldChar w:fldCharType="separate"/>
          </w:r>
          <w:r>
            <w:rPr>
              <w:rFonts w:ascii="Times New Roman" w:hAnsi="Times New Roman" w:eastAsia="宋体" w:cs="Times New Roman"/>
              <w:sz w:val="24"/>
              <w:szCs w:val="24"/>
            </w:rPr>
            <w:t>表三、环境质量状况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_Toc8347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"_Toc6649" </w:instrText>
          </w:r>
          <w:r>
            <w:fldChar w:fldCharType="separate"/>
          </w:r>
          <w:r>
            <w:rPr>
              <w:rFonts w:ascii="Times New Roman" w:hAnsi="Times New Roman" w:eastAsia="宋体" w:cs="Times New Roman"/>
              <w:sz w:val="24"/>
              <w:szCs w:val="24"/>
            </w:rPr>
            <w:t>表四、评价适用标准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_Toc6649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"_Toc25934" </w:instrText>
          </w:r>
          <w:r>
            <w:fldChar w:fldCharType="separate"/>
          </w:r>
          <w:r>
            <w:rPr>
              <w:rFonts w:ascii="Times New Roman" w:hAnsi="Times New Roman" w:eastAsia="宋体" w:cs="Times New Roman"/>
              <w:sz w:val="24"/>
              <w:szCs w:val="24"/>
            </w:rPr>
            <w:t>表五、建设项目工程分析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_Toc25934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"_Toc12918" </w:instrText>
          </w:r>
          <w:r>
            <w:fldChar w:fldCharType="separate"/>
          </w:r>
          <w:r>
            <w:rPr>
              <w:rFonts w:ascii="Times New Roman" w:hAnsi="Times New Roman" w:eastAsia="宋体" w:cs="Times New Roman"/>
              <w:bCs/>
              <w:sz w:val="24"/>
              <w:szCs w:val="24"/>
            </w:rPr>
            <w:t>表六、项目主要污染物产生及预计排放情况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_Toc12918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"_Toc13238" </w:instrText>
          </w:r>
          <w:r>
            <w:fldChar w:fldCharType="separate"/>
          </w:r>
          <w:r>
            <w:rPr>
              <w:rFonts w:ascii="Times New Roman" w:hAnsi="Times New Roman" w:eastAsia="宋体" w:cs="Times New Roman"/>
              <w:sz w:val="24"/>
              <w:szCs w:val="24"/>
            </w:rPr>
            <w:t>表七、环境影响分析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_Toc13238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7"/>
            <w:tabs>
              <w:tab w:val="right" w:leader="dot" w:pos="8306"/>
            </w:tabs>
            <w:spacing w:line="360" w:lineRule="auto"/>
            <w:rPr>
              <w:rFonts w:ascii="Times New Roman" w:hAnsi="Times New Roman" w:eastAsia="宋体" w:cs="Times New Roman"/>
              <w:sz w:val="24"/>
              <w:szCs w:val="24"/>
            </w:rPr>
          </w:pPr>
          <w:r>
            <w:fldChar w:fldCharType="begin"/>
          </w:r>
          <w:r>
            <w:instrText xml:space="preserve"> HYPERLINK \l "_Toc20244" </w:instrText>
          </w:r>
          <w:r>
            <w:fldChar w:fldCharType="separate"/>
          </w:r>
          <w:r>
            <w:rPr>
              <w:rFonts w:ascii="Times New Roman" w:hAnsi="Times New Roman" w:eastAsia="宋体" w:cs="Times New Roman"/>
              <w:sz w:val="24"/>
              <w:szCs w:val="24"/>
            </w:rPr>
            <w:t>表八、建设项目拟采取的防治措施及预期治理效果</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_Toc20244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7"/>
            <w:tabs>
              <w:tab w:val="right" w:leader="dot" w:pos="8306"/>
            </w:tabs>
            <w:spacing w:line="360" w:lineRule="auto"/>
          </w:pPr>
          <w:r>
            <w:fldChar w:fldCharType="begin"/>
          </w:r>
          <w:r>
            <w:instrText xml:space="preserve"> HYPERLINK \l "_Toc26813" </w:instrText>
          </w:r>
          <w:r>
            <w:fldChar w:fldCharType="separate"/>
          </w:r>
          <w:r>
            <w:rPr>
              <w:rFonts w:ascii="Times New Roman" w:hAnsi="Times New Roman" w:eastAsia="宋体" w:cs="Times New Roman"/>
              <w:bCs/>
              <w:sz w:val="24"/>
              <w:szCs w:val="24"/>
            </w:rPr>
            <w:t>表九、结论与建议</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_Toc26813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7"/>
            <w:tabs>
              <w:tab w:val="right" w:leader="dot" w:pos="8306"/>
            </w:tabs>
          </w:pPr>
        </w:p>
        <w:p>
          <w:pPr>
            <w:pStyle w:val="47"/>
            <w:tabs>
              <w:tab w:val="right" w:leader="dot" w:pos="8306"/>
            </w:tabs>
          </w:pPr>
        </w:p>
        <w:p>
          <w:pPr>
            <w:pStyle w:val="27"/>
            <w:ind w:firstLine="480"/>
          </w:pPr>
          <w:r>
            <w:fldChar w:fldCharType="end"/>
          </w:r>
        </w:p>
        <w:p>
          <w:pPr>
            <w:tabs>
              <w:tab w:val="center" w:pos="4153"/>
            </w:tabs>
            <w:ind w:firstLine="480"/>
            <w:rPr>
              <w:rFonts w:hint="eastAsia" w:eastAsia="宋体"/>
              <w:lang w:eastAsia="zh-CN"/>
            </w:rPr>
          </w:pPr>
          <w:r>
            <w:br w:type="page"/>
          </w:r>
          <w:r>
            <w:rPr>
              <w:rFonts w:hint="eastAsia"/>
              <w:lang w:eastAsia="zh-CN"/>
            </w:rPr>
            <w:tab/>
          </w:r>
        </w:p>
        <w:p>
          <w:pPr>
            <w:snapToGrid w:val="0"/>
            <w:ind w:firstLine="482"/>
            <w:rPr>
              <w:b/>
            </w:rPr>
          </w:pPr>
          <w:r>
            <w:rPr>
              <w:rFonts w:hint="eastAsia"/>
              <w:b/>
            </w:rPr>
            <w:t>附表：</w:t>
          </w:r>
        </w:p>
        <w:p>
          <w:pPr>
            <w:snapToGrid w:val="0"/>
            <w:ind w:firstLine="480"/>
          </w:pPr>
          <w:r>
            <w:rPr>
              <w:rFonts w:hint="eastAsia"/>
            </w:rPr>
            <w:t>建设项目环评审批基础信息表</w:t>
          </w:r>
        </w:p>
        <w:p>
          <w:pPr>
            <w:snapToGrid w:val="0"/>
            <w:ind w:firstLine="482"/>
            <w:rPr>
              <w:b/>
            </w:rPr>
          </w:pPr>
        </w:p>
        <w:p>
          <w:pPr>
            <w:snapToGrid w:val="0"/>
            <w:ind w:firstLine="482"/>
            <w:rPr>
              <w:b/>
            </w:rPr>
          </w:pPr>
          <w:r>
            <w:rPr>
              <w:rFonts w:hint="eastAsia"/>
              <w:b/>
            </w:rPr>
            <w:t>附图：</w:t>
          </w:r>
        </w:p>
        <w:p>
          <w:pPr>
            <w:adjustRightInd w:val="0"/>
            <w:snapToGrid w:val="0"/>
            <w:ind w:firstLine="480"/>
          </w:pPr>
          <w:r>
            <w:rPr>
              <w:rFonts w:hint="eastAsia"/>
            </w:rPr>
            <w:t>附图1  地理位置图</w:t>
          </w:r>
        </w:p>
        <w:p>
          <w:pPr>
            <w:adjustRightInd w:val="0"/>
            <w:snapToGrid w:val="0"/>
            <w:ind w:firstLine="480"/>
          </w:pPr>
          <w:r>
            <w:rPr>
              <w:rFonts w:hint="eastAsia"/>
            </w:rPr>
            <w:t>附图2  水系图</w:t>
          </w:r>
        </w:p>
        <w:p>
          <w:pPr>
            <w:adjustRightInd w:val="0"/>
            <w:snapToGrid w:val="0"/>
            <w:ind w:firstLine="480"/>
          </w:pPr>
          <w:r>
            <w:rPr>
              <w:rFonts w:hint="eastAsia"/>
            </w:rPr>
            <w:t>附图3  项目</w:t>
          </w:r>
          <w:r>
            <w:rPr>
              <w:rFonts w:hint="eastAsia"/>
              <w:lang w:eastAsia="zh-CN"/>
            </w:rPr>
            <w:t>声</w:t>
          </w:r>
          <w:r>
            <w:rPr>
              <w:rFonts w:hint="eastAsia"/>
            </w:rPr>
            <w:t>环境影响评价范围及敏感点分布图</w:t>
          </w:r>
        </w:p>
        <w:p>
          <w:pPr>
            <w:adjustRightInd w:val="0"/>
            <w:snapToGrid w:val="0"/>
            <w:ind w:firstLine="480"/>
          </w:pPr>
          <w:r>
            <w:rPr>
              <w:rFonts w:hint="eastAsia"/>
            </w:rPr>
            <w:t>附图4  项目总平面布置图</w:t>
          </w:r>
        </w:p>
        <w:p>
          <w:pPr>
            <w:snapToGrid w:val="0"/>
            <w:ind w:firstLine="482"/>
            <w:rPr>
              <w:rFonts w:hint="default" w:eastAsia="宋体"/>
              <w:b w:val="0"/>
              <w:bCs/>
              <w:lang w:val="en-US" w:eastAsia="zh-CN"/>
            </w:rPr>
          </w:pPr>
          <w:r>
            <w:rPr>
              <w:rFonts w:hint="eastAsia"/>
              <w:b w:val="0"/>
              <w:bCs/>
              <w:lang w:eastAsia="zh-CN"/>
            </w:rPr>
            <w:t>附图</w:t>
          </w:r>
          <w:r>
            <w:rPr>
              <w:rFonts w:hint="eastAsia"/>
              <w:b w:val="0"/>
              <w:bCs/>
              <w:lang w:val="en-US" w:eastAsia="zh-CN"/>
            </w:rPr>
            <w:t>5  项目与石材厂位置关系图</w:t>
          </w:r>
        </w:p>
        <w:p>
          <w:pPr>
            <w:snapToGrid w:val="0"/>
            <w:ind w:firstLine="482"/>
            <w:rPr>
              <w:b/>
            </w:rPr>
          </w:pPr>
        </w:p>
        <w:p>
          <w:pPr>
            <w:pStyle w:val="27"/>
          </w:pPr>
        </w:p>
        <w:p>
          <w:pPr>
            <w:snapToGrid w:val="0"/>
            <w:ind w:firstLine="482"/>
            <w:rPr>
              <w:b/>
            </w:rPr>
          </w:pPr>
          <w:r>
            <w:rPr>
              <w:rFonts w:hint="eastAsia"/>
              <w:b/>
            </w:rPr>
            <w:t>附件：</w:t>
          </w:r>
        </w:p>
        <w:p>
          <w:pPr>
            <w:tabs>
              <w:tab w:val="left" w:pos="927"/>
            </w:tabs>
            <w:snapToGrid w:val="0"/>
            <w:ind w:firstLine="480"/>
          </w:pPr>
          <w:r>
            <w:rPr>
              <w:rFonts w:hint="eastAsia"/>
            </w:rPr>
            <w:t>附件1  委托书</w:t>
          </w:r>
        </w:p>
        <w:p>
          <w:pPr>
            <w:tabs>
              <w:tab w:val="left" w:pos="927"/>
            </w:tabs>
            <w:snapToGrid w:val="0"/>
            <w:ind w:firstLine="480"/>
          </w:pPr>
          <w:r>
            <w:rPr>
              <w:rFonts w:hint="eastAsia"/>
            </w:rPr>
            <w:t>附件2  营业执照及企业法人身份证</w:t>
          </w:r>
        </w:p>
        <w:p>
          <w:pPr>
            <w:tabs>
              <w:tab w:val="left" w:pos="927"/>
            </w:tabs>
            <w:snapToGrid w:val="0"/>
            <w:ind w:firstLine="480"/>
          </w:pPr>
          <w:r>
            <w:rPr>
              <w:rFonts w:hint="eastAsia"/>
            </w:rPr>
            <w:t>附件3  石材加工项目环评登记表批复</w:t>
          </w:r>
        </w:p>
        <w:p>
          <w:pPr>
            <w:tabs>
              <w:tab w:val="left" w:pos="927"/>
            </w:tabs>
            <w:snapToGrid w:val="0"/>
            <w:ind w:firstLine="480"/>
            <w:rPr>
              <w:rFonts w:hint="default" w:eastAsia="宋体"/>
              <w:lang w:val="en-US" w:eastAsia="zh-CN"/>
            </w:rPr>
          </w:pPr>
          <w:r>
            <w:rPr>
              <w:rFonts w:hint="eastAsia"/>
              <w:lang w:val="en-US" w:eastAsia="zh-CN"/>
            </w:rPr>
            <w:t>附件4  石材加工项目环境影响评价登记表</w:t>
          </w:r>
        </w:p>
        <w:p>
          <w:pPr>
            <w:tabs>
              <w:tab w:val="left" w:pos="927"/>
            </w:tabs>
            <w:snapToGrid w:val="0"/>
            <w:ind w:firstLine="480"/>
          </w:pPr>
          <w:r>
            <w:rPr>
              <w:rFonts w:hint="eastAsia"/>
            </w:rPr>
            <w:t>附件</w:t>
          </w:r>
          <w:r>
            <w:rPr>
              <w:rFonts w:hint="eastAsia"/>
              <w:lang w:val="en-US" w:eastAsia="zh-CN"/>
            </w:rPr>
            <w:t>5</w:t>
          </w:r>
          <w:r>
            <w:rPr>
              <w:rFonts w:hint="eastAsia"/>
            </w:rPr>
            <w:t xml:space="preserve">  投资项目备案证</w:t>
          </w:r>
        </w:p>
        <w:p>
          <w:pPr>
            <w:tabs>
              <w:tab w:val="left" w:pos="927"/>
            </w:tabs>
            <w:snapToGrid w:val="0"/>
            <w:ind w:firstLine="480"/>
          </w:pPr>
          <w:r>
            <w:rPr>
              <w:rFonts w:hint="eastAsia"/>
            </w:rPr>
            <w:t>附件</w:t>
          </w:r>
          <w:r>
            <w:rPr>
              <w:rFonts w:hint="eastAsia"/>
              <w:lang w:val="en-US" w:eastAsia="zh-CN"/>
            </w:rPr>
            <w:t>6</w:t>
          </w:r>
          <w:r>
            <w:rPr>
              <w:rFonts w:hint="eastAsia"/>
            </w:rPr>
            <w:t xml:space="preserve">  租赁合同</w:t>
          </w:r>
        </w:p>
        <w:p>
          <w:pPr>
            <w:tabs>
              <w:tab w:val="left" w:pos="927"/>
            </w:tabs>
            <w:snapToGrid w:val="0"/>
            <w:ind w:firstLine="480"/>
          </w:pPr>
          <w:r>
            <w:rPr>
              <w:rFonts w:hint="eastAsia"/>
            </w:rPr>
            <w:t>附件</w:t>
          </w:r>
          <w:r>
            <w:rPr>
              <w:rFonts w:hint="eastAsia"/>
              <w:lang w:val="en-US" w:eastAsia="zh-CN"/>
            </w:rPr>
            <w:t>7</w:t>
          </w:r>
          <w:r>
            <w:rPr>
              <w:rFonts w:hint="eastAsia"/>
            </w:rPr>
            <w:t xml:space="preserve">  项目大气环境影响评价自查表</w:t>
          </w:r>
        </w:p>
        <w:p>
          <w:pPr>
            <w:tabs>
              <w:tab w:val="left" w:pos="927"/>
            </w:tabs>
            <w:snapToGrid w:val="0"/>
            <w:ind w:firstLine="480"/>
          </w:pPr>
          <w:r>
            <w:rPr>
              <w:rFonts w:hint="eastAsia"/>
            </w:rPr>
            <w:t>附件</w:t>
          </w:r>
          <w:r>
            <w:rPr>
              <w:rFonts w:hint="eastAsia"/>
              <w:lang w:val="en-US" w:eastAsia="zh-CN"/>
            </w:rPr>
            <w:t>8</w:t>
          </w:r>
          <w:r>
            <w:rPr>
              <w:rFonts w:hint="eastAsia"/>
            </w:rPr>
            <w:t xml:space="preserve">  项目地表水环境影响评价自查表</w:t>
          </w:r>
        </w:p>
        <w:p>
          <w:pPr>
            <w:tabs>
              <w:tab w:val="left" w:pos="927"/>
            </w:tabs>
            <w:snapToGrid w:val="0"/>
            <w:ind w:firstLine="480"/>
          </w:pPr>
          <w:r>
            <w:rPr>
              <w:rFonts w:hint="eastAsia"/>
            </w:rPr>
            <w:t>附件</w:t>
          </w:r>
          <w:r>
            <w:rPr>
              <w:rFonts w:hint="eastAsia"/>
              <w:lang w:val="en-US" w:eastAsia="zh-CN"/>
            </w:rPr>
            <w:t>9</w:t>
          </w:r>
          <w:r>
            <w:rPr>
              <w:rFonts w:hint="eastAsia"/>
            </w:rPr>
            <w:t xml:space="preserve">  项目环境风险评价自查表</w:t>
          </w:r>
        </w:p>
        <w:p>
          <w:pPr>
            <w:pStyle w:val="27"/>
            <w:ind w:firstLine="468" w:firstLineChars="195"/>
          </w:pPr>
          <w:r>
            <w:rPr>
              <w:rFonts w:hint="eastAsia"/>
            </w:rPr>
            <w:t>附件</w:t>
          </w:r>
          <w:r>
            <w:rPr>
              <w:rFonts w:hint="eastAsia"/>
              <w:lang w:val="en-US" w:eastAsia="zh-CN"/>
            </w:rPr>
            <w:t>10</w:t>
          </w:r>
          <w:r>
            <w:rPr>
              <w:rFonts w:hint="eastAsia"/>
            </w:rPr>
            <w:t xml:space="preserve"> 公示截图</w:t>
          </w:r>
        </w:p>
        <w:p>
          <w:pPr>
            <w:tabs>
              <w:tab w:val="left" w:pos="927"/>
            </w:tabs>
            <w:snapToGrid w:val="0"/>
            <w:ind w:firstLine="480"/>
            <w:rPr>
              <w:rFonts w:hint="default" w:eastAsia="宋体"/>
              <w:lang w:val="en-US" w:eastAsia="zh-CN"/>
            </w:rPr>
          </w:pPr>
          <w:r>
            <w:rPr>
              <w:rFonts w:hint="eastAsia"/>
              <w:lang w:eastAsia="zh-CN"/>
            </w:rPr>
            <w:t>附件</w:t>
          </w:r>
          <w:r>
            <w:rPr>
              <w:rFonts w:hint="eastAsia"/>
              <w:lang w:val="en-US" w:eastAsia="zh-CN"/>
            </w:rPr>
            <w:t>11 评审意见及修改对照表</w:t>
          </w:r>
        </w:p>
        <w:p>
          <w:pPr>
            <w:tabs>
              <w:tab w:val="left" w:pos="927"/>
            </w:tabs>
            <w:snapToGrid w:val="0"/>
            <w:ind w:firstLine="480"/>
            <w:rPr>
              <w:rFonts w:hint="default" w:eastAsia="宋体"/>
              <w:lang w:val="en-US" w:eastAsia="zh-CN"/>
            </w:rPr>
          </w:pPr>
          <w:r>
            <w:rPr>
              <w:rFonts w:hint="eastAsia"/>
              <w:lang w:eastAsia="zh-CN"/>
            </w:rPr>
            <w:t>附件</w:t>
          </w:r>
          <w:r>
            <w:rPr>
              <w:rFonts w:hint="eastAsia"/>
              <w:lang w:val="en-US" w:eastAsia="zh-CN"/>
            </w:rPr>
            <w:t>12 专家复核意见</w:t>
          </w:r>
        </w:p>
        <w:p>
          <w:pPr>
            <w:tabs>
              <w:tab w:val="left" w:pos="927"/>
            </w:tabs>
            <w:snapToGrid w:val="0"/>
            <w:ind w:firstLine="480"/>
            <w:rPr>
              <w:rFonts w:hint="eastAsia"/>
            </w:rPr>
          </w:pPr>
          <w:r>
            <w:rPr>
              <w:rFonts w:hint="eastAsia"/>
            </w:rPr>
            <w:t>附件1</w:t>
          </w:r>
          <w:r>
            <w:rPr>
              <w:rFonts w:hint="eastAsia"/>
              <w:lang w:val="en-US" w:eastAsia="zh-CN"/>
            </w:rPr>
            <w:t>3</w:t>
          </w:r>
          <w:r>
            <w:rPr>
              <w:rFonts w:hint="eastAsia"/>
            </w:rPr>
            <w:t xml:space="preserve"> 项目工作进度管理表及内部审核清单</w:t>
          </w:r>
        </w:p>
        <w:p>
          <w:pPr>
            <w:pStyle w:val="27"/>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rPr>
            <w:t>附件</w:t>
          </w:r>
          <w:r>
            <w:rPr>
              <w:rFonts w:hint="eastAsia"/>
              <w:lang w:val="en-US" w:eastAsia="zh-CN"/>
            </w:rPr>
            <w:t xml:space="preserve">14 </w:t>
          </w:r>
          <w:r>
            <w:rPr>
              <w:rFonts w:hint="eastAsia"/>
            </w:rPr>
            <w:t>技术咨询合同</w:t>
          </w:r>
        </w:p>
        <w:p>
          <w:pPr>
            <w:pStyle w:val="27"/>
            <w:ind w:left="0" w:leftChars="0" w:firstLine="0" w:firstLineChars="0"/>
            <w:sectPr>
              <w:headerReference r:id="rId9" w:type="default"/>
              <w:footerReference r:id="rId10" w:type="default"/>
              <w:pgSz w:w="11906" w:h="16838"/>
              <w:pgMar w:top="1440" w:right="1800" w:bottom="1440" w:left="1800" w:header="851" w:footer="992" w:gutter="0"/>
              <w:cols w:space="425" w:num="1"/>
              <w:docGrid w:type="lines" w:linePitch="312" w:charSpace="0"/>
            </w:sectPr>
          </w:pPr>
        </w:p>
      </w:sdtContent>
    </w:sdt>
    <w:p>
      <w:pPr>
        <w:ind w:firstLine="0" w:firstLineChars="0"/>
        <w:outlineLvl w:val="0"/>
        <w:rPr>
          <w:b/>
          <w:bCs/>
          <w:sz w:val="30"/>
          <w:szCs w:val="30"/>
        </w:rPr>
      </w:pPr>
      <w:bookmarkStart w:id="0" w:name="_Toc18473"/>
      <w:r>
        <w:rPr>
          <w:rFonts w:hint="eastAsia"/>
          <w:b/>
          <w:bCs/>
          <w:sz w:val="30"/>
          <w:szCs w:val="30"/>
        </w:rPr>
        <w:t>表</w:t>
      </w:r>
      <w:r>
        <w:rPr>
          <w:b/>
          <w:bCs/>
          <w:sz w:val="30"/>
          <w:szCs w:val="30"/>
        </w:rPr>
        <w:t>一、建设项目基本情况</w:t>
      </w:r>
      <w:bookmarkEnd w:id="0"/>
    </w:p>
    <w:tbl>
      <w:tblPr>
        <w:tblStyle w:val="22"/>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51"/>
        <w:gridCol w:w="1555"/>
        <w:gridCol w:w="1415"/>
        <w:gridCol w:w="220"/>
        <w:gridCol w:w="1509"/>
        <w:gridCol w:w="206"/>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29" w:type="dxa"/>
            <w:vAlign w:val="center"/>
          </w:tcPr>
          <w:p>
            <w:pPr>
              <w:tabs>
                <w:tab w:val="left" w:pos="2395"/>
              </w:tabs>
              <w:ind w:firstLine="0" w:firstLineChars="0"/>
              <w:jc w:val="center"/>
              <w:rPr>
                <w:b/>
                <w:bCs/>
              </w:rPr>
            </w:pPr>
            <w:r>
              <w:rPr>
                <w:b/>
                <w:bCs/>
              </w:rPr>
              <w:t>项目名称</w:t>
            </w:r>
          </w:p>
        </w:tc>
        <w:tc>
          <w:tcPr>
            <w:tcW w:w="7441" w:type="dxa"/>
            <w:gridSpan w:val="7"/>
            <w:vAlign w:val="center"/>
          </w:tcPr>
          <w:p>
            <w:pPr>
              <w:ind w:firstLine="0" w:firstLineChars="0"/>
              <w:jc w:val="center"/>
            </w:pPr>
            <w:r>
              <w:rPr>
                <w:rFonts w:hint="eastAsia"/>
              </w:rPr>
              <w:t>宜良县益林石材厂废料加工利用项目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29" w:type="dxa"/>
            <w:vAlign w:val="center"/>
          </w:tcPr>
          <w:p>
            <w:pPr>
              <w:tabs>
                <w:tab w:val="left" w:pos="2395"/>
              </w:tabs>
              <w:ind w:firstLine="0" w:firstLineChars="0"/>
              <w:jc w:val="center"/>
              <w:rPr>
                <w:b/>
                <w:bCs/>
              </w:rPr>
            </w:pPr>
            <w:r>
              <w:rPr>
                <w:b/>
                <w:bCs/>
              </w:rPr>
              <w:t>建设单位</w:t>
            </w:r>
          </w:p>
        </w:tc>
        <w:tc>
          <w:tcPr>
            <w:tcW w:w="7441" w:type="dxa"/>
            <w:gridSpan w:val="7"/>
            <w:vAlign w:val="center"/>
          </w:tcPr>
          <w:p>
            <w:pPr>
              <w:ind w:firstLine="0" w:firstLineChars="0"/>
              <w:jc w:val="center"/>
            </w:pPr>
            <w:r>
              <w:rPr>
                <w:rFonts w:hint="eastAsia"/>
              </w:rPr>
              <w:t>宜良县益林石材厂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29" w:type="dxa"/>
            <w:vAlign w:val="center"/>
          </w:tcPr>
          <w:p>
            <w:pPr>
              <w:tabs>
                <w:tab w:val="left" w:pos="2395"/>
              </w:tabs>
              <w:ind w:firstLine="0" w:firstLineChars="0"/>
              <w:jc w:val="center"/>
              <w:rPr>
                <w:b/>
                <w:bCs/>
              </w:rPr>
            </w:pPr>
            <w:r>
              <w:rPr>
                <w:b/>
                <w:bCs/>
              </w:rPr>
              <w:t>法人代表</w:t>
            </w:r>
          </w:p>
        </w:tc>
        <w:tc>
          <w:tcPr>
            <w:tcW w:w="3106" w:type="dxa"/>
            <w:gridSpan w:val="2"/>
            <w:vAlign w:val="center"/>
          </w:tcPr>
          <w:p>
            <w:pPr>
              <w:tabs>
                <w:tab w:val="left" w:pos="2395"/>
              </w:tabs>
              <w:ind w:firstLine="0" w:firstLineChars="0"/>
              <w:jc w:val="center"/>
              <w:rPr>
                <w:bCs/>
              </w:rPr>
            </w:pPr>
            <w:r>
              <w:rPr>
                <w:rFonts w:hint="eastAsia"/>
                <w:bCs/>
              </w:rPr>
              <w:t>杨子林</w:t>
            </w:r>
          </w:p>
        </w:tc>
        <w:tc>
          <w:tcPr>
            <w:tcW w:w="1635" w:type="dxa"/>
            <w:gridSpan w:val="2"/>
            <w:vAlign w:val="center"/>
          </w:tcPr>
          <w:p>
            <w:pPr>
              <w:ind w:firstLine="0" w:firstLineChars="0"/>
              <w:jc w:val="center"/>
              <w:rPr>
                <w:b/>
              </w:rPr>
            </w:pPr>
            <w:r>
              <w:rPr>
                <w:b/>
                <w:bCs/>
              </w:rPr>
              <w:t>联系人</w:t>
            </w:r>
          </w:p>
        </w:tc>
        <w:tc>
          <w:tcPr>
            <w:tcW w:w="2700" w:type="dxa"/>
            <w:gridSpan w:val="3"/>
            <w:vAlign w:val="center"/>
          </w:tcPr>
          <w:p>
            <w:pPr>
              <w:tabs>
                <w:tab w:val="left" w:pos="2395"/>
              </w:tabs>
              <w:ind w:firstLine="0" w:firstLineChars="0"/>
              <w:jc w:val="center"/>
            </w:pPr>
            <w:r>
              <w:rPr>
                <w:rFonts w:hint="eastAsia"/>
                <w:bCs/>
              </w:rPr>
              <w:t>杨子林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9" w:type="dxa"/>
            <w:vAlign w:val="center"/>
          </w:tcPr>
          <w:p>
            <w:pPr>
              <w:tabs>
                <w:tab w:val="left" w:pos="2395"/>
              </w:tabs>
              <w:ind w:firstLine="0" w:firstLineChars="0"/>
              <w:jc w:val="center"/>
              <w:rPr>
                <w:b/>
                <w:bCs/>
              </w:rPr>
            </w:pPr>
            <w:r>
              <w:rPr>
                <w:b/>
                <w:bCs/>
              </w:rPr>
              <w:t>通讯地址</w:t>
            </w:r>
          </w:p>
        </w:tc>
        <w:tc>
          <w:tcPr>
            <w:tcW w:w="7441" w:type="dxa"/>
            <w:gridSpan w:val="7"/>
            <w:vAlign w:val="center"/>
          </w:tcPr>
          <w:p>
            <w:pPr>
              <w:ind w:firstLine="0" w:firstLineChars="0"/>
              <w:jc w:val="center"/>
            </w:pPr>
            <w:r>
              <w:rPr>
                <w:rFonts w:hint="eastAsia"/>
              </w:rPr>
              <w:t>云南省昆明市宜良县匡远镇瑞星村委会麦冲村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29" w:type="dxa"/>
            <w:vAlign w:val="center"/>
          </w:tcPr>
          <w:p>
            <w:pPr>
              <w:tabs>
                <w:tab w:val="left" w:pos="2395"/>
              </w:tabs>
              <w:ind w:firstLine="0" w:firstLineChars="0"/>
              <w:jc w:val="center"/>
              <w:rPr>
                <w:b/>
                <w:bCs/>
              </w:rPr>
            </w:pPr>
            <w:r>
              <w:rPr>
                <w:b/>
                <w:bCs/>
              </w:rPr>
              <w:t>联系电话</w:t>
            </w:r>
          </w:p>
        </w:tc>
        <w:tc>
          <w:tcPr>
            <w:tcW w:w="1551" w:type="dxa"/>
            <w:vAlign w:val="center"/>
          </w:tcPr>
          <w:p>
            <w:pPr>
              <w:ind w:firstLine="0" w:firstLineChars="0"/>
              <w:jc w:val="both"/>
              <w:rPr>
                <w:rFonts w:hint="default" w:eastAsia="宋体"/>
                <w:lang w:val="en-US" w:eastAsia="zh-CN"/>
              </w:rPr>
            </w:pPr>
            <w:r>
              <w:rPr>
                <w:rFonts w:hint="eastAsia"/>
              </w:rPr>
              <w:t>13</w:t>
            </w:r>
            <w:r>
              <w:rPr>
                <w:rFonts w:hint="eastAsia"/>
                <w:lang w:val="en-US" w:eastAsia="zh-CN"/>
              </w:rPr>
              <w:t>908878506</w:t>
            </w:r>
          </w:p>
        </w:tc>
        <w:tc>
          <w:tcPr>
            <w:tcW w:w="1555" w:type="dxa"/>
            <w:vAlign w:val="center"/>
          </w:tcPr>
          <w:p>
            <w:pPr>
              <w:tabs>
                <w:tab w:val="left" w:pos="2395"/>
              </w:tabs>
              <w:ind w:firstLine="0" w:firstLineChars="0"/>
              <w:jc w:val="center"/>
              <w:rPr>
                <w:bCs/>
              </w:rPr>
            </w:pPr>
            <w:r>
              <w:rPr>
                <w:bCs/>
              </w:rPr>
              <w:t>传真</w:t>
            </w:r>
          </w:p>
        </w:tc>
        <w:tc>
          <w:tcPr>
            <w:tcW w:w="1635" w:type="dxa"/>
            <w:gridSpan w:val="2"/>
            <w:vAlign w:val="center"/>
          </w:tcPr>
          <w:p>
            <w:pPr>
              <w:ind w:firstLine="0" w:firstLineChars="0"/>
              <w:jc w:val="center"/>
            </w:pPr>
            <w:r>
              <w:t>/</w:t>
            </w:r>
          </w:p>
        </w:tc>
        <w:tc>
          <w:tcPr>
            <w:tcW w:w="1509" w:type="dxa"/>
            <w:vAlign w:val="center"/>
          </w:tcPr>
          <w:p>
            <w:pPr>
              <w:ind w:firstLine="0" w:firstLineChars="0"/>
            </w:pPr>
            <w:r>
              <w:rPr>
                <w:bCs/>
              </w:rPr>
              <w:t>邮政编码</w:t>
            </w:r>
          </w:p>
        </w:tc>
        <w:tc>
          <w:tcPr>
            <w:tcW w:w="1191" w:type="dxa"/>
            <w:gridSpan w:val="2"/>
            <w:vAlign w:val="center"/>
          </w:tcPr>
          <w:p>
            <w:pPr>
              <w:ind w:firstLine="0" w:firstLineChars="0"/>
              <w:jc w:val="center"/>
            </w:pPr>
            <w:r>
              <w:rPr>
                <w:rFonts w:hint="eastAsia"/>
              </w:rPr>
              <w:t>652100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29" w:type="dxa"/>
            <w:vAlign w:val="center"/>
          </w:tcPr>
          <w:p>
            <w:pPr>
              <w:tabs>
                <w:tab w:val="left" w:pos="2395"/>
              </w:tabs>
              <w:ind w:firstLine="0" w:firstLineChars="0"/>
              <w:jc w:val="center"/>
              <w:rPr>
                <w:b/>
                <w:bCs/>
              </w:rPr>
            </w:pPr>
            <w:r>
              <w:rPr>
                <w:b/>
                <w:bCs/>
              </w:rPr>
              <w:t>建设地点</w:t>
            </w:r>
          </w:p>
        </w:tc>
        <w:tc>
          <w:tcPr>
            <w:tcW w:w="7441" w:type="dxa"/>
            <w:gridSpan w:val="7"/>
            <w:vAlign w:val="center"/>
          </w:tcPr>
          <w:p>
            <w:pPr>
              <w:ind w:firstLine="0" w:firstLineChars="0"/>
              <w:jc w:val="center"/>
            </w:pPr>
            <w:r>
              <w:rPr>
                <w:rFonts w:hint="eastAsia"/>
              </w:rPr>
              <w:t>云南省昆明市宜良县匡远镇瑞星村委会麦冲村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9" w:type="dxa"/>
            <w:vAlign w:val="center"/>
          </w:tcPr>
          <w:p>
            <w:pPr>
              <w:tabs>
                <w:tab w:val="left" w:pos="2395"/>
              </w:tabs>
              <w:ind w:firstLine="0" w:firstLineChars="0"/>
              <w:jc w:val="center"/>
              <w:rPr>
                <w:b/>
                <w:bCs/>
              </w:rPr>
            </w:pPr>
            <w:r>
              <w:rPr>
                <w:b/>
                <w:bCs/>
              </w:rPr>
              <w:t>建设性质</w:t>
            </w:r>
          </w:p>
        </w:tc>
        <w:tc>
          <w:tcPr>
            <w:tcW w:w="3106" w:type="dxa"/>
            <w:gridSpan w:val="2"/>
            <w:vAlign w:val="center"/>
          </w:tcPr>
          <w:p>
            <w:pPr>
              <w:ind w:firstLine="0" w:firstLineChars="0"/>
              <w:jc w:val="center"/>
            </w:pPr>
            <w:r>
              <w:t>新建</w:t>
            </w:r>
            <w:r>
              <w:rPr/>
              <w:sym w:font="Wingdings 2" w:char="0052"/>
            </w:r>
            <w:r>
              <w:t xml:space="preserve"> 改扩建</w:t>
            </w:r>
            <w:r>
              <w:rPr/>
              <w:sym w:font="Wingdings 2" w:char="00A3"/>
            </w:r>
            <w:r>
              <w:t xml:space="preserve"> 技改□</w:t>
            </w:r>
          </w:p>
        </w:tc>
        <w:tc>
          <w:tcPr>
            <w:tcW w:w="1415" w:type="dxa"/>
            <w:vAlign w:val="center"/>
          </w:tcPr>
          <w:p>
            <w:pPr>
              <w:tabs>
                <w:tab w:val="left" w:pos="2395"/>
              </w:tabs>
              <w:ind w:firstLine="0" w:firstLineChars="0"/>
              <w:jc w:val="center"/>
              <w:rPr>
                <w:b/>
                <w:bCs/>
              </w:rPr>
            </w:pPr>
            <w:r>
              <w:rPr>
                <w:b/>
                <w:bCs/>
              </w:rPr>
              <w:t>行业类别代码</w:t>
            </w:r>
          </w:p>
        </w:tc>
        <w:tc>
          <w:tcPr>
            <w:tcW w:w="2920" w:type="dxa"/>
            <w:gridSpan w:val="4"/>
            <w:vAlign w:val="center"/>
          </w:tcPr>
          <w:p>
            <w:pPr>
              <w:tabs>
                <w:tab w:val="left" w:pos="2395"/>
              </w:tabs>
              <w:ind w:firstLine="0" w:firstLineChars="0"/>
              <w:jc w:val="center"/>
              <w:rPr>
                <w:bCs/>
              </w:rPr>
            </w:pPr>
            <w:r>
              <w:rPr>
                <w:rFonts w:hint="eastAsia"/>
              </w:rPr>
              <w:t>C3099其他非金属矿物制品制造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9" w:type="dxa"/>
            <w:vAlign w:val="center"/>
          </w:tcPr>
          <w:p>
            <w:pPr>
              <w:tabs>
                <w:tab w:val="left" w:pos="2395"/>
              </w:tabs>
              <w:ind w:firstLine="0" w:firstLineChars="0"/>
              <w:jc w:val="center"/>
              <w:rPr>
                <w:b/>
                <w:bCs/>
              </w:rPr>
            </w:pPr>
            <w:r>
              <w:rPr>
                <w:b/>
                <w:bCs/>
              </w:rPr>
              <w:t>立项审批部门</w:t>
            </w:r>
          </w:p>
        </w:tc>
        <w:tc>
          <w:tcPr>
            <w:tcW w:w="3106" w:type="dxa"/>
            <w:gridSpan w:val="2"/>
            <w:vAlign w:val="center"/>
          </w:tcPr>
          <w:p>
            <w:pPr>
              <w:ind w:firstLine="0" w:firstLineChars="0"/>
              <w:jc w:val="center"/>
            </w:pPr>
            <w:r>
              <w:rPr>
                <w:rFonts w:hint="eastAsia"/>
              </w:rPr>
              <w:t>宜良县发展和改革局</w:t>
            </w:r>
          </w:p>
        </w:tc>
        <w:tc>
          <w:tcPr>
            <w:tcW w:w="1415" w:type="dxa"/>
            <w:vAlign w:val="center"/>
          </w:tcPr>
          <w:p>
            <w:pPr>
              <w:tabs>
                <w:tab w:val="left" w:pos="2395"/>
              </w:tabs>
              <w:ind w:firstLine="0" w:firstLineChars="0"/>
              <w:jc w:val="center"/>
              <w:rPr>
                <w:b/>
                <w:bCs/>
              </w:rPr>
            </w:pPr>
            <w:r>
              <w:rPr>
                <w:b/>
                <w:bCs/>
              </w:rPr>
              <w:t>项目代码</w:t>
            </w:r>
          </w:p>
        </w:tc>
        <w:tc>
          <w:tcPr>
            <w:tcW w:w="2920" w:type="dxa"/>
            <w:gridSpan w:val="4"/>
            <w:vAlign w:val="center"/>
          </w:tcPr>
          <w:p>
            <w:pPr>
              <w:widowControl/>
              <w:spacing w:line="240" w:lineRule="auto"/>
              <w:ind w:firstLine="0" w:firstLineChars="0"/>
              <w:jc w:val="center"/>
            </w:pPr>
            <w:r>
              <w:rPr>
                <w:rFonts w:hint="eastAsia" w:eastAsia="微软雅黑"/>
                <w:color w:val="494848"/>
                <w:shd w:val="clear" w:color="auto" w:fill="FFFFFF"/>
              </w:rPr>
              <w:t>2020-530125-30-03-007612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9" w:type="dxa"/>
            <w:vAlign w:val="center"/>
          </w:tcPr>
          <w:p>
            <w:pPr>
              <w:tabs>
                <w:tab w:val="left" w:pos="2395"/>
              </w:tabs>
              <w:ind w:firstLine="0" w:firstLineChars="0"/>
              <w:jc w:val="center"/>
              <w:rPr>
                <w:b/>
                <w:bCs/>
              </w:rPr>
            </w:pPr>
            <w:r>
              <w:rPr>
                <w:b/>
                <w:bCs/>
              </w:rPr>
              <w:t>占地面积</w:t>
            </w:r>
          </w:p>
          <w:p>
            <w:pPr>
              <w:tabs>
                <w:tab w:val="left" w:pos="2395"/>
              </w:tabs>
              <w:ind w:firstLine="0" w:firstLineChars="0"/>
              <w:jc w:val="center"/>
              <w:rPr>
                <w:b/>
                <w:bCs/>
              </w:rPr>
            </w:pPr>
            <w:r>
              <w:rPr>
                <w:b/>
                <w:bCs/>
              </w:rPr>
              <w:t>（平方米）</w:t>
            </w:r>
          </w:p>
        </w:tc>
        <w:tc>
          <w:tcPr>
            <w:tcW w:w="3106" w:type="dxa"/>
            <w:gridSpan w:val="2"/>
            <w:vAlign w:val="center"/>
          </w:tcPr>
          <w:p>
            <w:pPr>
              <w:ind w:firstLine="0" w:firstLineChars="0"/>
              <w:jc w:val="center"/>
              <w:rPr>
                <w:bCs/>
              </w:rPr>
            </w:pPr>
            <w:r>
              <w:rPr>
                <w:rFonts w:hint="eastAsia"/>
                <w:bCs/>
              </w:rPr>
              <w:t>2150</w:t>
            </w:r>
          </w:p>
        </w:tc>
        <w:tc>
          <w:tcPr>
            <w:tcW w:w="1415" w:type="dxa"/>
            <w:vAlign w:val="center"/>
          </w:tcPr>
          <w:p>
            <w:pPr>
              <w:tabs>
                <w:tab w:val="left" w:pos="2395"/>
              </w:tabs>
              <w:ind w:firstLine="0" w:firstLineChars="0"/>
              <w:jc w:val="center"/>
              <w:rPr>
                <w:b/>
                <w:bCs/>
              </w:rPr>
            </w:pPr>
            <w:r>
              <w:rPr>
                <w:b/>
                <w:bCs/>
              </w:rPr>
              <w:t>绿化面积</w:t>
            </w:r>
          </w:p>
          <w:p>
            <w:pPr>
              <w:tabs>
                <w:tab w:val="left" w:pos="2395"/>
              </w:tabs>
              <w:ind w:firstLine="0" w:firstLineChars="0"/>
              <w:jc w:val="center"/>
              <w:rPr>
                <w:b/>
                <w:bCs/>
              </w:rPr>
            </w:pPr>
            <w:r>
              <w:rPr>
                <w:b/>
                <w:bCs/>
              </w:rPr>
              <w:t>（平方米）</w:t>
            </w:r>
          </w:p>
        </w:tc>
        <w:tc>
          <w:tcPr>
            <w:tcW w:w="2920" w:type="dxa"/>
            <w:gridSpan w:val="4"/>
            <w:vAlign w:val="center"/>
          </w:tcPr>
          <w:p>
            <w:pPr>
              <w:ind w:firstLine="0" w:firstLineChars="0"/>
              <w:jc w:val="center"/>
            </w:pPr>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9" w:type="dxa"/>
            <w:vAlign w:val="center"/>
          </w:tcPr>
          <w:p>
            <w:pPr>
              <w:tabs>
                <w:tab w:val="left" w:pos="2395"/>
              </w:tabs>
              <w:ind w:firstLine="0" w:firstLineChars="0"/>
              <w:jc w:val="center"/>
              <w:rPr>
                <w:b/>
                <w:bCs/>
              </w:rPr>
            </w:pPr>
            <w:r>
              <w:rPr>
                <w:b/>
                <w:bCs/>
              </w:rPr>
              <w:t>总投资（万元）</w:t>
            </w:r>
          </w:p>
        </w:tc>
        <w:tc>
          <w:tcPr>
            <w:tcW w:w="1551" w:type="dxa"/>
            <w:vAlign w:val="center"/>
          </w:tcPr>
          <w:p>
            <w:pPr>
              <w:ind w:firstLine="0" w:firstLineChars="0"/>
              <w:jc w:val="center"/>
            </w:pPr>
            <w:r>
              <w:rPr>
                <w:rFonts w:hint="eastAsia"/>
              </w:rPr>
              <w:t>30</w:t>
            </w:r>
          </w:p>
        </w:tc>
        <w:tc>
          <w:tcPr>
            <w:tcW w:w="1555" w:type="dxa"/>
            <w:vAlign w:val="center"/>
          </w:tcPr>
          <w:p>
            <w:pPr>
              <w:tabs>
                <w:tab w:val="left" w:pos="2395"/>
              </w:tabs>
              <w:ind w:firstLine="0" w:firstLineChars="0"/>
              <w:jc w:val="center"/>
              <w:rPr>
                <w:b/>
                <w:bCs/>
              </w:rPr>
            </w:pPr>
            <w:r>
              <w:rPr>
                <w:b/>
                <w:bCs/>
              </w:rPr>
              <w:t>其中：环保投资（万元）</w:t>
            </w:r>
          </w:p>
        </w:tc>
        <w:tc>
          <w:tcPr>
            <w:tcW w:w="1415" w:type="dxa"/>
            <w:vAlign w:val="center"/>
          </w:tcPr>
          <w:p>
            <w:pPr>
              <w:tabs>
                <w:tab w:val="left" w:pos="2395"/>
              </w:tabs>
              <w:ind w:firstLine="0" w:firstLineChars="0"/>
              <w:jc w:val="center"/>
              <w:rPr>
                <w:bCs/>
              </w:rPr>
            </w:pPr>
            <w:r>
              <w:rPr>
                <w:rFonts w:hint="eastAsia"/>
                <w:szCs w:val="32"/>
                <w:lang w:val="en-US" w:eastAsia="zh-CN"/>
              </w:rPr>
              <w:t>11.535</w:t>
            </w:r>
          </w:p>
        </w:tc>
        <w:tc>
          <w:tcPr>
            <w:tcW w:w="1935" w:type="dxa"/>
            <w:gridSpan w:val="3"/>
            <w:vAlign w:val="center"/>
          </w:tcPr>
          <w:p>
            <w:pPr>
              <w:ind w:firstLine="0" w:firstLineChars="0"/>
              <w:jc w:val="center"/>
              <w:rPr>
                <w:b/>
              </w:rPr>
            </w:pPr>
            <w:r>
              <w:rPr>
                <w:b/>
                <w:bCs/>
              </w:rPr>
              <w:t>环保投资占总投资比例（%）</w:t>
            </w:r>
          </w:p>
        </w:tc>
        <w:tc>
          <w:tcPr>
            <w:tcW w:w="985" w:type="dxa"/>
            <w:vAlign w:val="center"/>
          </w:tcPr>
          <w:p>
            <w:pPr>
              <w:ind w:firstLine="0" w:firstLineChars="0"/>
              <w:jc w:val="center"/>
              <w:rPr>
                <w:rFonts w:hint="default" w:eastAsia="宋体"/>
                <w:lang w:val="en-US" w:eastAsia="zh-CN"/>
              </w:rPr>
            </w:pPr>
            <w:r>
              <w:rPr>
                <w:rFonts w:hint="eastAsia"/>
                <w:lang w:val="en-US" w:eastAsia="zh-CN"/>
              </w:rPr>
              <w:t>38.45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29" w:type="dxa"/>
            <w:vAlign w:val="center"/>
          </w:tcPr>
          <w:p>
            <w:pPr>
              <w:tabs>
                <w:tab w:val="left" w:pos="2395"/>
              </w:tabs>
              <w:ind w:firstLine="0" w:firstLineChars="0"/>
              <w:jc w:val="center"/>
              <w:rPr>
                <w:b/>
                <w:bCs/>
              </w:rPr>
            </w:pPr>
            <w:r>
              <w:rPr>
                <w:b/>
                <w:bCs/>
              </w:rPr>
              <w:t>评价经费（万元）</w:t>
            </w:r>
          </w:p>
        </w:tc>
        <w:tc>
          <w:tcPr>
            <w:tcW w:w="1551" w:type="dxa"/>
            <w:vAlign w:val="center"/>
          </w:tcPr>
          <w:p>
            <w:pPr>
              <w:tabs>
                <w:tab w:val="left" w:pos="2395"/>
              </w:tabs>
              <w:ind w:firstLine="0" w:firstLineChars="0"/>
              <w:jc w:val="center"/>
              <w:rPr>
                <w:bCs/>
              </w:rPr>
            </w:pPr>
            <w:r>
              <w:rPr>
                <w:rFonts w:hint="eastAsia"/>
                <w:bCs/>
              </w:rPr>
              <w:t>2.5</w:t>
            </w:r>
          </w:p>
        </w:tc>
        <w:tc>
          <w:tcPr>
            <w:tcW w:w="2970" w:type="dxa"/>
            <w:gridSpan w:val="2"/>
            <w:vAlign w:val="center"/>
          </w:tcPr>
          <w:p>
            <w:pPr>
              <w:ind w:firstLine="0" w:firstLineChars="0"/>
              <w:jc w:val="center"/>
              <w:rPr>
                <w:b/>
              </w:rPr>
            </w:pPr>
            <w:r>
              <w:rPr>
                <w:b/>
                <w:bCs/>
              </w:rPr>
              <w:t>投产日期</w:t>
            </w:r>
          </w:p>
        </w:tc>
        <w:tc>
          <w:tcPr>
            <w:tcW w:w="2920" w:type="dxa"/>
            <w:gridSpan w:val="4"/>
            <w:vAlign w:val="center"/>
          </w:tcPr>
          <w:p>
            <w:pPr>
              <w:ind w:firstLine="0" w:firstLineChars="0"/>
              <w:jc w:val="center"/>
            </w:pPr>
            <w:r>
              <w:t>202</w:t>
            </w:r>
            <w:r>
              <w:rPr>
                <w:rFonts w:hint="eastAsia"/>
              </w:rPr>
              <w:t>1</w:t>
            </w:r>
            <w:r>
              <w:t>年</w:t>
            </w:r>
            <w:r>
              <w:rPr>
                <w:rFonts w:hint="eastAsia"/>
              </w:rPr>
              <w:t>5</w:t>
            </w:r>
            <w: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70" w:type="dxa"/>
            <w:gridSpan w:val="8"/>
            <w:vAlign w:val="center"/>
          </w:tcPr>
          <w:p>
            <w:pPr>
              <w:ind w:firstLine="0" w:firstLineChars="0"/>
              <w:jc w:val="left"/>
              <w:rPr>
                <w:b/>
                <w:bCs/>
                <w:sz w:val="28"/>
                <w:szCs w:val="28"/>
              </w:rPr>
            </w:pPr>
            <w:r>
              <w:rPr>
                <w:b/>
                <w:bCs/>
                <w:sz w:val="28"/>
                <w:szCs w:val="28"/>
              </w:rPr>
              <w:t>1</w:t>
            </w:r>
            <w:r>
              <w:rPr>
                <w:rFonts w:hint="eastAsia"/>
                <w:b/>
                <w:bCs/>
                <w:sz w:val="28"/>
                <w:szCs w:val="28"/>
              </w:rPr>
              <w:t>.1</w:t>
            </w:r>
            <w:r>
              <w:rPr>
                <w:b/>
                <w:bCs/>
                <w:sz w:val="28"/>
                <w:szCs w:val="28"/>
              </w:rPr>
              <w:t>项目由来</w:t>
            </w:r>
          </w:p>
          <w:p>
            <w:pPr>
              <w:ind w:firstLine="480"/>
              <w:rPr>
                <w:color w:val="auto"/>
              </w:rPr>
            </w:pPr>
            <w:r>
              <w:rPr>
                <w:rFonts w:hint="eastAsia"/>
              </w:rPr>
              <w:t>宜良县益林石材厂</w:t>
            </w:r>
            <w:r>
              <w:t>位于</w:t>
            </w:r>
            <w:r>
              <w:rPr>
                <w:rFonts w:hint="eastAsia"/>
              </w:rPr>
              <w:t>云南省昆明市宜良县匡远镇瑞星村委会麦冲村</w:t>
            </w:r>
            <w:r>
              <w:t>，公司</w:t>
            </w:r>
            <w:r>
              <w:rPr>
                <w:rFonts w:hint="eastAsia"/>
              </w:rPr>
              <w:t>成立于2010年5月5日，是一家从事石材加工与经营的企业。2010年</w:t>
            </w:r>
            <w:r>
              <w:rPr>
                <w:rFonts w:hint="eastAsia"/>
                <w:lang w:eastAsia="zh-CN"/>
              </w:rPr>
              <w:t>公司</w:t>
            </w:r>
            <w:r>
              <w:rPr>
                <w:rFonts w:hint="eastAsia"/>
              </w:rPr>
              <w:t>租用宜良县匡远镇瑞星村委会麦冲村小组荒地作为生产场地，</w:t>
            </w:r>
            <w:r>
              <w:rPr>
                <w:rFonts w:hint="eastAsia"/>
                <w:lang w:eastAsia="zh-CN"/>
              </w:rPr>
              <w:t>总占地面积为</w:t>
            </w:r>
            <w:r>
              <w:rPr>
                <w:rFonts w:hint="eastAsia"/>
                <w:lang w:val="en-US" w:eastAsia="zh-CN"/>
              </w:rPr>
              <w:t>4666.2</w:t>
            </w:r>
            <w:r>
              <w:rPr>
                <w:rFonts w:hint="eastAsia"/>
              </w:rPr>
              <w:t>m</w:t>
            </w:r>
            <w:r>
              <w:rPr>
                <w:rFonts w:hint="eastAsia"/>
                <w:vertAlign w:val="superscript"/>
              </w:rPr>
              <w:t>2</w:t>
            </w:r>
            <w:r>
              <w:rPr>
                <w:rFonts w:hint="eastAsia"/>
                <w:vertAlign w:val="baseline"/>
                <w:lang w:eastAsia="zh-CN"/>
              </w:rPr>
              <w:t>（约</w:t>
            </w:r>
            <w:r>
              <w:rPr>
                <w:rFonts w:hint="eastAsia"/>
                <w:vertAlign w:val="baseline"/>
                <w:lang w:val="en-US" w:eastAsia="zh-CN"/>
              </w:rPr>
              <w:t>7亩</w:t>
            </w:r>
            <w:r>
              <w:rPr>
                <w:rFonts w:hint="eastAsia"/>
                <w:vertAlign w:val="baseline"/>
                <w:lang w:eastAsia="zh-CN"/>
              </w:rPr>
              <w:t>），</w:t>
            </w:r>
            <w:r>
              <w:rPr>
                <w:rFonts w:hint="eastAsia"/>
              </w:rPr>
              <w:t>目前建有一条石材加工生产</w:t>
            </w:r>
            <w:r>
              <w:rPr>
                <w:rFonts w:hint="eastAsia"/>
                <w:lang w:eastAsia="zh-CN"/>
              </w:rPr>
              <w:t>线</w:t>
            </w:r>
            <w:r>
              <w:rPr>
                <w:rFonts w:hint="eastAsia"/>
              </w:rPr>
              <w:t>在正常运行中</w:t>
            </w:r>
            <w:r>
              <w:rPr>
                <w:rFonts w:hint="eastAsia"/>
                <w:color w:val="auto"/>
              </w:rPr>
              <w:t>，该石材加工项目占地2500m</w:t>
            </w:r>
            <w:r>
              <w:rPr>
                <w:rFonts w:hint="eastAsia"/>
                <w:color w:val="auto"/>
                <w:vertAlign w:val="superscript"/>
              </w:rPr>
              <w:t>2</w:t>
            </w:r>
            <w:r>
              <w:rPr>
                <w:rFonts w:hint="eastAsia"/>
                <w:color w:val="auto"/>
              </w:rPr>
              <w:t>，年加工石材3000m</w:t>
            </w:r>
            <w:r>
              <w:rPr>
                <w:rFonts w:hint="eastAsia"/>
                <w:color w:val="auto"/>
                <w:vertAlign w:val="superscript"/>
              </w:rPr>
              <w:t>3</w:t>
            </w:r>
            <w:r>
              <w:rPr>
                <w:rFonts w:hint="eastAsia"/>
                <w:color w:val="auto"/>
                <w:vertAlign w:val="baseline"/>
                <w:lang w:eastAsia="zh-CN"/>
              </w:rPr>
              <w:t>，</w:t>
            </w:r>
            <w:r>
              <w:rPr>
                <w:rFonts w:hint="eastAsia"/>
                <w:color w:val="auto"/>
              </w:rPr>
              <w:t>已于2010年5月</w:t>
            </w:r>
            <w:r>
              <w:rPr>
                <w:rFonts w:hint="eastAsia"/>
                <w:color w:val="auto"/>
                <w:lang w:val="en-US" w:eastAsia="zh-CN"/>
              </w:rPr>
              <w:t>5日</w:t>
            </w:r>
            <w:r>
              <w:rPr>
                <w:rFonts w:hint="eastAsia"/>
                <w:color w:val="auto"/>
              </w:rPr>
              <w:t>办理《宜良县益林石材建设项目环境影响登记表》</w:t>
            </w:r>
            <w:r>
              <w:rPr>
                <w:rFonts w:hint="eastAsia"/>
                <w:color w:val="auto"/>
                <w:lang w:eastAsia="zh-CN"/>
              </w:rPr>
              <w:t>（见</w:t>
            </w:r>
            <w:r>
              <w:rPr>
                <w:rFonts w:hint="eastAsia"/>
                <w:b/>
                <w:bCs/>
                <w:color w:val="auto"/>
                <w:u w:val="single"/>
                <w:lang w:eastAsia="zh-CN"/>
              </w:rPr>
              <w:t>附件</w:t>
            </w:r>
            <w:r>
              <w:rPr>
                <w:rFonts w:hint="eastAsia"/>
                <w:b/>
                <w:bCs/>
                <w:color w:val="auto"/>
                <w:u w:val="single"/>
                <w:lang w:val="en-US" w:eastAsia="zh-CN"/>
              </w:rPr>
              <w:t>4</w:t>
            </w:r>
            <w:r>
              <w:rPr>
                <w:rFonts w:hint="eastAsia"/>
                <w:color w:val="auto"/>
                <w:lang w:eastAsia="zh-CN"/>
              </w:rPr>
              <w:t>）</w:t>
            </w:r>
            <w:r>
              <w:rPr>
                <w:rFonts w:hint="eastAsia"/>
                <w:color w:val="auto"/>
              </w:rPr>
              <w:t>并取得环评批复（宜环保【2010】76号，见</w:t>
            </w:r>
            <w:r>
              <w:rPr>
                <w:rFonts w:hint="eastAsia"/>
                <w:b/>
                <w:bCs/>
                <w:color w:val="auto"/>
                <w:u w:val="single"/>
              </w:rPr>
              <w:t>附件3</w:t>
            </w:r>
            <w:r>
              <w:rPr>
                <w:rFonts w:hint="eastAsia"/>
                <w:color w:val="auto"/>
              </w:rPr>
              <w:t>）。</w:t>
            </w:r>
          </w:p>
          <w:p>
            <w:pPr>
              <w:ind w:firstLine="480"/>
              <w:rPr>
                <w:color w:val="auto"/>
                <w:kern w:val="0"/>
                <w:highlight w:val="none"/>
              </w:rPr>
            </w:pPr>
            <w:r>
              <w:rPr>
                <w:rFonts w:hint="eastAsia"/>
                <w:color w:val="auto"/>
                <w:lang w:eastAsia="zh-CN"/>
              </w:rPr>
              <w:t>根据现场踏勘，</w:t>
            </w:r>
            <w:r>
              <w:rPr>
                <w:rFonts w:hint="eastAsia"/>
                <w:color w:val="auto"/>
              </w:rPr>
              <w:t>石材厂原有石材加工项目生产过程中会产生废弃的边角料，堆存于厂区废料堆场，作为周围农户修路、打地基的材料，由于需求量较少，导致废石料长期堆存于厂区占用场地</w:t>
            </w:r>
            <w:r>
              <w:rPr>
                <w:rFonts w:hint="eastAsia"/>
                <w:color w:val="auto"/>
                <w:lang w:eastAsia="zh-CN"/>
              </w:rPr>
              <w:t>。</w:t>
            </w:r>
            <w:r>
              <w:rPr>
                <w:rFonts w:hint="eastAsia"/>
                <w:color w:val="auto"/>
              </w:rPr>
              <w:t>为解决石材厂石材加工项目产生的废弃边角料，建设单位利用现有预留场地新建“宜良县益林石材厂废料加工利用项目”</w:t>
            </w:r>
            <w:r>
              <w:rPr>
                <w:rFonts w:hint="eastAsia"/>
                <w:color w:val="auto"/>
                <w:lang w:eastAsia="zh-CN"/>
              </w:rPr>
              <w:t>。项目仅</w:t>
            </w:r>
            <w:r>
              <w:rPr>
                <w:rFonts w:hint="eastAsia"/>
                <w:color w:val="auto"/>
                <w:highlight w:val="none"/>
              </w:rPr>
              <w:t>将废弃边角料作为原料</w:t>
            </w:r>
            <w:r>
              <w:rPr>
                <w:rFonts w:hint="eastAsia"/>
                <w:color w:val="auto"/>
                <w:highlight w:val="none"/>
                <w:lang w:eastAsia="zh-CN"/>
              </w:rPr>
              <w:t>进行破碎</w:t>
            </w:r>
            <w:r>
              <w:rPr>
                <w:rFonts w:hint="eastAsia"/>
                <w:color w:val="auto"/>
                <w:highlight w:val="none"/>
              </w:rPr>
              <w:t>生产</w:t>
            </w:r>
            <w:r>
              <w:rPr>
                <w:rFonts w:hint="eastAsia"/>
                <w:color w:val="auto"/>
                <w:highlight w:val="none"/>
                <w:lang w:eastAsia="zh-CN"/>
              </w:rPr>
              <w:t>细石料</w:t>
            </w:r>
            <w:r>
              <w:rPr>
                <w:rFonts w:hint="eastAsia"/>
                <w:color w:val="auto"/>
                <w:highlight w:val="none"/>
              </w:rPr>
              <w:t>并售卖，</w:t>
            </w:r>
            <w:r>
              <w:rPr>
                <w:rFonts w:hint="eastAsia"/>
                <w:color w:val="auto"/>
                <w:highlight w:val="none"/>
                <w:lang w:eastAsia="zh-CN"/>
              </w:rPr>
              <w:t>不另外开采石料，石材加工项目废弃边角料年产生量为</w:t>
            </w:r>
            <w:r>
              <w:rPr>
                <w:rFonts w:hint="eastAsia"/>
                <w:color w:val="auto"/>
                <w:highlight w:val="none"/>
                <w:lang w:val="en-US" w:eastAsia="zh-CN"/>
              </w:rPr>
              <w:t>1800t，则本项目</w:t>
            </w:r>
            <w:r>
              <w:rPr>
                <w:rFonts w:hint="eastAsia"/>
                <w:color w:val="auto"/>
                <w:highlight w:val="none"/>
              </w:rPr>
              <w:t>年生产</w:t>
            </w:r>
            <w:r>
              <w:rPr>
                <w:rFonts w:hint="eastAsia"/>
                <w:color w:val="auto"/>
                <w:highlight w:val="none"/>
                <w:lang w:eastAsia="zh-CN"/>
              </w:rPr>
              <w:t>细石料</w:t>
            </w:r>
            <w:r>
              <w:rPr>
                <w:rFonts w:hint="eastAsia"/>
                <w:color w:val="auto"/>
                <w:highlight w:val="none"/>
              </w:rPr>
              <w:t>1800t，</w:t>
            </w:r>
            <w:r>
              <w:rPr>
                <w:rFonts w:hint="eastAsia"/>
                <w:color w:val="auto"/>
                <w:kern w:val="0"/>
                <w:highlight w:val="none"/>
              </w:rPr>
              <w:t>总</w:t>
            </w:r>
            <w:r>
              <w:rPr>
                <w:color w:val="auto"/>
                <w:highlight w:val="none"/>
              </w:rPr>
              <w:t>投资</w:t>
            </w:r>
            <w:r>
              <w:rPr>
                <w:rFonts w:hint="eastAsia"/>
                <w:color w:val="auto"/>
                <w:highlight w:val="none"/>
              </w:rPr>
              <w:t>30</w:t>
            </w:r>
            <w:r>
              <w:rPr>
                <w:color w:val="auto"/>
                <w:highlight w:val="none"/>
              </w:rPr>
              <w:t>万元</w:t>
            </w:r>
            <w:r>
              <w:rPr>
                <w:rFonts w:hint="eastAsia"/>
                <w:color w:val="auto"/>
                <w:highlight w:val="none"/>
              </w:rPr>
              <w:t>。</w:t>
            </w:r>
          </w:p>
          <w:p>
            <w:pPr>
              <w:snapToGrid w:val="0"/>
              <w:ind w:firstLine="480"/>
            </w:pPr>
            <w:r>
              <w:rPr>
                <w:kern w:val="0"/>
              </w:rPr>
              <w:t>根据《中华人民共和国环境影响评价法》(中华人民共和国主席令第48号)、《建设项目环境保护管理条例》(中华人民共和国国务院令第682号)、</w:t>
            </w:r>
            <w:r>
              <w:t>《建设项目环境影响评价分类管理名录》（环境保护部令第44号）和部令第1号《建设项目环境影响评价</w:t>
            </w:r>
            <w:r>
              <w:rPr>
                <w:rFonts w:hint="eastAsia" w:asciiTheme="majorEastAsia" w:hAnsiTheme="majorEastAsia" w:eastAsiaTheme="majorEastAsia" w:cstheme="majorEastAsia"/>
              </w:rPr>
              <w:t>分类管理名录》修改单，该项目属于</w:t>
            </w:r>
            <w:r>
              <w:rPr>
                <w:rFonts w:hint="eastAsia"/>
                <w:kern w:val="1"/>
              </w:rPr>
              <w:t>“</w:t>
            </w:r>
            <w:r>
              <w:rPr>
                <w:rFonts w:hint="eastAsia"/>
                <w:kern w:val="1"/>
                <w:lang w:eastAsia="zh-CN"/>
              </w:rPr>
              <w:t>二十七</w:t>
            </w:r>
            <w:r>
              <w:rPr>
                <w:rFonts w:hint="eastAsia"/>
                <w:kern w:val="1"/>
              </w:rPr>
              <w:t>、非金属矿物制造业”中的第</w:t>
            </w:r>
            <w:r>
              <w:rPr>
                <w:rFonts w:hint="eastAsia"/>
                <w:kern w:val="1"/>
                <w:lang w:val="en-US" w:eastAsia="zh-CN"/>
              </w:rPr>
              <w:t>60</w:t>
            </w:r>
            <w:r>
              <w:rPr>
                <w:rFonts w:hint="eastAsia"/>
                <w:kern w:val="1"/>
              </w:rPr>
              <w:t>项</w:t>
            </w:r>
            <w:r>
              <w:rPr>
                <w:rFonts w:hint="eastAsia" w:asciiTheme="majorEastAsia" w:hAnsiTheme="majorEastAsia" w:eastAsiaTheme="majorEastAsia" w:cstheme="majorEastAsia"/>
              </w:rPr>
              <w:t>“石墨及其他非金属矿物制品制造”，</w:t>
            </w:r>
            <w:r>
              <w:t>应编制环境影响报告表。</w:t>
            </w:r>
            <w:r>
              <w:rPr>
                <w:rFonts w:hint="eastAsia"/>
                <w:color w:val="000000" w:themeColor="text1"/>
              </w:rPr>
              <w:t>2020年11月1日，</w:t>
            </w:r>
            <w:r>
              <w:rPr>
                <w:rFonts w:hint="eastAsia"/>
              </w:rPr>
              <w:t>宜良县益林石材厂</w:t>
            </w:r>
            <w:r>
              <w:rPr>
                <w:rFonts w:hint="eastAsia"/>
                <w:color w:val="000000" w:themeColor="text1"/>
              </w:rPr>
              <w:t>委托云南卓清环保科技有限公司（以下简称“我公司”）对“</w:t>
            </w:r>
            <w:r>
              <w:rPr>
                <w:rFonts w:hint="eastAsia"/>
              </w:rPr>
              <w:t>宜良县益林石材厂废料加工利用项目</w:t>
            </w:r>
            <w:r>
              <w:rPr>
                <w:rFonts w:hint="eastAsia"/>
                <w:color w:val="000000" w:themeColor="text1"/>
              </w:rPr>
              <w:t>”进行环境影响评价工作。</w:t>
            </w:r>
          </w:p>
          <w:p>
            <w:pPr>
              <w:pStyle w:val="8"/>
              <w:widowControl/>
              <w:ind w:firstLine="480"/>
              <w:jc w:val="both"/>
            </w:pPr>
            <w:r>
              <w:t>我公司接受委托后，立即组织有关技术人员进行现场踏勘、资料收集，并在此基础上按照环评相关技术规范要求，编制完成了《</w:t>
            </w:r>
            <w:r>
              <w:rPr>
                <w:rFonts w:hint="eastAsia"/>
              </w:rPr>
              <w:t>宜良县益林石材厂废料加工利用项目</w:t>
            </w:r>
            <w:r>
              <w:t>环境影响报告表》，</w:t>
            </w:r>
            <w:r>
              <w:rPr>
                <w:rFonts w:hint="eastAsia"/>
              </w:rPr>
              <w:t>供建设单位按程序</w:t>
            </w:r>
            <w:r>
              <w:rPr>
                <w:rFonts w:hint="eastAsia"/>
                <w:lang w:eastAsia="zh-CN"/>
              </w:rPr>
              <w:t>审批</w:t>
            </w:r>
            <w:r>
              <w:rPr>
                <w:rFonts w:hint="eastAsia"/>
              </w:rPr>
              <w:t>，作为</w:t>
            </w:r>
            <w:r>
              <w:t>后期环境管理的依据。</w:t>
            </w:r>
          </w:p>
          <w:p>
            <w:pPr>
              <w:tabs>
                <w:tab w:val="left" w:pos="2395"/>
              </w:tabs>
              <w:ind w:firstLine="0" w:firstLineChars="0"/>
              <w:rPr>
                <w:b/>
                <w:bCs/>
                <w:sz w:val="28"/>
                <w:szCs w:val="28"/>
              </w:rPr>
            </w:pPr>
            <w:r>
              <w:rPr>
                <w:rFonts w:hint="eastAsia"/>
                <w:b/>
                <w:bCs/>
                <w:sz w:val="28"/>
                <w:szCs w:val="28"/>
              </w:rPr>
              <w:t>1.</w:t>
            </w:r>
            <w:r>
              <w:rPr>
                <w:b/>
                <w:bCs/>
                <w:sz w:val="28"/>
                <w:szCs w:val="28"/>
              </w:rPr>
              <w:t>2</w:t>
            </w:r>
            <w:r>
              <w:rPr>
                <w:rFonts w:hint="eastAsia"/>
                <w:b/>
                <w:bCs/>
                <w:sz w:val="28"/>
                <w:szCs w:val="28"/>
              </w:rPr>
              <w:t>项目基本情况</w:t>
            </w:r>
          </w:p>
          <w:p>
            <w:pPr>
              <w:ind w:firstLine="482"/>
            </w:pPr>
            <w:r>
              <w:rPr>
                <w:rFonts w:hint="eastAsia"/>
                <w:b/>
                <w:bCs/>
                <w:szCs w:val="32"/>
              </w:rPr>
              <w:t>（1）项目名称</w:t>
            </w:r>
            <w:r>
              <w:rPr>
                <w:rFonts w:hint="eastAsia"/>
                <w:szCs w:val="32"/>
              </w:rPr>
              <w:t>：</w:t>
            </w:r>
            <w:r>
              <w:rPr>
                <w:rFonts w:hint="eastAsia"/>
              </w:rPr>
              <w:t>宜良县益林石材厂废料加工利用项目</w:t>
            </w:r>
          </w:p>
          <w:p>
            <w:pPr>
              <w:ind w:firstLine="482"/>
            </w:pPr>
            <w:r>
              <w:rPr>
                <w:rFonts w:hint="eastAsia"/>
                <w:b/>
                <w:bCs/>
                <w:szCs w:val="32"/>
              </w:rPr>
              <w:t>（2）建设地点：</w:t>
            </w:r>
            <w:r>
              <w:rPr>
                <w:rFonts w:hint="eastAsia"/>
              </w:rPr>
              <w:t>云南省昆明市宜良县匡远镇瑞星村委会麦冲村，中心地理坐标为：东经</w:t>
            </w:r>
            <w:r>
              <w:t>103°</w:t>
            </w:r>
            <w:r>
              <w:rPr>
                <w:rFonts w:hint="eastAsia"/>
              </w:rPr>
              <w:t>13</w:t>
            </w:r>
            <w:r>
              <w:t>′</w:t>
            </w:r>
            <w:r>
              <w:rPr>
                <w:rFonts w:hint="eastAsia"/>
              </w:rPr>
              <w:t>8.58</w:t>
            </w:r>
            <w:r>
              <w:t>″</w:t>
            </w:r>
            <w:r>
              <w:rPr>
                <w:rFonts w:hint="eastAsia"/>
              </w:rPr>
              <w:t xml:space="preserve">，北纬 </w:t>
            </w:r>
            <w:r>
              <w:t>25°</w:t>
            </w:r>
            <w:r>
              <w:rPr>
                <w:rFonts w:hint="eastAsia"/>
              </w:rPr>
              <w:t>51</w:t>
            </w:r>
            <w:r>
              <w:t>′</w:t>
            </w:r>
            <w:r>
              <w:rPr>
                <w:rFonts w:hint="eastAsia"/>
              </w:rPr>
              <w:t>18.94</w:t>
            </w:r>
            <w:r>
              <w:t>″</w:t>
            </w:r>
            <w:r>
              <w:rPr>
                <w:rFonts w:hint="eastAsia"/>
              </w:rPr>
              <w:t>。</w:t>
            </w:r>
          </w:p>
          <w:p>
            <w:pPr>
              <w:ind w:left="480" w:leftChars="200" w:firstLine="0" w:firstLineChars="0"/>
            </w:pPr>
            <w:r>
              <w:rPr>
                <w:rFonts w:hint="eastAsia"/>
                <w:b/>
                <w:bCs/>
                <w:szCs w:val="32"/>
              </w:rPr>
              <w:t>（3）建设单位：</w:t>
            </w:r>
            <w:r>
              <w:rPr>
                <w:rFonts w:hint="eastAsia"/>
              </w:rPr>
              <w:t>宜良县益林石材厂</w:t>
            </w:r>
          </w:p>
          <w:p>
            <w:pPr>
              <w:ind w:firstLine="482"/>
              <w:rPr>
                <w:szCs w:val="32"/>
              </w:rPr>
            </w:pPr>
            <w:r>
              <w:rPr>
                <w:rFonts w:hint="eastAsia"/>
                <w:b/>
                <w:bCs/>
                <w:szCs w:val="32"/>
              </w:rPr>
              <w:t>（4）建设性质：</w:t>
            </w:r>
            <w:r>
              <w:rPr>
                <w:rFonts w:hint="eastAsia"/>
                <w:szCs w:val="32"/>
              </w:rPr>
              <w:t>新建</w:t>
            </w:r>
          </w:p>
          <w:p>
            <w:pPr>
              <w:ind w:firstLine="482"/>
              <w:rPr>
                <w:highlight w:val="none"/>
              </w:rPr>
            </w:pPr>
            <w:r>
              <w:rPr>
                <w:rFonts w:hint="eastAsia"/>
                <w:b/>
                <w:bCs/>
                <w:szCs w:val="32"/>
                <w:highlight w:val="none"/>
              </w:rPr>
              <w:t>（5）总投资：</w:t>
            </w:r>
            <w:r>
              <w:rPr>
                <w:rFonts w:hint="eastAsia"/>
                <w:szCs w:val="32"/>
                <w:highlight w:val="none"/>
              </w:rPr>
              <w:t>30万元，</w:t>
            </w:r>
            <w:r>
              <w:rPr>
                <w:szCs w:val="32"/>
              </w:rPr>
              <w:t>其中环保投资</w:t>
            </w:r>
            <w:r>
              <w:rPr>
                <w:rFonts w:hint="eastAsia"/>
                <w:szCs w:val="32"/>
                <w:lang w:val="en-US" w:eastAsia="zh-CN"/>
              </w:rPr>
              <w:t>11.535</w:t>
            </w:r>
            <w:r>
              <w:rPr>
                <w:szCs w:val="32"/>
              </w:rPr>
              <w:t>元，占总投资的</w:t>
            </w:r>
            <w:r>
              <w:rPr>
                <w:rFonts w:hint="eastAsia"/>
                <w:szCs w:val="32"/>
                <w:lang w:val="en-US" w:eastAsia="zh-CN"/>
              </w:rPr>
              <w:t>38.45</w:t>
            </w:r>
            <w:r>
              <w:rPr>
                <w:szCs w:val="32"/>
              </w:rPr>
              <w:t>%</w:t>
            </w:r>
            <w:r>
              <w:rPr>
                <w:rStyle w:val="26"/>
                <w:rFonts w:hint="eastAsia"/>
                <w:sz w:val="24"/>
                <w:szCs w:val="24"/>
                <w:highlight w:val="none"/>
              </w:rPr>
              <w:t>。</w:t>
            </w:r>
          </w:p>
          <w:p>
            <w:pPr>
              <w:ind w:firstLine="482"/>
            </w:pPr>
            <w:r>
              <w:rPr>
                <w:rFonts w:hint="eastAsia"/>
                <w:b/>
                <w:bCs/>
                <w:szCs w:val="32"/>
              </w:rPr>
              <w:t>（6）建设内容与规模：</w:t>
            </w:r>
          </w:p>
          <w:p>
            <w:pPr>
              <w:pStyle w:val="8"/>
              <w:ind w:firstLine="480"/>
              <w:rPr>
                <w:rFonts w:hint="eastAsia"/>
                <w:color w:val="auto"/>
                <w:kern w:val="0"/>
                <w:highlight w:val="none"/>
                <w:lang w:eastAsia="zh-CN"/>
              </w:rPr>
            </w:pPr>
            <w:r>
              <w:rPr>
                <w:rFonts w:hint="eastAsia"/>
                <w:kern w:val="0"/>
              </w:rPr>
              <w:t>本项目利用石材厂（即建设单位）预留用地建设一条废料加工利用生产线</w:t>
            </w:r>
            <w:r>
              <w:rPr>
                <w:rFonts w:hint="eastAsia"/>
                <w:kern w:val="0"/>
                <w:lang w:eastAsia="zh-CN"/>
              </w:rPr>
              <w:t>，</w:t>
            </w:r>
            <w:r>
              <w:rPr>
                <w:rFonts w:hint="eastAsia"/>
                <w:kern w:val="0"/>
                <w:highlight w:val="none"/>
                <w:lang w:eastAsia="zh-CN"/>
              </w:rPr>
              <w:t>不新增占地。</w:t>
            </w:r>
            <w:r>
              <w:rPr>
                <w:rFonts w:hint="eastAsia"/>
                <w:color w:val="auto"/>
                <w:kern w:val="0"/>
                <w:highlight w:val="none"/>
                <w:lang w:eastAsia="zh-CN"/>
              </w:rPr>
              <w:t>本项目只对原石材加工项目产生的废料进行加工，不对外接纳废石料，根据实际情况，石材机加工项目年加工石材</w:t>
            </w:r>
            <w:r>
              <w:rPr>
                <w:rFonts w:hint="eastAsia"/>
                <w:color w:val="auto"/>
                <w:kern w:val="0"/>
                <w:highlight w:val="none"/>
                <w:lang w:val="en-US" w:eastAsia="zh-CN"/>
              </w:rPr>
              <w:t>3000m</w:t>
            </w:r>
            <w:r>
              <w:rPr>
                <w:rFonts w:hint="eastAsia"/>
                <w:color w:val="auto"/>
                <w:kern w:val="0"/>
                <w:highlight w:val="none"/>
                <w:vertAlign w:val="superscript"/>
                <w:lang w:val="en-US" w:eastAsia="zh-CN"/>
              </w:rPr>
              <w:t>3</w:t>
            </w:r>
            <w:r>
              <w:rPr>
                <w:rFonts w:hint="eastAsia"/>
                <w:color w:val="auto"/>
              </w:rPr>
              <w:t>，</w:t>
            </w:r>
            <w:r>
              <w:rPr>
                <w:rFonts w:hint="eastAsia"/>
                <w:color w:val="auto"/>
                <w:lang w:eastAsia="zh-CN"/>
              </w:rPr>
              <w:t>密度约为</w:t>
            </w:r>
            <w:r>
              <w:rPr>
                <w:rFonts w:hint="eastAsia"/>
                <w:color w:val="auto"/>
                <w:lang w:val="en-US" w:eastAsia="zh-CN"/>
              </w:rPr>
              <w:t>2.7t/m</w:t>
            </w:r>
            <w:r>
              <w:rPr>
                <w:rFonts w:hint="eastAsia"/>
                <w:color w:val="auto"/>
                <w:vertAlign w:val="superscript"/>
                <w:lang w:val="en-US" w:eastAsia="zh-CN"/>
              </w:rPr>
              <w:t>3</w:t>
            </w:r>
            <w:r>
              <w:rPr>
                <w:rFonts w:hint="eastAsia"/>
                <w:color w:val="auto"/>
                <w:lang w:val="en-US" w:eastAsia="zh-CN"/>
              </w:rPr>
              <w:t>，总量为8100t/a，</w:t>
            </w:r>
            <w:r>
              <w:rPr>
                <w:rFonts w:hint="eastAsia"/>
                <w:color w:val="auto"/>
                <w:kern w:val="0"/>
                <w:highlight w:val="none"/>
                <w:lang w:eastAsia="zh-CN"/>
              </w:rPr>
              <w:t>废石料产生量约为</w:t>
            </w:r>
            <w:r>
              <w:rPr>
                <w:rFonts w:hint="eastAsia"/>
                <w:color w:val="auto"/>
                <w:kern w:val="0"/>
                <w:highlight w:val="none"/>
                <w:lang w:val="en-US" w:eastAsia="zh-CN"/>
              </w:rPr>
              <w:t>1800t/a</w:t>
            </w:r>
            <w:r>
              <w:rPr>
                <w:rFonts w:hint="eastAsia"/>
                <w:color w:val="auto"/>
                <w:kern w:val="0"/>
                <w:highlight w:val="none"/>
                <w:lang w:eastAsia="zh-CN"/>
              </w:rPr>
              <w:t>。</w:t>
            </w:r>
          </w:p>
          <w:p>
            <w:pPr>
              <w:pStyle w:val="8"/>
              <w:ind w:firstLine="480"/>
              <w:rPr>
                <w:szCs w:val="32"/>
              </w:rPr>
            </w:pPr>
            <w:r>
              <w:rPr>
                <w:rFonts w:hint="eastAsia"/>
                <w:color w:val="auto"/>
                <w:kern w:val="0"/>
                <w:highlight w:val="none"/>
                <w:lang w:eastAsia="zh-CN"/>
              </w:rPr>
              <w:t>根据设计，本项目</w:t>
            </w:r>
            <w:r>
              <w:rPr>
                <w:rFonts w:hint="eastAsia"/>
                <w:color w:val="auto"/>
                <w:kern w:val="0"/>
                <w:highlight w:val="none"/>
              </w:rPr>
              <w:t>占</w:t>
            </w:r>
            <w:r>
              <w:rPr>
                <w:rFonts w:hint="eastAsia"/>
                <w:color w:val="auto"/>
                <w:highlight w:val="none"/>
              </w:rPr>
              <w:t>地面积215</w:t>
            </w:r>
            <w:r>
              <w:rPr>
                <w:rFonts w:hint="eastAsia"/>
                <w:highlight w:val="none"/>
              </w:rPr>
              <w:t>0</w:t>
            </w:r>
            <w:r>
              <w:rPr>
                <w:highlight w:val="none"/>
              </w:rPr>
              <w:t>m</w:t>
            </w:r>
            <w:r>
              <w:rPr>
                <w:highlight w:val="none"/>
                <w:vertAlign w:val="superscript"/>
              </w:rPr>
              <w:t>2</w:t>
            </w:r>
            <w:r>
              <w:rPr>
                <w:rFonts w:hint="eastAsia"/>
                <w:highlight w:val="none"/>
              </w:rPr>
              <w:t>，</w:t>
            </w:r>
            <w:r>
              <w:rPr>
                <w:highlight w:val="none"/>
              </w:rPr>
              <w:t>建筑面积为</w:t>
            </w:r>
            <w:r>
              <w:rPr>
                <w:rFonts w:hint="eastAsia"/>
                <w:highlight w:val="none"/>
              </w:rPr>
              <w:t>7</w:t>
            </w:r>
            <w:r>
              <w:rPr>
                <w:rFonts w:hint="eastAsia"/>
                <w:highlight w:val="none"/>
                <w:lang w:val="en-US" w:eastAsia="zh-CN"/>
              </w:rPr>
              <w:t>60</w:t>
            </w:r>
            <w:r>
              <w:rPr>
                <w:highlight w:val="none"/>
              </w:rPr>
              <w:t>m</w:t>
            </w:r>
            <w:r>
              <w:rPr>
                <w:highlight w:val="none"/>
                <w:vertAlign w:val="superscript"/>
              </w:rPr>
              <w:t>2</w:t>
            </w:r>
            <w:r>
              <w:rPr>
                <w:rFonts w:hint="eastAsia"/>
                <w:highlight w:val="none"/>
                <w:lang w:eastAsia="zh-CN"/>
              </w:rPr>
              <w:t>。项目建成后，</w:t>
            </w:r>
            <w:r>
              <w:rPr>
                <w:rFonts w:hint="eastAsia"/>
                <w:kern w:val="0"/>
                <w:highlight w:val="none"/>
              </w:rPr>
              <w:t>年产1800t</w:t>
            </w:r>
            <w:r>
              <w:rPr>
                <w:rFonts w:hint="eastAsia"/>
                <w:kern w:val="0"/>
                <w:highlight w:val="none"/>
                <w:lang w:eastAsia="zh-CN"/>
              </w:rPr>
              <w:t>细石料。项目建设内容包括主体工程、储运工程</w:t>
            </w:r>
            <w:r>
              <w:rPr>
                <w:rFonts w:hint="eastAsia"/>
                <w:kern w:val="0"/>
                <w:highlight w:val="none"/>
                <w:lang w:val="en-US" w:eastAsia="zh-CN"/>
              </w:rPr>
              <w:t>及环保工程等。</w:t>
            </w:r>
            <w:r>
              <w:t>项目工程组成情况详见</w:t>
            </w:r>
            <w:r>
              <w:rPr>
                <w:szCs w:val="32"/>
              </w:rPr>
              <w:t>表1</w:t>
            </w:r>
            <w:r>
              <w:rPr>
                <w:rFonts w:hint="eastAsia"/>
                <w:szCs w:val="32"/>
              </w:rPr>
              <w:t>-1</w:t>
            </w:r>
            <w:r>
              <w:rPr>
                <w:szCs w:val="32"/>
              </w:rPr>
              <w:t>。</w:t>
            </w:r>
          </w:p>
          <w:p>
            <w:pPr>
              <w:spacing w:line="240" w:lineRule="auto"/>
              <w:ind w:firstLine="0" w:firstLineChars="0"/>
              <w:jc w:val="center"/>
              <w:rPr>
                <w:b/>
                <w:bCs/>
                <w:szCs w:val="32"/>
              </w:rPr>
            </w:pPr>
          </w:p>
          <w:p>
            <w:pPr>
              <w:spacing w:line="240" w:lineRule="auto"/>
              <w:ind w:firstLine="0" w:firstLineChars="0"/>
              <w:jc w:val="center"/>
              <w:rPr>
                <w:b/>
                <w:bCs/>
                <w:szCs w:val="32"/>
              </w:rPr>
            </w:pPr>
          </w:p>
          <w:p>
            <w:pPr>
              <w:spacing w:line="240" w:lineRule="auto"/>
              <w:ind w:firstLine="0" w:firstLineChars="0"/>
              <w:jc w:val="center"/>
              <w:rPr>
                <w:b/>
                <w:bCs/>
                <w:szCs w:val="32"/>
              </w:rPr>
            </w:pPr>
          </w:p>
          <w:p>
            <w:pPr>
              <w:spacing w:line="240" w:lineRule="auto"/>
              <w:ind w:firstLine="0" w:firstLineChars="0"/>
              <w:jc w:val="center"/>
              <w:rPr>
                <w:b/>
                <w:bCs/>
                <w:szCs w:val="32"/>
              </w:rPr>
            </w:pPr>
          </w:p>
          <w:p>
            <w:pPr>
              <w:spacing w:line="240" w:lineRule="auto"/>
              <w:ind w:firstLine="0" w:firstLineChars="0"/>
              <w:jc w:val="center"/>
              <w:rPr>
                <w:b/>
                <w:bCs/>
                <w:szCs w:val="32"/>
              </w:rPr>
            </w:pPr>
          </w:p>
          <w:p>
            <w:pPr>
              <w:spacing w:line="240" w:lineRule="auto"/>
              <w:ind w:firstLine="0" w:firstLineChars="0"/>
              <w:jc w:val="center"/>
              <w:rPr>
                <w:b/>
                <w:bCs/>
              </w:rPr>
            </w:pPr>
            <w:r>
              <w:rPr>
                <w:b/>
                <w:bCs/>
                <w:szCs w:val="32"/>
              </w:rPr>
              <w:t>表1</w:t>
            </w:r>
            <w:r>
              <w:rPr>
                <w:rFonts w:hint="eastAsia"/>
                <w:b/>
                <w:bCs/>
                <w:szCs w:val="32"/>
              </w:rPr>
              <w:t>-1</w:t>
            </w:r>
            <w:r>
              <w:rPr>
                <w:b/>
                <w:bCs/>
                <w:szCs w:val="32"/>
              </w:rPr>
              <w:t xml:space="preserve"> </w:t>
            </w:r>
            <w:r>
              <w:rPr>
                <w:b/>
                <w:bCs/>
              </w:rPr>
              <w:t xml:space="preserve"> 项目组成一览表</w:t>
            </w:r>
          </w:p>
          <w:tbl>
            <w:tblPr>
              <w:tblStyle w:val="23"/>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31"/>
              <w:gridCol w:w="1290"/>
              <w:gridCol w:w="452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pStyle w:val="10"/>
                    <w:spacing w:line="240" w:lineRule="auto"/>
                    <w:ind w:firstLine="0" w:firstLineChars="0"/>
                    <w:jc w:val="center"/>
                    <w:rPr>
                      <w:rFonts w:ascii="Times New Roman"/>
                      <w:color w:val="auto"/>
                      <w:sz w:val="21"/>
                      <w:szCs w:val="21"/>
                    </w:rPr>
                  </w:pPr>
                  <w:r>
                    <w:rPr>
                      <w:rFonts w:ascii="Times New Roman"/>
                      <w:b/>
                      <w:color w:val="auto"/>
                      <w:sz w:val="21"/>
                      <w:szCs w:val="21"/>
                    </w:rPr>
                    <w:t>类别</w:t>
                  </w:r>
                </w:p>
              </w:tc>
              <w:tc>
                <w:tcPr>
                  <w:tcW w:w="6945" w:type="dxa"/>
                  <w:gridSpan w:val="3"/>
                  <w:vAlign w:val="center"/>
                </w:tcPr>
                <w:p>
                  <w:pPr>
                    <w:pStyle w:val="10"/>
                    <w:spacing w:line="240" w:lineRule="auto"/>
                    <w:ind w:firstLine="0" w:firstLineChars="0"/>
                    <w:jc w:val="center"/>
                    <w:rPr>
                      <w:rFonts w:ascii="Times New Roman"/>
                      <w:color w:val="auto"/>
                      <w:sz w:val="21"/>
                      <w:szCs w:val="21"/>
                    </w:rPr>
                  </w:pPr>
                  <w:r>
                    <w:rPr>
                      <w:rFonts w:ascii="Times New Roman"/>
                      <w:b/>
                      <w:color w:val="auto"/>
                      <w:sz w:val="21"/>
                      <w:szCs w:val="21"/>
                    </w:rPr>
                    <w:t>功能</w:t>
                  </w:r>
                </w:p>
              </w:tc>
              <w:tc>
                <w:tcPr>
                  <w:tcW w:w="975" w:type="dxa"/>
                  <w:vAlign w:val="center"/>
                </w:tcPr>
                <w:p>
                  <w:pPr>
                    <w:pStyle w:val="10"/>
                    <w:spacing w:line="240" w:lineRule="auto"/>
                    <w:ind w:firstLine="0" w:firstLineChars="0"/>
                    <w:jc w:val="center"/>
                    <w:rPr>
                      <w:rFonts w:ascii="Times New Roman"/>
                      <w:color w:val="auto"/>
                      <w:sz w:val="21"/>
                      <w:szCs w:val="21"/>
                    </w:rPr>
                  </w:pPr>
                  <w:r>
                    <w:rPr>
                      <w:rFonts w:ascii="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36" w:type="dxa"/>
                  <w:vAlign w:val="center"/>
                </w:tcPr>
                <w:p>
                  <w:pPr>
                    <w:spacing w:line="240" w:lineRule="auto"/>
                    <w:ind w:firstLine="0" w:firstLineChars="0"/>
                    <w:jc w:val="center"/>
                    <w:rPr>
                      <w:color w:val="auto"/>
                      <w:sz w:val="21"/>
                      <w:szCs w:val="21"/>
                    </w:rPr>
                  </w:pPr>
                  <w:r>
                    <w:rPr>
                      <w:rFonts w:hint="eastAsia"/>
                      <w:color w:val="auto"/>
                      <w:sz w:val="21"/>
                      <w:szCs w:val="21"/>
                    </w:rPr>
                    <w:t>主体工程</w:t>
                  </w:r>
                </w:p>
              </w:tc>
              <w:tc>
                <w:tcPr>
                  <w:tcW w:w="1131" w:type="dxa"/>
                  <w:vAlign w:val="center"/>
                </w:tcPr>
                <w:p>
                  <w:pPr>
                    <w:spacing w:line="240" w:lineRule="auto"/>
                    <w:ind w:firstLine="0" w:firstLineChars="0"/>
                    <w:jc w:val="center"/>
                    <w:rPr>
                      <w:color w:val="auto"/>
                      <w:sz w:val="21"/>
                      <w:szCs w:val="21"/>
                    </w:rPr>
                  </w:pPr>
                  <w:r>
                    <w:rPr>
                      <w:rFonts w:hint="eastAsia"/>
                      <w:color w:val="auto"/>
                      <w:sz w:val="21"/>
                      <w:szCs w:val="21"/>
                    </w:rPr>
                    <w:t>破碎车间</w:t>
                  </w:r>
                </w:p>
              </w:tc>
              <w:tc>
                <w:tcPr>
                  <w:tcW w:w="5814" w:type="dxa"/>
                  <w:gridSpan w:val="2"/>
                  <w:vAlign w:val="center"/>
                </w:tcPr>
                <w:p>
                  <w:pPr>
                    <w:spacing w:line="240" w:lineRule="auto"/>
                    <w:ind w:firstLine="0" w:firstLineChars="0"/>
                    <w:jc w:val="left"/>
                    <w:rPr>
                      <w:color w:val="auto"/>
                      <w:sz w:val="21"/>
                      <w:szCs w:val="21"/>
                    </w:rPr>
                  </w:pPr>
                  <w:r>
                    <w:rPr>
                      <w:rFonts w:hint="eastAsia"/>
                      <w:color w:val="auto"/>
                      <w:sz w:val="21"/>
                      <w:szCs w:val="21"/>
                    </w:rPr>
                    <w:t>占地面积150m</w:t>
                  </w:r>
                  <w:r>
                    <w:rPr>
                      <w:rFonts w:hint="eastAsia"/>
                      <w:color w:val="auto"/>
                      <w:sz w:val="21"/>
                      <w:szCs w:val="21"/>
                      <w:vertAlign w:val="superscript"/>
                    </w:rPr>
                    <w:t>2</w:t>
                  </w:r>
                  <w:r>
                    <w:rPr>
                      <w:rFonts w:hint="eastAsia"/>
                      <w:color w:val="auto"/>
                      <w:sz w:val="21"/>
                      <w:szCs w:val="21"/>
                    </w:rPr>
                    <w:t>，车间长15m，宽10m，高10m，单层彩钢瓦钢架全封闭结构，位于项目区东南侧，设有一条废料破碎加工生产线，</w:t>
                  </w:r>
                  <w:r>
                    <w:rPr>
                      <w:rFonts w:hint="eastAsia"/>
                      <w:color w:val="auto"/>
                      <w:sz w:val="21"/>
                      <w:szCs w:val="21"/>
                      <w:highlight w:val="none"/>
                      <w:lang w:eastAsia="zh-CN"/>
                    </w:rPr>
                    <w:t>内设</w:t>
                  </w:r>
                  <w:r>
                    <w:rPr>
                      <w:rFonts w:hint="eastAsia"/>
                      <w:color w:val="auto"/>
                      <w:sz w:val="21"/>
                      <w:szCs w:val="21"/>
                    </w:rPr>
                    <w:t>1台破碎机、1台打砂机、1套全封闭皮带运输机。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lang w:eastAsia="zh-CN"/>
                    </w:rPr>
                  </w:pPr>
                  <w:r>
                    <w:rPr>
                      <w:rFonts w:hint="eastAsia"/>
                      <w:color w:val="auto"/>
                      <w:sz w:val="21"/>
                      <w:szCs w:val="21"/>
                      <w:lang w:eastAsia="zh-CN"/>
                    </w:rPr>
                    <w:t>工程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1"/>
                      <w:szCs w:val="21"/>
                    </w:rPr>
                  </w:pPr>
                  <w:r>
                    <w:rPr>
                      <w:rFonts w:hint="eastAsia"/>
                      <w:color w:val="auto"/>
                      <w:sz w:val="21"/>
                      <w:szCs w:val="21"/>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36" w:type="dxa"/>
                  <w:vMerge w:val="restart"/>
                  <w:vAlign w:val="center"/>
                </w:tcPr>
                <w:p>
                  <w:pPr>
                    <w:spacing w:line="240" w:lineRule="auto"/>
                    <w:ind w:firstLine="0" w:firstLineChars="0"/>
                    <w:jc w:val="center"/>
                    <w:rPr>
                      <w:color w:val="auto"/>
                      <w:sz w:val="21"/>
                      <w:szCs w:val="21"/>
                    </w:rPr>
                  </w:pPr>
                  <w:r>
                    <w:rPr>
                      <w:rFonts w:hint="eastAsia"/>
                      <w:color w:val="auto"/>
                      <w:sz w:val="21"/>
                      <w:szCs w:val="21"/>
                    </w:rPr>
                    <w:t>储运工程</w:t>
                  </w:r>
                </w:p>
              </w:tc>
              <w:tc>
                <w:tcPr>
                  <w:tcW w:w="1131" w:type="dxa"/>
                  <w:vAlign w:val="center"/>
                </w:tcPr>
                <w:p>
                  <w:pPr>
                    <w:spacing w:line="240" w:lineRule="auto"/>
                    <w:ind w:firstLine="0" w:firstLineChars="0"/>
                    <w:jc w:val="center"/>
                    <w:rPr>
                      <w:color w:val="auto"/>
                      <w:sz w:val="21"/>
                      <w:szCs w:val="21"/>
                    </w:rPr>
                  </w:pPr>
                  <w:r>
                    <w:rPr>
                      <w:rFonts w:hint="eastAsia"/>
                      <w:color w:val="auto"/>
                      <w:sz w:val="21"/>
                      <w:szCs w:val="21"/>
                    </w:rPr>
                    <w:t>原料堆存间</w:t>
                  </w:r>
                </w:p>
              </w:tc>
              <w:tc>
                <w:tcPr>
                  <w:tcW w:w="5814" w:type="dxa"/>
                  <w:gridSpan w:val="2"/>
                  <w:vAlign w:val="center"/>
                </w:tcPr>
                <w:p>
                  <w:pPr>
                    <w:spacing w:line="240" w:lineRule="auto"/>
                    <w:ind w:firstLine="0" w:firstLineChars="0"/>
                    <w:jc w:val="left"/>
                    <w:rPr>
                      <w:color w:val="auto"/>
                      <w:sz w:val="21"/>
                      <w:szCs w:val="21"/>
                    </w:rPr>
                  </w:pPr>
                  <w:r>
                    <w:rPr>
                      <w:rFonts w:hint="eastAsia"/>
                      <w:color w:val="auto"/>
                      <w:sz w:val="21"/>
                      <w:szCs w:val="21"/>
                    </w:rPr>
                    <w:t>占地面积300</w:t>
                  </w:r>
                  <w:r>
                    <w:rPr>
                      <w:color w:val="auto"/>
                      <w:sz w:val="21"/>
                      <w:szCs w:val="21"/>
                    </w:rPr>
                    <w:t>m</w:t>
                  </w:r>
                  <w:r>
                    <w:rPr>
                      <w:color w:val="auto"/>
                      <w:sz w:val="21"/>
                      <w:szCs w:val="21"/>
                      <w:vertAlign w:val="superscript"/>
                    </w:rPr>
                    <w:t>2</w:t>
                  </w:r>
                  <w:r>
                    <w:rPr>
                      <w:rFonts w:hint="eastAsia"/>
                      <w:color w:val="auto"/>
                      <w:sz w:val="21"/>
                      <w:szCs w:val="21"/>
                    </w:rPr>
                    <w:t>，车间长20m，宽15m，高10m，单层彩钢瓦钢架结构，三面封闭，设置顶棚，位于本项目区东北部，用于堆存废料。设计堆高为2.5m，储存量为500m</w:t>
                  </w:r>
                  <w:r>
                    <w:rPr>
                      <w:rFonts w:hint="eastAsia"/>
                      <w:color w:val="auto"/>
                      <w:sz w:val="21"/>
                      <w:szCs w:val="21"/>
                      <w:vertAlign w:val="superscript"/>
                    </w:rPr>
                    <w:t>3</w:t>
                  </w:r>
                  <w:r>
                    <w:rPr>
                      <w:rFonts w:hint="eastAsia"/>
                      <w:color w:val="auto"/>
                      <w:sz w:val="21"/>
                      <w:szCs w:val="21"/>
                    </w:rPr>
                    <w:t>。</w:t>
                  </w:r>
                </w:p>
              </w:tc>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lang w:eastAsia="zh-CN"/>
                    </w:rPr>
                  </w:pPr>
                  <w:r>
                    <w:rPr>
                      <w:rFonts w:hint="eastAsia"/>
                      <w:color w:val="auto"/>
                      <w:sz w:val="21"/>
                      <w:szCs w:val="21"/>
                      <w:lang w:eastAsia="zh-CN"/>
                    </w:rPr>
                    <w:t>工程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lang w:val="en-US" w:eastAsia="zh-CN" w:bidi="ar-SA"/>
                    </w:rPr>
                  </w:pPr>
                  <w:r>
                    <w:rPr>
                      <w:rFonts w:hint="eastAsia"/>
                      <w:color w:val="auto"/>
                      <w:sz w:val="21"/>
                      <w:szCs w:val="21"/>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36" w:type="dxa"/>
                  <w:vMerge w:val="continue"/>
                  <w:vAlign w:val="center"/>
                </w:tcPr>
                <w:p>
                  <w:pPr>
                    <w:ind w:firstLine="0" w:firstLineChars="0"/>
                    <w:jc w:val="left"/>
                    <w:rPr>
                      <w:color w:val="auto"/>
                      <w:sz w:val="21"/>
                      <w:szCs w:val="21"/>
                    </w:rPr>
                  </w:pPr>
                </w:p>
              </w:tc>
              <w:tc>
                <w:tcPr>
                  <w:tcW w:w="1131" w:type="dxa"/>
                  <w:vAlign w:val="center"/>
                </w:tcPr>
                <w:p>
                  <w:pPr>
                    <w:spacing w:line="240" w:lineRule="auto"/>
                    <w:ind w:firstLine="0" w:firstLineChars="0"/>
                    <w:jc w:val="center"/>
                    <w:rPr>
                      <w:color w:val="auto"/>
                      <w:sz w:val="21"/>
                      <w:szCs w:val="21"/>
                    </w:rPr>
                  </w:pPr>
                  <w:r>
                    <w:rPr>
                      <w:rFonts w:hint="eastAsia"/>
                      <w:color w:val="auto"/>
                      <w:sz w:val="21"/>
                      <w:szCs w:val="21"/>
                    </w:rPr>
                    <w:t>成品堆存间</w:t>
                  </w:r>
                </w:p>
              </w:tc>
              <w:tc>
                <w:tcPr>
                  <w:tcW w:w="5814" w:type="dxa"/>
                  <w:gridSpan w:val="2"/>
                  <w:vAlign w:val="center"/>
                </w:tcPr>
                <w:p>
                  <w:pPr>
                    <w:spacing w:line="240" w:lineRule="auto"/>
                    <w:ind w:firstLine="0" w:firstLineChars="0"/>
                    <w:jc w:val="left"/>
                    <w:rPr>
                      <w:color w:val="auto"/>
                      <w:sz w:val="21"/>
                      <w:szCs w:val="21"/>
                    </w:rPr>
                  </w:pPr>
                  <w:r>
                    <w:rPr>
                      <w:rFonts w:hint="eastAsia"/>
                      <w:color w:val="auto"/>
                      <w:sz w:val="21"/>
                      <w:szCs w:val="21"/>
                    </w:rPr>
                    <w:t>占地面积300m</w:t>
                  </w:r>
                  <w:r>
                    <w:rPr>
                      <w:rFonts w:hint="eastAsia"/>
                      <w:color w:val="auto"/>
                      <w:sz w:val="21"/>
                      <w:szCs w:val="21"/>
                      <w:vertAlign w:val="superscript"/>
                    </w:rPr>
                    <w:t>2</w:t>
                  </w:r>
                  <w:r>
                    <w:rPr>
                      <w:rFonts w:hint="eastAsia"/>
                      <w:color w:val="auto"/>
                      <w:sz w:val="21"/>
                      <w:szCs w:val="21"/>
                    </w:rPr>
                    <w:t>，车间长20m，宽15m，高10m，单层彩钢瓦钢架全封闭结构，位于项目区南侧，</w:t>
                  </w:r>
                  <w:r>
                    <w:rPr>
                      <w:rFonts w:hint="eastAsia"/>
                      <w:b w:val="0"/>
                      <w:bCs w:val="0"/>
                      <w:color w:val="auto"/>
                      <w:sz w:val="21"/>
                      <w:szCs w:val="21"/>
                      <w:lang w:eastAsia="zh-CN"/>
                    </w:rPr>
                    <w:t>内设有一个储存量为</w:t>
                  </w:r>
                  <w:r>
                    <w:rPr>
                      <w:rFonts w:hint="eastAsia"/>
                      <w:b w:val="0"/>
                      <w:bCs w:val="0"/>
                      <w:color w:val="auto"/>
                      <w:sz w:val="21"/>
                      <w:szCs w:val="21"/>
                      <w:lang w:val="en-US" w:eastAsia="zh-CN"/>
                    </w:rPr>
                    <w:t>60m</w:t>
                  </w:r>
                  <w:r>
                    <w:rPr>
                      <w:rFonts w:hint="eastAsia"/>
                      <w:b w:val="0"/>
                      <w:bCs w:val="0"/>
                      <w:color w:val="auto"/>
                      <w:sz w:val="21"/>
                      <w:szCs w:val="21"/>
                      <w:vertAlign w:val="superscript"/>
                      <w:lang w:val="en-US" w:eastAsia="zh-CN"/>
                    </w:rPr>
                    <w:t>3</w:t>
                  </w:r>
                  <w:r>
                    <w:rPr>
                      <w:rFonts w:hint="eastAsia"/>
                      <w:b w:val="0"/>
                      <w:bCs w:val="0"/>
                      <w:color w:val="auto"/>
                      <w:sz w:val="21"/>
                      <w:szCs w:val="21"/>
                      <w:vertAlign w:val="baseline"/>
                      <w:lang w:val="en-US" w:eastAsia="zh-CN"/>
                    </w:rPr>
                    <w:t>的</w:t>
                  </w:r>
                  <w:r>
                    <w:rPr>
                      <w:rFonts w:hint="eastAsia"/>
                      <w:b w:val="0"/>
                      <w:bCs w:val="0"/>
                      <w:color w:val="auto"/>
                      <w:sz w:val="21"/>
                      <w:szCs w:val="21"/>
                      <w:lang w:eastAsia="zh-CN"/>
                    </w:rPr>
                    <w:t>成品料仓</w:t>
                  </w:r>
                  <w:r>
                    <w:rPr>
                      <w:rFonts w:hint="eastAsia"/>
                      <w:b w:val="0"/>
                      <w:bCs w:val="0"/>
                      <w:color w:val="auto"/>
                      <w:sz w:val="21"/>
                      <w:szCs w:val="21"/>
                    </w:rPr>
                    <w:t>用来进行</w:t>
                  </w:r>
                  <w:r>
                    <w:rPr>
                      <w:rFonts w:hint="eastAsia"/>
                      <w:b w:val="0"/>
                      <w:bCs w:val="0"/>
                      <w:color w:val="auto"/>
                      <w:sz w:val="21"/>
                      <w:szCs w:val="21"/>
                      <w:lang w:eastAsia="zh-CN"/>
                    </w:rPr>
                    <w:t>细石料</w:t>
                  </w:r>
                  <w:r>
                    <w:rPr>
                      <w:rFonts w:hint="eastAsia"/>
                      <w:b w:val="0"/>
                      <w:bCs w:val="0"/>
                      <w:color w:val="auto"/>
                      <w:sz w:val="21"/>
                      <w:szCs w:val="21"/>
                    </w:rPr>
                    <w:t>散装成品</w:t>
                  </w:r>
                  <w:r>
                    <w:rPr>
                      <w:rFonts w:hint="eastAsia"/>
                      <w:b w:val="0"/>
                      <w:bCs w:val="0"/>
                      <w:color w:val="auto"/>
                      <w:sz w:val="21"/>
                      <w:szCs w:val="21"/>
                      <w:lang w:eastAsia="zh-CN"/>
                    </w:rPr>
                    <w:t>的堆存</w:t>
                  </w:r>
                  <w:r>
                    <w:rPr>
                      <w:rFonts w:hint="eastAsia"/>
                      <w:b w:val="0"/>
                      <w:bCs w:val="0"/>
                      <w:color w:val="auto"/>
                      <w:sz w:val="21"/>
                      <w:szCs w:val="21"/>
                    </w:rPr>
                    <w:t>，</w:t>
                  </w:r>
                  <w:r>
                    <w:rPr>
                      <w:rFonts w:hint="eastAsia"/>
                      <w:b w:val="0"/>
                      <w:bCs w:val="0"/>
                      <w:color w:val="auto"/>
                      <w:sz w:val="21"/>
                      <w:szCs w:val="21"/>
                      <w:lang w:eastAsia="zh-CN"/>
                    </w:rPr>
                    <w:t>最终由罐车运出厂外出售</w:t>
                  </w:r>
                  <w:r>
                    <w:rPr>
                      <w:rFonts w:hint="eastAsia"/>
                      <w:b w:val="0"/>
                      <w:bCs w:val="0"/>
                      <w:color w:val="auto"/>
                      <w:sz w:val="21"/>
                      <w:szCs w:val="21"/>
                    </w:rPr>
                    <w:t>。</w:t>
                  </w:r>
                </w:p>
              </w:tc>
              <w:tc>
                <w:tcPr>
                  <w:tcW w:w="975" w:type="dxa"/>
                  <w:vMerge w:val="continue"/>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240" w:lineRule="auto"/>
                    <w:ind w:firstLine="0" w:firstLineChars="0"/>
                    <w:jc w:val="center"/>
                    <w:rPr>
                      <w:color w:val="auto"/>
                      <w:sz w:val="21"/>
                      <w:szCs w:val="21"/>
                    </w:rPr>
                  </w:pPr>
                </w:p>
                <w:p>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r>
                    <w:rPr>
                      <w:color w:val="auto"/>
                      <w:sz w:val="21"/>
                      <w:szCs w:val="21"/>
                    </w:rPr>
                    <w:t>公用工程</w:t>
                  </w:r>
                </w:p>
              </w:tc>
              <w:tc>
                <w:tcPr>
                  <w:tcW w:w="1131" w:type="dxa"/>
                  <w:vAlign w:val="center"/>
                </w:tcPr>
                <w:p>
                  <w:pPr>
                    <w:ind w:firstLine="0" w:firstLineChars="0"/>
                    <w:jc w:val="center"/>
                    <w:rPr>
                      <w:color w:val="auto"/>
                      <w:sz w:val="21"/>
                      <w:szCs w:val="21"/>
                    </w:rPr>
                  </w:pPr>
                  <w:r>
                    <w:rPr>
                      <w:color w:val="auto"/>
                      <w:sz w:val="21"/>
                      <w:szCs w:val="21"/>
                    </w:rPr>
                    <w:t>排水</w:t>
                  </w:r>
                </w:p>
              </w:tc>
              <w:tc>
                <w:tcPr>
                  <w:tcW w:w="5814" w:type="dxa"/>
                  <w:gridSpan w:val="2"/>
                  <w:vAlign w:val="center"/>
                </w:tcPr>
                <w:p>
                  <w:pPr>
                    <w:spacing w:line="240" w:lineRule="auto"/>
                    <w:ind w:firstLine="0" w:firstLineChars="0"/>
                    <w:jc w:val="left"/>
                    <w:rPr>
                      <w:color w:val="auto"/>
                      <w:sz w:val="21"/>
                      <w:szCs w:val="21"/>
                    </w:rPr>
                  </w:pPr>
                  <w:r>
                    <w:rPr>
                      <w:color w:val="auto"/>
                      <w:kern w:val="0"/>
                      <w:sz w:val="21"/>
                      <w:szCs w:val="21"/>
                    </w:rPr>
                    <w:t>采用雨污分流制排水方式，</w:t>
                  </w:r>
                  <w:r>
                    <w:rPr>
                      <w:rFonts w:hint="eastAsia"/>
                      <w:color w:val="auto"/>
                      <w:kern w:val="0"/>
                      <w:sz w:val="21"/>
                      <w:szCs w:val="21"/>
                    </w:rPr>
                    <w:t>项目区新建雨水沟、雨水收集池，初期雨水</w:t>
                  </w:r>
                  <w:r>
                    <w:rPr>
                      <w:color w:val="auto"/>
                      <w:kern w:val="0"/>
                      <w:sz w:val="21"/>
                      <w:szCs w:val="21"/>
                    </w:rPr>
                    <w:t>经收集后</w:t>
                  </w:r>
                  <w:r>
                    <w:rPr>
                      <w:rFonts w:hint="eastAsia"/>
                      <w:color w:val="auto"/>
                      <w:kern w:val="0"/>
                      <w:sz w:val="21"/>
                      <w:szCs w:val="21"/>
                    </w:rPr>
                    <w:t>进入雨水收集池，最终回用于石材加工项目生产。食堂废水经隔油池处理后与其余员工办公生活废水经石材加工项</w:t>
                  </w:r>
                  <w:r>
                    <w:rPr>
                      <w:rFonts w:hint="eastAsia"/>
                      <w:color w:val="auto"/>
                      <w:kern w:val="0"/>
                      <w:sz w:val="21"/>
                      <w:szCs w:val="21"/>
                      <w:highlight w:val="none"/>
                    </w:rPr>
                    <w:t>目生产沉淀池沉</w:t>
                  </w:r>
                  <w:r>
                    <w:rPr>
                      <w:rFonts w:hint="eastAsia"/>
                      <w:color w:val="auto"/>
                      <w:kern w:val="0"/>
                      <w:sz w:val="21"/>
                      <w:szCs w:val="21"/>
                    </w:rPr>
                    <w:t>淀后用于厂区地面洒水降尘</w:t>
                  </w:r>
                  <w:r>
                    <w:rPr>
                      <w:rFonts w:hint="eastAsia"/>
                      <w:color w:val="auto"/>
                      <w:sz w:val="21"/>
                      <w:szCs w:val="21"/>
                    </w:rPr>
                    <w:t>。</w:t>
                  </w:r>
                </w:p>
              </w:tc>
              <w:tc>
                <w:tcPr>
                  <w:tcW w:w="975" w:type="dxa"/>
                  <w:vAlign w:val="center"/>
                </w:tcPr>
                <w:p>
                  <w:pPr>
                    <w:spacing w:line="240" w:lineRule="auto"/>
                    <w:ind w:firstLine="0" w:firstLineChars="0"/>
                    <w:jc w:val="center"/>
                    <w:rPr>
                      <w:color w:val="auto"/>
                      <w:kern w:val="0"/>
                      <w:sz w:val="21"/>
                      <w:szCs w:val="21"/>
                    </w:rPr>
                  </w:pPr>
                  <w:r>
                    <w:rPr>
                      <w:rFonts w:hint="eastAsia"/>
                      <w:color w:val="auto"/>
                      <w:kern w:val="0"/>
                      <w:sz w:val="21"/>
                      <w:szCs w:val="21"/>
                    </w:rPr>
                    <w:t>雨水沟、雨水收集池及隔油池环评提出，沉淀池依托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6" w:type="dxa"/>
                  <w:vMerge w:val="restart"/>
                  <w:vAlign w:val="center"/>
                </w:tcPr>
                <w:p>
                  <w:pPr>
                    <w:spacing w:line="240" w:lineRule="auto"/>
                    <w:ind w:firstLine="0" w:firstLineChars="0"/>
                    <w:jc w:val="center"/>
                    <w:rPr>
                      <w:color w:val="auto"/>
                      <w:sz w:val="21"/>
                      <w:szCs w:val="21"/>
                    </w:rPr>
                  </w:pPr>
                  <w:r>
                    <w:rPr>
                      <w:rFonts w:hint="eastAsia"/>
                      <w:color w:val="auto"/>
                      <w:sz w:val="21"/>
                      <w:szCs w:val="21"/>
                    </w:rPr>
                    <w:t>环保工程</w:t>
                  </w:r>
                </w:p>
              </w:tc>
              <w:tc>
                <w:tcPr>
                  <w:tcW w:w="1131" w:type="dxa"/>
                  <w:vMerge w:val="restart"/>
                  <w:vAlign w:val="center"/>
                </w:tcPr>
                <w:p>
                  <w:pPr>
                    <w:ind w:firstLine="0" w:firstLineChars="0"/>
                    <w:jc w:val="center"/>
                    <w:rPr>
                      <w:color w:val="auto"/>
                      <w:sz w:val="21"/>
                      <w:szCs w:val="21"/>
                    </w:rPr>
                  </w:pPr>
                  <w:r>
                    <w:rPr>
                      <w:rFonts w:hint="eastAsia"/>
                      <w:color w:val="auto"/>
                      <w:sz w:val="21"/>
                      <w:szCs w:val="21"/>
                    </w:rPr>
                    <w:t>废气治理工程</w:t>
                  </w:r>
                </w:p>
              </w:tc>
              <w:tc>
                <w:tcPr>
                  <w:tcW w:w="1290" w:type="dxa"/>
                  <w:vAlign w:val="center"/>
                </w:tcPr>
                <w:p>
                  <w:pPr>
                    <w:pStyle w:val="28"/>
                    <w:spacing w:line="240" w:lineRule="auto"/>
                    <w:ind w:firstLine="0" w:firstLineChars="0"/>
                    <w:jc w:val="center"/>
                    <w:rPr>
                      <w:color w:val="auto"/>
                      <w:sz w:val="21"/>
                      <w:szCs w:val="21"/>
                    </w:rPr>
                  </w:pPr>
                  <w:r>
                    <w:rPr>
                      <w:rFonts w:hint="eastAsia"/>
                      <w:color w:val="auto"/>
                      <w:sz w:val="21"/>
                      <w:szCs w:val="21"/>
                    </w:rPr>
                    <w:t>破碎车间粉尘</w:t>
                  </w:r>
                </w:p>
              </w:tc>
              <w:tc>
                <w:tcPr>
                  <w:tcW w:w="4524" w:type="dxa"/>
                  <w:vAlign w:val="center"/>
                </w:tcPr>
                <w:p>
                  <w:pPr>
                    <w:pStyle w:val="28"/>
                    <w:spacing w:line="240" w:lineRule="auto"/>
                    <w:ind w:firstLine="0" w:firstLineChars="0"/>
                    <w:jc w:val="left"/>
                    <w:rPr>
                      <w:color w:val="auto"/>
                      <w:sz w:val="21"/>
                      <w:szCs w:val="21"/>
                    </w:rPr>
                  </w:pPr>
                  <w:r>
                    <w:rPr>
                      <w:rFonts w:hint="eastAsia"/>
                      <w:color w:val="auto"/>
                      <w:sz w:val="21"/>
                      <w:szCs w:val="21"/>
                    </w:rPr>
                    <w:t>破碎机、打砂机均用单层彩钢瓦钢进行封闭并在上方设置集气罩，破碎粉尘经集气罩收集后由一套袋式除尘器处理后经1根15m高排气筒DA001排放。</w:t>
                  </w:r>
                </w:p>
              </w:tc>
              <w:tc>
                <w:tcPr>
                  <w:tcW w:w="975" w:type="dxa"/>
                  <w:vAlign w:val="center"/>
                </w:tcPr>
                <w:p>
                  <w:pPr>
                    <w:spacing w:line="240" w:lineRule="auto"/>
                    <w:ind w:firstLine="0" w:firstLineChars="0"/>
                    <w:jc w:val="center"/>
                    <w:rPr>
                      <w:color w:val="auto"/>
                      <w:sz w:val="21"/>
                      <w:szCs w:val="21"/>
                    </w:rPr>
                  </w:pPr>
                  <w:r>
                    <w:rPr>
                      <w:rFonts w:hint="eastAsia"/>
                      <w:color w:val="auto"/>
                      <w:sz w:val="21"/>
                      <w:szCs w:val="21"/>
                    </w:rPr>
                    <w:t>环评</w:t>
                  </w:r>
                </w:p>
                <w:p>
                  <w:pPr>
                    <w:spacing w:line="240" w:lineRule="auto"/>
                    <w:ind w:firstLine="0" w:firstLineChars="0"/>
                    <w:jc w:val="center"/>
                    <w:rPr>
                      <w:color w:val="auto"/>
                      <w:sz w:val="21"/>
                      <w:szCs w:val="21"/>
                    </w:rPr>
                  </w:pPr>
                  <w:r>
                    <w:rPr>
                      <w:rFonts w:hint="eastAsia"/>
                      <w:color w:val="auto"/>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6" w:type="dxa"/>
                  <w:vMerge w:val="continue"/>
                  <w:vAlign w:val="center"/>
                </w:tcPr>
                <w:p>
                  <w:pPr>
                    <w:spacing w:line="240" w:lineRule="auto"/>
                    <w:ind w:firstLine="0" w:firstLineChars="0"/>
                    <w:jc w:val="center"/>
                    <w:rPr>
                      <w:color w:val="auto"/>
                      <w:sz w:val="21"/>
                      <w:szCs w:val="21"/>
                    </w:rPr>
                  </w:pPr>
                </w:p>
              </w:tc>
              <w:tc>
                <w:tcPr>
                  <w:tcW w:w="1131" w:type="dxa"/>
                  <w:vMerge w:val="continue"/>
                  <w:vAlign w:val="center"/>
                </w:tcPr>
                <w:p>
                  <w:pPr>
                    <w:ind w:firstLine="0" w:firstLineChars="0"/>
                    <w:jc w:val="center"/>
                    <w:rPr>
                      <w:color w:val="auto"/>
                      <w:sz w:val="21"/>
                      <w:szCs w:val="21"/>
                    </w:rPr>
                  </w:pPr>
                </w:p>
              </w:tc>
              <w:tc>
                <w:tcPr>
                  <w:tcW w:w="1290" w:type="dxa"/>
                  <w:vAlign w:val="center"/>
                </w:tcPr>
                <w:p>
                  <w:pPr>
                    <w:pStyle w:val="28"/>
                    <w:spacing w:line="240" w:lineRule="auto"/>
                    <w:ind w:firstLine="0" w:firstLineChars="0"/>
                    <w:jc w:val="center"/>
                    <w:rPr>
                      <w:color w:val="auto"/>
                      <w:sz w:val="21"/>
                      <w:szCs w:val="21"/>
                    </w:rPr>
                  </w:pPr>
                  <w:r>
                    <w:rPr>
                      <w:rFonts w:hint="eastAsia"/>
                      <w:color w:val="auto"/>
                      <w:sz w:val="21"/>
                      <w:szCs w:val="21"/>
                    </w:rPr>
                    <w:t>输送带密封</w:t>
                  </w:r>
                </w:p>
              </w:tc>
              <w:tc>
                <w:tcPr>
                  <w:tcW w:w="4524" w:type="dxa"/>
                  <w:vAlign w:val="center"/>
                </w:tcPr>
                <w:p>
                  <w:pPr>
                    <w:pStyle w:val="28"/>
                    <w:spacing w:line="240" w:lineRule="auto"/>
                    <w:ind w:firstLine="0" w:firstLineChars="0"/>
                    <w:jc w:val="left"/>
                    <w:rPr>
                      <w:color w:val="auto"/>
                      <w:sz w:val="21"/>
                      <w:szCs w:val="21"/>
                    </w:rPr>
                  </w:pPr>
                  <w:r>
                    <w:rPr>
                      <w:rFonts w:hint="eastAsia"/>
                      <w:color w:val="auto"/>
                      <w:sz w:val="21"/>
                      <w:szCs w:val="21"/>
                    </w:rPr>
                    <w:t>由破碎机到打砂机的皮带输送机及打砂机到成品堆存间的皮带输送机均为全封闭式。</w:t>
                  </w:r>
                </w:p>
              </w:tc>
              <w:tc>
                <w:tcPr>
                  <w:tcW w:w="975" w:type="dxa"/>
                  <w:vAlign w:val="center"/>
                </w:tcPr>
                <w:p>
                  <w:pPr>
                    <w:spacing w:line="240" w:lineRule="auto"/>
                    <w:ind w:firstLine="0" w:firstLineChars="0"/>
                    <w:jc w:val="center"/>
                    <w:rPr>
                      <w:color w:val="auto"/>
                      <w:sz w:val="21"/>
                      <w:szCs w:val="21"/>
                    </w:rPr>
                  </w:pPr>
                  <w:r>
                    <w:rPr>
                      <w:rFonts w:hint="eastAsia"/>
                      <w:color w:val="auto"/>
                      <w:sz w:val="21"/>
                      <w:szCs w:val="21"/>
                    </w:rPr>
                    <w:t>环评</w:t>
                  </w:r>
                </w:p>
                <w:p>
                  <w:pPr>
                    <w:spacing w:line="240" w:lineRule="auto"/>
                    <w:ind w:firstLine="0" w:firstLineChars="0"/>
                    <w:jc w:val="center"/>
                    <w:rPr>
                      <w:color w:val="auto"/>
                      <w:sz w:val="21"/>
                      <w:szCs w:val="21"/>
                    </w:rPr>
                  </w:pPr>
                  <w:r>
                    <w:rPr>
                      <w:rFonts w:hint="eastAsia"/>
                      <w:color w:val="auto"/>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6" w:type="dxa"/>
                  <w:vMerge w:val="continue"/>
                  <w:vAlign w:val="center"/>
                </w:tcPr>
                <w:p>
                  <w:pPr>
                    <w:spacing w:line="240" w:lineRule="auto"/>
                    <w:ind w:firstLine="0" w:firstLineChars="0"/>
                    <w:jc w:val="center"/>
                    <w:rPr>
                      <w:color w:val="auto"/>
                      <w:sz w:val="21"/>
                      <w:szCs w:val="21"/>
                    </w:rPr>
                  </w:pPr>
                </w:p>
              </w:tc>
              <w:tc>
                <w:tcPr>
                  <w:tcW w:w="1131" w:type="dxa"/>
                  <w:vMerge w:val="continue"/>
                  <w:vAlign w:val="center"/>
                </w:tcPr>
                <w:p>
                  <w:pPr>
                    <w:ind w:firstLine="0" w:firstLineChars="0"/>
                    <w:jc w:val="center"/>
                    <w:rPr>
                      <w:color w:val="auto"/>
                      <w:sz w:val="21"/>
                      <w:szCs w:val="21"/>
                    </w:rPr>
                  </w:pPr>
                </w:p>
              </w:tc>
              <w:tc>
                <w:tcPr>
                  <w:tcW w:w="1290" w:type="dxa"/>
                  <w:vAlign w:val="center"/>
                </w:tcPr>
                <w:p>
                  <w:pPr>
                    <w:pStyle w:val="28"/>
                    <w:spacing w:line="240" w:lineRule="auto"/>
                    <w:ind w:firstLine="0" w:firstLineChars="0"/>
                    <w:jc w:val="center"/>
                    <w:rPr>
                      <w:color w:val="auto"/>
                      <w:sz w:val="21"/>
                      <w:szCs w:val="21"/>
                    </w:rPr>
                  </w:pPr>
                  <w:r>
                    <w:rPr>
                      <w:rFonts w:hint="eastAsia"/>
                      <w:color w:val="auto"/>
                      <w:sz w:val="21"/>
                      <w:szCs w:val="21"/>
                    </w:rPr>
                    <w:t>破碎间喷淋管</w:t>
                  </w:r>
                </w:p>
              </w:tc>
              <w:tc>
                <w:tcPr>
                  <w:tcW w:w="4524" w:type="dxa"/>
                  <w:vAlign w:val="center"/>
                </w:tcPr>
                <w:p>
                  <w:pPr>
                    <w:pStyle w:val="28"/>
                    <w:spacing w:line="240" w:lineRule="auto"/>
                    <w:ind w:firstLine="0" w:firstLineChars="0"/>
                    <w:jc w:val="left"/>
                    <w:rPr>
                      <w:color w:val="auto"/>
                      <w:sz w:val="21"/>
                      <w:szCs w:val="21"/>
                      <w:highlight w:val="none"/>
                    </w:rPr>
                  </w:pPr>
                  <w:r>
                    <w:rPr>
                      <w:rFonts w:hint="eastAsia"/>
                      <w:color w:val="auto"/>
                      <w:sz w:val="21"/>
                      <w:szCs w:val="21"/>
                      <w:highlight w:val="none"/>
                    </w:rPr>
                    <w:t>破碎间</w:t>
                  </w:r>
                  <w:r>
                    <w:rPr>
                      <w:rFonts w:hint="eastAsia"/>
                      <w:color w:val="auto"/>
                      <w:sz w:val="21"/>
                      <w:szCs w:val="21"/>
                      <w:highlight w:val="none"/>
                      <w:lang w:eastAsia="zh-CN"/>
                    </w:rPr>
                    <w:t>破碎机、打砂机旁</w:t>
                  </w:r>
                  <w:r>
                    <w:rPr>
                      <w:rFonts w:hint="eastAsia"/>
                      <w:color w:val="auto"/>
                      <w:sz w:val="21"/>
                      <w:szCs w:val="21"/>
                      <w:highlight w:val="none"/>
                    </w:rPr>
                    <w:t>设有</w:t>
                  </w:r>
                  <w:r>
                    <w:rPr>
                      <w:rFonts w:hint="eastAsia"/>
                      <w:color w:val="auto"/>
                      <w:sz w:val="21"/>
                      <w:szCs w:val="21"/>
                      <w:highlight w:val="none"/>
                      <w:lang w:eastAsia="zh-CN"/>
                    </w:rPr>
                    <w:t>固定</w:t>
                  </w:r>
                  <w:r>
                    <w:rPr>
                      <w:rFonts w:hint="eastAsia"/>
                      <w:color w:val="auto"/>
                      <w:sz w:val="21"/>
                      <w:szCs w:val="21"/>
                      <w:highlight w:val="none"/>
                    </w:rPr>
                    <w:t>喷淋管，进料时采用喷淋管喷淋。</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lang w:eastAsia="zh-CN"/>
                    </w:rPr>
                  </w:pPr>
                  <w:r>
                    <w:rPr>
                      <w:rFonts w:hint="eastAsia"/>
                      <w:color w:val="auto"/>
                      <w:sz w:val="21"/>
                      <w:szCs w:val="21"/>
                      <w:lang w:eastAsia="zh-CN"/>
                    </w:rPr>
                    <w:t>工程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1"/>
                      <w:szCs w:val="21"/>
                    </w:rPr>
                  </w:pPr>
                  <w:r>
                    <w:rPr>
                      <w:rFonts w:hint="eastAsia"/>
                      <w:color w:val="auto"/>
                      <w:sz w:val="21"/>
                      <w:szCs w:val="21"/>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6" w:type="dxa"/>
                  <w:vMerge w:val="continue"/>
                  <w:vAlign w:val="center"/>
                </w:tcPr>
                <w:p>
                  <w:pPr>
                    <w:ind w:firstLine="0" w:firstLineChars="0"/>
                    <w:jc w:val="center"/>
                    <w:rPr>
                      <w:color w:val="auto"/>
                      <w:sz w:val="21"/>
                      <w:szCs w:val="21"/>
                    </w:rPr>
                  </w:pPr>
                </w:p>
              </w:tc>
              <w:tc>
                <w:tcPr>
                  <w:tcW w:w="1131" w:type="dxa"/>
                  <w:vMerge w:val="continue"/>
                  <w:vAlign w:val="center"/>
                </w:tcPr>
                <w:p>
                  <w:pPr>
                    <w:ind w:firstLine="0" w:firstLineChars="0"/>
                    <w:jc w:val="center"/>
                    <w:rPr>
                      <w:color w:val="auto"/>
                      <w:sz w:val="21"/>
                      <w:szCs w:val="21"/>
                    </w:rPr>
                  </w:pPr>
                </w:p>
              </w:tc>
              <w:tc>
                <w:tcPr>
                  <w:tcW w:w="1290" w:type="dxa"/>
                  <w:vAlign w:val="center"/>
                </w:tcPr>
                <w:p>
                  <w:pPr>
                    <w:pStyle w:val="28"/>
                    <w:spacing w:line="240" w:lineRule="auto"/>
                    <w:ind w:firstLine="0" w:firstLineChars="0"/>
                    <w:jc w:val="center"/>
                    <w:rPr>
                      <w:color w:val="auto"/>
                      <w:sz w:val="21"/>
                      <w:szCs w:val="21"/>
                    </w:rPr>
                  </w:pPr>
                  <w:r>
                    <w:rPr>
                      <w:rFonts w:hint="eastAsia"/>
                      <w:color w:val="auto"/>
                      <w:sz w:val="21"/>
                      <w:szCs w:val="21"/>
                    </w:rPr>
                    <w:t>车间封闭</w:t>
                  </w:r>
                </w:p>
              </w:tc>
              <w:tc>
                <w:tcPr>
                  <w:tcW w:w="4524" w:type="dxa"/>
                  <w:vAlign w:val="center"/>
                </w:tcPr>
                <w:p>
                  <w:pPr>
                    <w:pStyle w:val="28"/>
                    <w:spacing w:line="240" w:lineRule="auto"/>
                    <w:ind w:firstLine="0" w:firstLineChars="0"/>
                    <w:jc w:val="left"/>
                    <w:rPr>
                      <w:color w:val="auto"/>
                      <w:sz w:val="21"/>
                      <w:szCs w:val="21"/>
                    </w:rPr>
                  </w:pPr>
                  <w:r>
                    <w:rPr>
                      <w:rFonts w:hint="eastAsia"/>
                      <w:color w:val="auto"/>
                      <w:sz w:val="21"/>
                      <w:szCs w:val="21"/>
                    </w:rPr>
                    <w:t>原料堆场三面封闭设置顶棚，破碎间成品间全封闭。</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lang w:eastAsia="zh-CN"/>
                    </w:rPr>
                  </w:pPr>
                  <w:r>
                    <w:rPr>
                      <w:rFonts w:hint="eastAsia"/>
                      <w:color w:val="auto"/>
                      <w:sz w:val="21"/>
                      <w:szCs w:val="21"/>
                      <w:lang w:eastAsia="zh-CN"/>
                    </w:rPr>
                    <w:t>工程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sz w:val="21"/>
                      <w:szCs w:val="21"/>
                    </w:rPr>
                  </w:pPr>
                  <w:r>
                    <w:rPr>
                      <w:rFonts w:hint="eastAsia"/>
                      <w:color w:val="auto"/>
                      <w:sz w:val="21"/>
                      <w:szCs w:val="21"/>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6" w:type="dxa"/>
                  <w:vMerge w:val="continue"/>
                  <w:vAlign w:val="center"/>
                </w:tcPr>
                <w:p>
                  <w:pPr>
                    <w:ind w:firstLine="0" w:firstLineChars="0"/>
                    <w:jc w:val="center"/>
                    <w:rPr>
                      <w:color w:val="auto"/>
                      <w:sz w:val="21"/>
                      <w:szCs w:val="21"/>
                    </w:rPr>
                  </w:pPr>
                </w:p>
              </w:tc>
              <w:tc>
                <w:tcPr>
                  <w:tcW w:w="1131" w:type="dxa"/>
                  <w:vMerge w:val="continue"/>
                  <w:vAlign w:val="center"/>
                </w:tcPr>
                <w:p>
                  <w:pPr>
                    <w:ind w:firstLine="0" w:firstLineChars="0"/>
                    <w:jc w:val="center"/>
                    <w:rPr>
                      <w:color w:val="auto"/>
                      <w:sz w:val="21"/>
                      <w:szCs w:val="21"/>
                    </w:rPr>
                  </w:pPr>
                </w:p>
              </w:tc>
              <w:tc>
                <w:tcPr>
                  <w:tcW w:w="1290" w:type="dxa"/>
                  <w:vAlign w:val="center"/>
                </w:tcPr>
                <w:p>
                  <w:pPr>
                    <w:pStyle w:val="28"/>
                    <w:spacing w:line="240" w:lineRule="auto"/>
                    <w:ind w:firstLine="0" w:firstLineChars="0"/>
                    <w:jc w:val="center"/>
                    <w:rPr>
                      <w:color w:val="auto"/>
                      <w:sz w:val="21"/>
                      <w:szCs w:val="21"/>
                    </w:rPr>
                  </w:pPr>
                  <w:r>
                    <w:rPr>
                      <w:rFonts w:hint="eastAsia"/>
                      <w:color w:val="auto"/>
                      <w:sz w:val="21"/>
                      <w:szCs w:val="21"/>
                    </w:rPr>
                    <w:t>厨房油烟</w:t>
                  </w:r>
                </w:p>
              </w:tc>
              <w:tc>
                <w:tcPr>
                  <w:tcW w:w="4524" w:type="dxa"/>
                  <w:vAlign w:val="center"/>
                </w:tcPr>
                <w:p>
                  <w:pPr>
                    <w:pStyle w:val="28"/>
                    <w:spacing w:line="240" w:lineRule="auto"/>
                    <w:ind w:firstLine="0" w:firstLineChars="0"/>
                    <w:jc w:val="left"/>
                    <w:rPr>
                      <w:color w:val="auto"/>
                      <w:sz w:val="21"/>
                      <w:szCs w:val="21"/>
                    </w:rPr>
                  </w:pPr>
                  <w:r>
                    <w:rPr>
                      <w:rFonts w:hint="eastAsia"/>
                      <w:color w:val="auto"/>
                      <w:sz w:val="21"/>
                      <w:szCs w:val="21"/>
                    </w:rPr>
                    <w:t>在厨房灶头上方设置油烟净化器，厨房油烟经油烟净化器处理后经排气筒排放。油烟净化器效率不低于60%。</w:t>
                  </w:r>
                </w:p>
              </w:tc>
              <w:tc>
                <w:tcPr>
                  <w:tcW w:w="975" w:type="dxa"/>
                  <w:vAlign w:val="center"/>
                </w:tcPr>
                <w:p>
                  <w:pPr>
                    <w:spacing w:line="240" w:lineRule="auto"/>
                    <w:ind w:firstLine="0" w:firstLineChars="0"/>
                    <w:jc w:val="center"/>
                    <w:rPr>
                      <w:color w:val="auto"/>
                      <w:sz w:val="21"/>
                      <w:szCs w:val="21"/>
                    </w:rPr>
                  </w:pPr>
                  <w:r>
                    <w:rPr>
                      <w:rFonts w:hint="eastAsia"/>
                      <w:color w:val="auto"/>
                      <w:sz w:val="21"/>
                      <w:szCs w:val="21"/>
                    </w:rPr>
                    <w:t>环评</w:t>
                  </w:r>
                </w:p>
                <w:p>
                  <w:pPr>
                    <w:spacing w:line="240" w:lineRule="auto"/>
                    <w:ind w:firstLine="0" w:firstLineChars="0"/>
                    <w:jc w:val="center"/>
                    <w:rPr>
                      <w:color w:val="auto"/>
                      <w:sz w:val="21"/>
                      <w:szCs w:val="21"/>
                    </w:rPr>
                  </w:pPr>
                  <w:r>
                    <w:rPr>
                      <w:rFonts w:hint="eastAsia"/>
                      <w:color w:val="auto"/>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36" w:type="dxa"/>
                  <w:vMerge w:val="continue"/>
                  <w:vAlign w:val="center"/>
                </w:tcPr>
                <w:p>
                  <w:pPr>
                    <w:ind w:firstLine="0" w:firstLineChars="0"/>
                    <w:jc w:val="center"/>
                    <w:rPr>
                      <w:color w:val="auto"/>
                      <w:sz w:val="21"/>
                      <w:szCs w:val="21"/>
                    </w:rPr>
                  </w:pPr>
                </w:p>
              </w:tc>
              <w:tc>
                <w:tcPr>
                  <w:tcW w:w="1131" w:type="dxa"/>
                  <w:vMerge w:val="restart"/>
                  <w:vAlign w:val="center"/>
                </w:tcPr>
                <w:p>
                  <w:pPr>
                    <w:spacing w:line="240" w:lineRule="auto"/>
                    <w:ind w:firstLine="0" w:firstLineChars="0"/>
                    <w:jc w:val="center"/>
                    <w:rPr>
                      <w:color w:val="auto"/>
                      <w:sz w:val="21"/>
                      <w:szCs w:val="21"/>
                    </w:rPr>
                  </w:pPr>
                  <w:r>
                    <w:rPr>
                      <w:rFonts w:hint="eastAsia"/>
                      <w:color w:val="auto"/>
                      <w:sz w:val="21"/>
                      <w:szCs w:val="21"/>
                    </w:rPr>
                    <w:t>固废</w:t>
                  </w:r>
                  <w:r>
                    <w:rPr>
                      <w:color w:val="auto"/>
                      <w:sz w:val="21"/>
                      <w:szCs w:val="21"/>
                    </w:rPr>
                    <w:t>治理工程</w:t>
                  </w:r>
                </w:p>
              </w:tc>
              <w:tc>
                <w:tcPr>
                  <w:tcW w:w="1290" w:type="dxa"/>
                  <w:vAlign w:val="center"/>
                </w:tcPr>
                <w:p>
                  <w:pPr>
                    <w:ind w:firstLine="0" w:firstLineChars="0"/>
                    <w:jc w:val="center"/>
                    <w:rPr>
                      <w:color w:val="auto"/>
                      <w:sz w:val="21"/>
                      <w:szCs w:val="21"/>
                    </w:rPr>
                  </w:pPr>
                  <w:r>
                    <w:rPr>
                      <w:rFonts w:hint="eastAsia"/>
                      <w:color w:val="auto"/>
                      <w:sz w:val="21"/>
                      <w:szCs w:val="21"/>
                    </w:rPr>
                    <w:t>垃圾收集桶</w:t>
                  </w:r>
                </w:p>
              </w:tc>
              <w:tc>
                <w:tcPr>
                  <w:tcW w:w="4524" w:type="dxa"/>
                  <w:vAlign w:val="center"/>
                </w:tcPr>
                <w:p>
                  <w:pPr>
                    <w:spacing w:line="240" w:lineRule="auto"/>
                    <w:ind w:firstLine="0" w:firstLineChars="0"/>
                    <w:jc w:val="left"/>
                    <w:rPr>
                      <w:color w:val="auto"/>
                      <w:sz w:val="21"/>
                      <w:szCs w:val="21"/>
                    </w:rPr>
                  </w:pPr>
                  <w:r>
                    <w:rPr>
                      <w:rFonts w:hint="eastAsia"/>
                      <w:color w:val="auto"/>
                      <w:sz w:val="21"/>
                      <w:szCs w:val="21"/>
                    </w:rPr>
                    <w:t>2个，容积为200L，带盖，用于收集工作人员产生的生活垃圾。</w:t>
                  </w:r>
                </w:p>
              </w:tc>
              <w:tc>
                <w:tcPr>
                  <w:tcW w:w="975" w:type="dxa"/>
                  <w:vMerge w:val="restart"/>
                  <w:vAlign w:val="center"/>
                </w:tcPr>
                <w:p>
                  <w:pPr>
                    <w:spacing w:line="240" w:lineRule="auto"/>
                    <w:ind w:firstLine="0" w:firstLineChars="0"/>
                    <w:jc w:val="center"/>
                    <w:rPr>
                      <w:color w:val="auto"/>
                      <w:sz w:val="21"/>
                      <w:szCs w:val="21"/>
                    </w:rPr>
                  </w:pPr>
                  <w:r>
                    <w:rPr>
                      <w:rFonts w:hint="eastAsia"/>
                      <w:color w:val="auto"/>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36" w:type="dxa"/>
                  <w:vMerge w:val="continue"/>
                  <w:vAlign w:val="center"/>
                </w:tcPr>
                <w:p>
                  <w:pPr>
                    <w:ind w:firstLine="0" w:firstLineChars="0"/>
                    <w:jc w:val="center"/>
                    <w:rPr>
                      <w:color w:val="auto"/>
                      <w:sz w:val="21"/>
                      <w:szCs w:val="21"/>
                    </w:rPr>
                  </w:pPr>
                </w:p>
              </w:tc>
              <w:tc>
                <w:tcPr>
                  <w:tcW w:w="1131" w:type="dxa"/>
                  <w:vMerge w:val="continue"/>
                  <w:vAlign w:val="center"/>
                </w:tcPr>
                <w:p>
                  <w:pPr>
                    <w:spacing w:line="240" w:lineRule="auto"/>
                    <w:ind w:firstLine="0" w:firstLineChars="0"/>
                    <w:jc w:val="center"/>
                    <w:rPr>
                      <w:color w:val="auto"/>
                      <w:sz w:val="21"/>
                      <w:szCs w:val="21"/>
                    </w:rPr>
                  </w:pPr>
                </w:p>
              </w:tc>
              <w:tc>
                <w:tcPr>
                  <w:tcW w:w="1290" w:type="dxa"/>
                  <w:vAlign w:val="center"/>
                </w:tcPr>
                <w:p>
                  <w:pPr>
                    <w:spacing w:line="240" w:lineRule="auto"/>
                    <w:ind w:firstLine="0" w:firstLineChars="0"/>
                    <w:jc w:val="center"/>
                    <w:rPr>
                      <w:color w:val="auto"/>
                      <w:sz w:val="21"/>
                      <w:szCs w:val="21"/>
                    </w:rPr>
                  </w:pPr>
                  <w:r>
                    <w:rPr>
                      <w:rFonts w:hint="eastAsia"/>
                      <w:color w:val="auto"/>
                      <w:sz w:val="21"/>
                      <w:szCs w:val="21"/>
                    </w:rPr>
                    <w:t>隔油池废油桶</w:t>
                  </w:r>
                </w:p>
              </w:tc>
              <w:tc>
                <w:tcPr>
                  <w:tcW w:w="4524" w:type="dxa"/>
                  <w:vAlign w:val="center"/>
                </w:tcPr>
                <w:p>
                  <w:pPr>
                    <w:spacing w:line="240" w:lineRule="auto"/>
                    <w:ind w:firstLine="0" w:firstLineChars="0"/>
                    <w:jc w:val="left"/>
                    <w:rPr>
                      <w:color w:val="auto"/>
                      <w:sz w:val="21"/>
                      <w:szCs w:val="21"/>
                    </w:rPr>
                  </w:pPr>
                  <w:r>
                    <w:rPr>
                      <w:rFonts w:hint="eastAsia"/>
                      <w:color w:val="auto"/>
                      <w:sz w:val="21"/>
                      <w:szCs w:val="21"/>
                    </w:rPr>
                    <w:t>1个，容积为50L，用于收集隔油池油渣。</w:t>
                  </w:r>
                </w:p>
              </w:tc>
              <w:tc>
                <w:tcPr>
                  <w:tcW w:w="975" w:type="dxa"/>
                  <w:vMerge w:val="continue"/>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36" w:type="dxa"/>
                  <w:vMerge w:val="continue"/>
                  <w:vAlign w:val="center"/>
                </w:tcPr>
                <w:p>
                  <w:pPr>
                    <w:ind w:firstLine="0" w:firstLineChars="0"/>
                    <w:jc w:val="center"/>
                    <w:rPr>
                      <w:color w:val="auto"/>
                      <w:sz w:val="21"/>
                      <w:szCs w:val="21"/>
                    </w:rPr>
                  </w:pPr>
                </w:p>
              </w:tc>
              <w:tc>
                <w:tcPr>
                  <w:tcW w:w="1131" w:type="dxa"/>
                  <w:vMerge w:val="continue"/>
                  <w:vAlign w:val="center"/>
                </w:tcPr>
                <w:p>
                  <w:pPr>
                    <w:spacing w:line="240" w:lineRule="auto"/>
                    <w:ind w:firstLine="0" w:firstLineChars="0"/>
                    <w:jc w:val="center"/>
                    <w:rPr>
                      <w:color w:val="auto"/>
                      <w:sz w:val="21"/>
                      <w:szCs w:val="21"/>
                    </w:rPr>
                  </w:pPr>
                </w:p>
              </w:tc>
              <w:tc>
                <w:tcPr>
                  <w:tcW w:w="1290" w:type="dxa"/>
                  <w:vAlign w:val="center"/>
                </w:tcPr>
                <w:p>
                  <w:pPr>
                    <w:ind w:firstLine="0" w:firstLineChars="0"/>
                    <w:jc w:val="center"/>
                    <w:rPr>
                      <w:color w:val="auto"/>
                      <w:sz w:val="21"/>
                      <w:szCs w:val="21"/>
                    </w:rPr>
                  </w:pPr>
                  <w:r>
                    <w:rPr>
                      <w:rFonts w:hint="eastAsia"/>
                      <w:color w:val="auto"/>
                      <w:sz w:val="21"/>
                      <w:szCs w:val="21"/>
                    </w:rPr>
                    <w:t>废机油桶</w:t>
                  </w:r>
                </w:p>
              </w:tc>
              <w:tc>
                <w:tcPr>
                  <w:tcW w:w="4524" w:type="dxa"/>
                  <w:vAlign w:val="center"/>
                </w:tcPr>
                <w:p>
                  <w:pPr>
                    <w:spacing w:line="240" w:lineRule="auto"/>
                    <w:ind w:firstLine="0" w:firstLineChars="0"/>
                    <w:jc w:val="left"/>
                    <w:rPr>
                      <w:color w:val="auto"/>
                      <w:sz w:val="21"/>
                      <w:szCs w:val="21"/>
                    </w:rPr>
                  </w:pPr>
                  <w:r>
                    <w:rPr>
                      <w:rFonts w:hint="eastAsia"/>
                      <w:color w:val="auto"/>
                      <w:sz w:val="21"/>
                      <w:szCs w:val="21"/>
                    </w:rPr>
                    <w:t>1个，容积为50L，用于收集设备维修、保养过程中产生的废机油。</w:t>
                  </w:r>
                </w:p>
              </w:tc>
              <w:tc>
                <w:tcPr>
                  <w:tcW w:w="975" w:type="dxa"/>
                  <w:vMerge w:val="continue"/>
                  <w:vAlign w:val="center"/>
                </w:tcPr>
                <w:p>
                  <w:pPr>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pPr>
                    <w:ind w:firstLine="0" w:firstLineChars="0"/>
                    <w:jc w:val="center"/>
                    <w:rPr>
                      <w:color w:val="auto"/>
                      <w:sz w:val="21"/>
                      <w:szCs w:val="21"/>
                    </w:rPr>
                  </w:pPr>
                </w:p>
              </w:tc>
              <w:tc>
                <w:tcPr>
                  <w:tcW w:w="1131" w:type="dxa"/>
                  <w:vMerge w:val="continue"/>
                  <w:vAlign w:val="center"/>
                </w:tcPr>
                <w:p>
                  <w:pPr>
                    <w:ind w:firstLine="0" w:firstLineChars="0"/>
                    <w:jc w:val="center"/>
                    <w:rPr>
                      <w:color w:val="auto"/>
                      <w:sz w:val="21"/>
                      <w:szCs w:val="21"/>
                    </w:rPr>
                  </w:pPr>
                </w:p>
              </w:tc>
              <w:tc>
                <w:tcPr>
                  <w:tcW w:w="1290" w:type="dxa"/>
                  <w:vAlign w:val="center"/>
                </w:tcPr>
                <w:p>
                  <w:pPr>
                    <w:spacing w:line="240" w:lineRule="auto"/>
                    <w:ind w:firstLine="0" w:firstLineChars="0"/>
                    <w:jc w:val="center"/>
                    <w:rPr>
                      <w:color w:val="auto"/>
                      <w:sz w:val="21"/>
                      <w:szCs w:val="21"/>
                    </w:rPr>
                  </w:pPr>
                  <w:r>
                    <w:rPr>
                      <w:rFonts w:hint="eastAsia"/>
                      <w:color w:val="auto"/>
                      <w:sz w:val="21"/>
                      <w:szCs w:val="21"/>
                    </w:rPr>
                    <w:t>危险废物暂存间</w:t>
                  </w:r>
                </w:p>
              </w:tc>
              <w:tc>
                <w:tcPr>
                  <w:tcW w:w="4524" w:type="dxa"/>
                  <w:vAlign w:val="center"/>
                </w:tcPr>
                <w:p>
                  <w:pPr>
                    <w:spacing w:line="240" w:lineRule="auto"/>
                    <w:ind w:firstLine="0" w:firstLineChars="0"/>
                    <w:jc w:val="left"/>
                    <w:rPr>
                      <w:color w:val="auto"/>
                      <w:sz w:val="21"/>
                      <w:szCs w:val="21"/>
                    </w:rPr>
                  </w:pPr>
                  <w:r>
                    <w:rPr>
                      <w:rFonts w:hint="eastAsia"/>
                      <w:color w:val="auto"/>
                      <w:sz w:val="21"/>
                      <w:szCs w:val="21"/>
                    </w:rPr>
                    <w:t>1个，占地面积为4m</w:t>
                  </w:r>
                  <w:r>
                    <w:rPr>
                      <w:rFonts w:hint="eastAsia"/>
                      <w:color w:val="auto"/>
                      <w:sz w:val="21"/>
                      <w:szCs w:val="21"/>
                      <w:vertAlign w:val="superscript"/>
                    </w:rPr>
                    <w:t>2</w:t>
                  </w:r>
                  <w:r>
                    <w:rPr>
                      <w:rFonts w:hint="eastAsia"/>
                      <w:color w:val="auto"/>
                      <w:sz w:val="21"/>
                      <w:szCs w:val="21"/>
                    </w:rPr>
                    <w:t>，位于项目区西北侧，用于暂存桶装的废机油。放置点四周设置高0.3m，有效容积为0.4m</w:t>
                  </w:r>
                  <w:r>
                    <w:rPr>
                      <w:rFonts w:hint="eastAsia"/>
                      <w:color w:val="auto"/>
                      <w:sz w:val="21"/>
                      <w:szCs w:val="21"/>
                      <w:vertAlign w:val="superscript"/>
                    </w:rPr>
                    <w:t>3</w:t>
                  </w:r>
                  <w:r>
                    <w:rPr>
                      <w:rFonts w:hint="eastAsia"/>
                      <w:color w:val="auto"/>
                      <w:sz w:val="21"/>
                      <w:szCs w:val="21"/>
                    </w:rPr>
                    <w:t>的围堰。危废暂存间地面采用抗渗系数为P8的混凝土进行浇筑，并在上方刷一层2mm的环氧树脂，保证防渗系数≤1×10</w:t>
                  </w:r>
                  <w:r>
                    <w:rPr>
                      <w:rFonts w:hint="eastAsia"/>
                      <w:color w:val="auto"/>
                      <w:sz w:val="21"/>
                      <w:szCs w:val="21"/>
                      <w:vertAlign w:val="superscript"/>
                    </w:rPr>
                    <w:t>-10</w:t>
                  </w:r>
                  <w:r>
                    <w:rPr>
                      <w:rFonts w:hint="eastAsia"/>
                      <w:color w:val="auto"/>
                      <w:sz w:val="21"/>
                      <w:szCs w:val="21"/>
                    </w:rPr>
                    <w:t>cm/s。</w:t>
                  </w:r>
                </w:p>
              </w:tc>
              <w:tc>
                <w:tcPr>
                  <w:tcW w:w="975" w:type="dxa"/>
                  <w:vMerge w:val="continue"/>
                  <w:vAlign w:val="center"/>
                </w:tcPr>
                <w:p>
                  <w:pPr>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6" w:type="dxa"/>
                  <w:vMerge w:val="continue"/>
                  <w:vAlign w:val="center"/>
                </w:tcPr>
                <w:p>
                  <w:pPr>
                    <w:ind w:firstLine="0" w:firstLineChars="0"/>
                    <w:jc w:val="center"/>
                    <w:rPr>
                      <w:color w:val="auto"/>
                      <w:sz w:val="21"/>
                      <w:szCs w:val="21"/>
                    </w:rPr>
                  </w:pPr>
                </w:p>
              </w:tc>
              <w:tc>
                <w:tcPr>
                  <w:tcW w:w="1131" w:type="dxa"/>
                  <w:vMerge w:val="restart"/>
                  <w:vAlign w:val="center"/>
                </w:tcPr>
                <w:p>
                  <w:pPr>
                    <w:spacing w:line="240" w:lineRule="auto"/>
                    <w:ind w:firstLine="0" w:firstLineChars="0"/>
                    <w:jc w:val="center"/>
                    <w:rPr>
                      <w:color w:val="auto"/>
                      <w:sz w:val="21"/>
                      <w:szCs w:val="21"/>
                    </w:rPr>
                  </w:pPr>
                  <w:r>
                    <w:rPr>
                      <w:color w:val="auto"/>
                      <w:sz w:val="21"/>
                      <w:szCs w:val="21"/>
                    </w:rPr>
                    <w:t>废水治理工程</w:t>
                  </w:r>
                </w:p>
              </w:tc>
              <w:tc>
                <w:tcPr>
                  <w:tcW w:w="1290" w:type="dxa"/>
                  <w:vAlign w:val="center"/>
                </w:tcPr>
                <w:p>
                  <w:pPr>
                    <w:spacing w:line="240" w:lineRule="auto"/>
                    <w:ind w:firstLine="0" w:firstLineChars="0"/>
                    <w:jc w:val="center"/>
                    <w:rPr>
                      <w:color w:val="auto"/>
                      <w:sz w:val="21"/>
                      <w:szCs w:val="21"/>
                    </w:rPr>
                  </w:pPr>
                  <w:r>
                    <w:rPr>
                      <w:rFonts w:hint="eastAsia"/>
                      <w:color w:val="auto"/>
                      <w:sz w:val="21"/>
                      <w:szCs w:val="21"/>
                    </w:rPr>
                    <w:t>隔油池</w:t>
                  </w:r>
                </w:p>
              </w:tc>
              <w:tc>
                <w:tcPr>
                  <w:tcW w:w="4524" w:type="dxa"/>
                  <w:vAlign w:val="center"/>
                </w:tcPr>
                <w:p>
                  <w:pPr>
                    <w:spacing w:line="240" w:lineRule="auto"/>
                    <w:ind w:firstLine="0" w:firstLineChars="0"/>
                    <w:jc w:val="left"/>
                    <w:rPr>
                      <w:color w:val="auto"/>
                      <w:sz w:val="21"/>
                      <w:szCs w:val="21"/>
                      <w:highlight w:val="none"/>
                    </w:rPr>
                  </w:pPr>
                  <w:r>
                    <w:rPr>
                      <w:rFonts w:hint="eastAsia"/>
                      <w:color w:val="auto"/>
                      <w:sz w:val="21"/>
                      <w:szCs w:val="21"/>
                      <w:highlight w:val="none"/>
                      <w:lang w:val="en-US" w:eastAsia="zh-CN"/>
                    </w:rPr>
                    <w:t>1个，容积为</w:t>
                  </w:r>
                  <w:r>
                    <w:rPr>
                      <w:rFonts w:hint="eastAsia"/>
                      <w:color w:val="auto"/>
                      <w:sz w:val="21"/>
                      <w:szCs w:val="21"/>
                      <w:highlight w:val="none"/>
                    </w:rPr>
                    <w:t>0.5m</w:t>
                  </w:r>
                  <w:r>
                    <w:rPr>
                      <w:rFonts w:hint="eastAsia"/>
                      <w:color w:val="auto"/>
                      <w:sz w:val="21"/>
                      <w:szCs w:val="21"/>
                      <w:highlight w:val="none"/>
                      <w:vertAlign w:val="superscript"/>
                    </w:rPr>
                    <w:t>3</w:t>
                  </w:r>
                  <w:r>
                    <w:rPr>
                      <w:rFonts w:hint="eastAsia"/>
                      <w:color w:val="auto"/>
                      <w:sz w:val="21"/>
                      <w:szCs w:val="21"/>
                      <w:highlight w:val="none"/>
                      <w:vertAlign w:val="baseline"/>
                      <w:lang w:eastAsia="zh-CN"/>
                    </w:rPr>
                    <w:t>，位于厨房旁，</w:t>
                  </w:r>
                  <w:r>
                    <w:rPr>
                      <w:rFonts w:hint="eastAsia"/>
                      <w:color w:val="auto"/>
                      <w:sz w:val="21"/>
                      <w:szCs w:val="21"/>
                      <w:highlight w:val="none"/>
                    </w:rPr>
                    <w:t>处理项目食堂废水，食堂废水经隔油池处理后同员工生活废水一起进入石材加工项目生产沉淀池，经沉淀后回用于石材加工项目生产。</w:t>
                  </w:r>
                </w:p>
              </w:tc>
              <w:tc>
                <w:tcPr>
                  <w:tcW w:w="975" w:type="dxa"/>
                  <w:vMerge w:val="restart"/>
                  <w:vAlign w:val="center"/>
                </w:tcPr>
                <w:p>
                  <w:pPr>
                    <w:spacing w:line="240" w:lineRule="auto"/>
                    <w:ind w:firstLine="0" w:firstLineChars="0"/>
                    <w:jc w:val="center"/>
                    <w:rPr>
                      <w:color w:val="auto"/>
                      <w:sz w:val="21"/>
                      <w:szCs w:val="21"/>
                    </w:rPr>
                  </w:pPr>
                  <w:r>
                    <w:rPr>
                      <w:rFonts w:hint="eastAsia"/>
                      <w:color w:val="auto"/>
                      <w:sz w:val="21"/>
                      <w:szCs w:val="21"/>
                    </w:rPr>
                    <w:t>环评</w:t>
                  </w:r>
                </w:p>
                <w:p>
                  <w:pPr>
                    <w:spacing w:line="240" w:lineRule="auto"/>
                    <w:ind w:firstLine="0" w:firstLineChars="0"/>
                    <w:jc w:val="center"/>
                    <w:rPr>
                      <w:color w:val="auto"/>
                      <w:sz w:val="21"/>
                      <w:szCs w:val="21"/>
                    </w:rPr>
                  </w:pPr>
                  <w:r>
                    <w:rPr>
                      <w:rFonts w:hint="eastAsia"/>
                      <w:color w:val="auto"/>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6" w:type="dxa"/>
                  <w:vMerge w:val="continue"/>
                  <w:vAlign w:val="center"/>
                </w:tcPr>
                <w:p>
                  <w:pPr>
                    <w:spacing w:line="240" w:lineRule="auto"/>
                    <w:ind w:firstLine="0" w:firstLineChars="0"/>
                    <w:jc w:val="center"/>
                    <w:rPr>
                      <w:color w:val="auto"/>
                      <w:sz w:val="21"/>
                      <w:szCs w:val="21"/>
                    </w:rPr>
                  </w:pPr>
                </w:p>
              </w:tc>
              <w:tc>
                <w:tcPr>
                  <w:tcW w:w="1131" w:type="dxa"/>
                  <w:vMerge w:val="continue"/>
                  <w:vAlign w:val="center"/>
                </w:tcPr>
                <w:p>
                  <w:pPr>
                    <w:spacing w:line="240" w:lineRule="auto"/>
                    <w:ind w:firstLine="0" w:firstLineChars="0"/>
                    <w:jc w:val="center"/>
                    <w:rPr>
                      <w:color w:val="auto"/>
                      <w:sz w:val="21"/>
                      <w:szCs w:val="21"/>
                    </w:rPr>
                  </w:pPr>
                </w:p>
              </w:tc>
              <w:tc>
                <w:tcPr>
                  <w:tcW w:w="1290" w:type="dxa"/>
                  <w:vAlign w:val="center"/>
                </w:tcPr>
                <w:p>
                  <w:pPr>
                    <w:spacing w:line="240" w:lineRule="auto"/>
                    <w:ind w:firstLine="0" w:firstLineChars="0"/>
                    <w:jc w:val="center"/>
                    <w:rPr>
                      <w:color w:val="auto"/>
                      <w:sz w:val="21"/>
                      <w:szCs w:val="21"/>
                    </w:rPr>
                  </w:pPr>
                  <w:r>
                    <w:rPr>
                      <w:rFonts w:hint="eastAsia"/>
                      <w:color w:val="auto"/>
                      <w:sz w:val="21"/>
                      <w:szCs w:val="21"/>
                    </w:rPr>
                    <w:t>雨水收集池</w:t>
                  </w:r>
                </w:p>
              </w:tc>
              <w:tc>
                <w:tcPr>
                  <w:tcW w:w="4524" w:type="dxa"/>
                  <w:vAlign w:val="center"/>
                </w:tcPr>
                <w:p>
                  <w:pPr>
                    <w:spacing w:line="240" w:lineRule="auto"/>
                    <w:ind w:firstLine="0" w:firstLineChars="0"/>
                    <w:jc w:val="left"/>
                    <w:rPr>
                      <w:color w:val="auto"/>
                      <w:sz w:val="21"/>
                      <w:szCs w:val="21"/>
                      <w:highlight w:val="none"/>
                    </w:rPr>
                  </w:pPr>
                  <w:r>
                    <w:rPr>
                      <w:rFonts w:hint="eastAsia"/>
                      <w:color w:val="auto"/>
                      <w:sz w:val="21"/>
                      <w:szCs w:val="21"/>
                      <w:highlight w:val="none"/>
                      <w:lang w:val="en-US" w:eastAsia="zh-CN"/>
                    </w:rPr>
                    <w:t>1个，容积为60</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vertAlign w:val="baseline"/>
                      <w:lang w:eastAsia="zh-CN"/>
                    </w:rPr>
                    <w:t>，位于项目西北角</w:t>
                  </w:r>
                  <w:r>
                    <w:rPr>
                      <w:rFonts w:hint="eastAsia"/>
                      <w:color w:val="auto"/>
                      <w:sz w:val="21"/>
                      <w:szCs w:val="21"/>
                      <w:highlight w:val="none"/>
                      <w:vertAlign w:val="baseline"/>
                      <w:lang w:val="en-US" w:eastAsia="zh-CN"/>
                    </w:rPr>
                    <w:t xml:space="preserve"> ，</w:t>
                  </w:r>
                  <w:r>
                    <w:rPr>
                      <w:rFonts w:hint="eastAsia"/>
                      <w:color w:val="auto"/>
                      <w:sz w:val="21"/>
                      <w:szCs w:val="21"/>
                      <w:highlight w:val="none"/>
                    </w:rPr>
                    <w:t>初期雨水由雨水沟收集后经雨水收集池沉淀回用于石材加工项目生产。</w:t>
                  </w:r>
                </w:p>
              </w:tc>
              <w:tc>
                <w:tcPr>
                  <w:tcW w:w="975" w:type="dxa"/>
                  <w:vMerge w:val="continue"/>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ind w:firstLine="0" w:firstLineChars="0"/>
                    <w:jc w:val="center"/>
                    <w:rPr>
                      <w:color w:val="auto"/>
                      <w:sz w:val="21"/>
                      <w:szCs w:val="21"/>
                    </w:rPr>
                  </w:pPr>
                </w:p>
              </w:tc>
              <w:tc>
                <w:tcPr>
                  <w:tcW w:w="1131" w:type="dxa"/>
                  <w:vAlign w:val="center"/>
                </w:tcPr>
                <w:p>
                  <w:pPr>
                    <w:spacing w:line="240" w:lineRule="auto"/>
                    <w:ind w:firstLine="0" w:firstLineChars="0"/>
                    <w:jc w:val="center"/>
                    <w:rPr>
                      <w:color w:val="auto"/>
                      <w:sz w:val="21"/>
                      <w:szCs w:val="21"/>
                    </w:rPr>
                  </w:pPr>
                  <w:r>
                    <w:rPr>
                      <w:rFonts w:hint="eastAsia"/>
                      <w:color w:val="auto"/>
                      <w:sz w:val="21"/>
                      <w:szCs w:val="21"/>
                    </w:rPr>
                    <w:t>噪声治理工程</w:t>
                  </w:r>
                </w:p>
              </w:tc>
              <w:tc>
                <w:tcPr>
                  <w:tcW w:w="5814" w:type="dxa"/>
                  <w:gridSpan w:val="2"/>
                  <w:vAlign w:val="center"/>
                </w:tcPr>
                <w:p>
                  <w:pPr>
                    <w:spacing w:line="240" w:lineRule="auto"/>
                    <w:ind w:firstLine="0" w:firstLineChars="0"/>
                    <w:jc w:val="center"/>
                    <w:rPr>
                      <w:color w:val="auto"/>
                      <w:sz w:val="21"/>
                      <w:szCs w:val="21"/>
                    </w:rPr>
                  </w:pPr>
                  <w:r>
                    <w:rPr>
                      <w:rFonts w:hint="eastAsia"/>
                      <w:color w:val="auto"/>
                      <w:sz w:val="21"/>
                      <w:szCs w:val="21"/>
                    </w:rPr>
                    <w:t>选用低噪声设备、采取基础减震措施。</w:t>
                  </w:r>
                </w:p>
              </w:tc>
              <w:tc>
                <w:tcPr>
                  <w:tcW w:w="975" w:type="dxa"/>
                  <w:vAlign w:val="center"/>
                </w:tcPr>
                <w:p>
                  <w:pPr>
                    <w:spacing w:line="240" w:lineRule="auto"/>
                    <w:ind w:firstLine="0" w:firstLineChars="0"/>
                    <w:jc w:val="center"/>
                    <w:rPr>
                      <w:color w:val="auto"/>
                      <w:sz w:val="21"/>
                      <w:szCs w:val="21"/>
                    </w:rPr>
                  </w:pPr>
                  <w:r>
                    <w:rPr>
                      <w:rFonts w:hint="eastAsia"/>
                      <w:color w:val="auto"/>
                      <w:sz w:val="21"/>
                      <w:szCs w:val="21"/>
                    </w:rPr>
                    <w:t>环评</w:t>
                  </w:r>
                </w:p>
                <w:p>
                  <w:pPr>
                    <w:spacing w:line="240" w:lineRule="auto"/>
                    <w:ind w:firstLine="0" w:firstLineChars="0"/>
                    <w:jc w:val="center"/>
                    <w:rPr>
                      <w:color w:val="auto"/>
                      <w:sz w:val="21"/>
                      <w:szCs w:val="21"/>
                    </w:rPr>
                  </w:pPr>
                  <w:r>
                    <w:rPr>
                      <w:rFonts w:hint="eastAsia"/>
                      <w:color w:val="auto"/>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ind w:firstLine="0" w:firstLineChars="0"/>
                    <w:jc w:val="center"/>
                    <w:rPr>
                      <w:color w:val="auto"/>
                      <w:sz w:val="21"/>
                      <w:szCs w:val="21"/>
                    </w:rPr>
                  </w:pPr>
                </w:p>
              </w:tc>
              <w:tc>
                <w:tcPr>
                  <w:tcW w:w="1131" w:type="dxa"/>
                  <w:vAlign w:val="center"/>
                </w:tcPr>
                <w:p>
                  <w:pPr>
                    <w:spacing w:line="240" w:lineRule="auto"/>
                    <w:ind w:firstLine="0" w:firstLineChars="0"/>
                    <w:jc w:val="center"/>
                    <w:rPr>
                      <w:color w:val="auto"/>
                      <w:sz w:val="21"/>
                      <w:szCs w:val="21"/>
                    </w:rPr>
                  </w:pPr>
                  <w:r>
                    <w:rPr>
                      <w:rFonts w:hint="eastAsia"/>
                      <w:color w:val="auto"/>
                      <w:sz w:val="21"/>
                      <w:szCs w:val="21"/>
                    </w:rPr>
                    <w:t>绿化</w:t>
                  </w:r>
                </w:p>
              </w:tc>
              <w:tc>
                <w:tcPr>
                  <w:tcW w:w="5814" w:type="dxa"/>
                  <w:gridSpan w:val="2"/>
                  <w:vAlign w:val="center"/>
                </w:tcPr>
                <w:p>
                  <w:pPr>
                    <w:spacing w:line="240" w:lineRule="auto"/>
                    <w:ind w:firstLine="0" w:firstLineChars="0"/>
                    <w:jc w:val="center"/>
                    <w:rPr>
                      <w:color w:val="auto"/>
                      <w:sz w:val="21"/>
                      <w:szCs w:val="21"/>
                    </w:rPr>
                  </w:pPr>
                  <w:r>
                    <w:rPr>
                      <w:rFonts w:hint="eastAsia"/>
                      <w:color w:val="auto"/>
                      <w:sz w:val="21"/>
                      <w:szCs w:val="21"/>
                    </w:rPr>
                    <w:t>在厂区设置占地面积约300m</w:t>
                  </w:r>
                  <w:r>
                    <w:rPr>
                      <w:rFonts w:hint="eastAsia"/>
                      <w:color w:val="auto"/>
                      <w:sz w:val="21"/>
                      <w:szCs w:val="21"/>
                      <w:vertAlign w:val="superscript"/>
                    </w:rPr>
                    <w:t>2</w:t>
                  </w:r>
                  <w:r>
                    <w:rPr>
                      <w:rFonts w:hint="eastAsia"/>
                      <w:color w:val="auto"/>
                      <w:sz w:val="21"/>
                      <w:szCs w:val="21"/>
                    </w:rPr>
                    <w:t>的绿化带</w:t>
                  </w:r>
                </w:p>
              </w:tc>
              <w:tc>
                <w:tcPr>
                  <w:tcW w:w="975" w:type="dxa"/>
                  <w:vAlign w:val="center"/>
                </w:tcPr>
                <w:p>
                  <w:pPr>
                    <w:spacing w:line="240" w:lineRule="auto"/>
                    <w:ind w:firstLine="0" w:firstLineChars="0"/>
                    <w:jc w:val="center"/>
                    <w:rPr>
                      <w:color w:val="auto"/>
                      <w:sz w:val="21"/>
                      <w:szCs w:val="21"/>
                    </w:rPr>
                  </w:pPr>
                  <w:r>
                    <w:rPr>
                      <w:rFonts w:hint="eastAsia"/>
                      <w:color w:val="auto"/>
                      <w:sz w:val="21"/>
                      <w:szCs w:val="21"/>
                    </w:rPr>
                    <w:t>环评</w:t>
                  </w:r>
                </w:p>
                <w:p>
                  <w:pPr>
                    <w:spacing w:line="240" w:lineRule="auto"/>
                    <w:ind w:firstLine="0" w:firstLineChars="0"/>
                    <w:jc w:val="center"/>
                    <w:rPr>
                      <w:color w:val="auto"/>
                      <w:sz w:val="21"/>
                      <w:szCs w:val="21"/>
                    </w:rPr>
                  </w:pPr>
                  <w:r>
                    <w:rPr>
                      <w:rFonts w:hint="eastAsia"/>
                      <w:color w:val="auto"/>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restart"/>
                  <w:vAlign w:val="center"/>
                </w:tcPr>
                <w:p>
                  <w:pPr>
                    <w:spacing w:line="240" w:lineRule="auto"/>
                    <w:ind w:firstLine="0" w:firstLineChars="0"/>
                    <w:jc w:val="center"/>
                    <w:rPr>
                      <w:rFonts w:hint="eastAsia" w:eastAsia="宋体"/>
                      <w:color w:val="auto"/>
                      <w:sz w:val="21"/>
                      <w:szCs w:val="21"/>
                      <w:lang w:eastAsia="zh-CN"/>
                    </w:rPr>
                  </w:pPr>
                  <w:r>
                    <w:rPr>
                      <w:rFonts w:hint="eastAsia"/>
                      <w:color w:val="auto"/>
                      <w:sz w:val="21"/>
                      <w:szCs w:val="21"/>
                      <w:lang w:eastAsia="zh-CN"/>
                    </w:rPr>
                    <w:t>依托工程</w:t>
                  </w:r>
                </w:p>
              </w:tc>
              <w:tc>
                <w:tcPr>
                  <w:tcW w:w="1131" w:type="dxa"/>
                  <w:vAlign w:val="center"/>
                </w:tcPr>
                <w:p>
                  <w:pPr>
                    <w:ind w:firstLine="0" w:firstLineChars="0"/>
                    <w:jc w:val="center"/>
                    <w:rPr>
                      <w:rFonts w:hint="eastAsia"/>
                      <w:color w:val="auto"/>
                      <w:sz w:val="21"/>
                      <w:szCs w:val="21"/>
                    </w:rPr>
                  </w:pPr>
                  <w:r>
                    <w:rPr>
                      <w:rFonts w:hint="eastAsia"/>
                      <w:color w:val="auto"/>
                      <w:sz w:val="21"/>
                      <w:szCs w:val="21"/>
                    </w:rPr>
                    <w:t>宿舍</w:t>
                  </w:r>
                </w:p>
              </w:tc>
              <w:tc>
                <w:tcPr>
                  <w:tcW w:w="5814" w:type="dxa"/>
                  <w:gridSpan w:val="2"/>
                  <w:vAlign w:val="center"/>
                </w:tcPr>
                <w:p>
                  <w:pPr>
                    <w:spacing w:line="240" w:lineRule="auto"/>
                    <w:ind w:firstLine="0" w:firstLineChars="0"/>
                    <w:jc w:val="left"/>
                    <w:rPr>
                      <w:rFonts w:hint="eastAsia"/>
                      <w:color w:val="auto"/>
                      <w:sz w:val="21"/>
                      <w:szCs w:val="21"/>
                    </w:rPr>
                  </w:pPr>
                  <w:r>
                    <w:rPr>
                      <w:rStyle w:val="26"/>
                      <w:rFonts w:hint="eastAsia"/>
                      <w:color w:val="auto"/>
                    </w:rPr>
                    <w:t>本项目不新建宿舍，依托石材厂内</w:t>
                  </w:r>
                  <w:r>
                    <w:rPr>
                      <w:rFonts w:hint="eastAsia"/>
                      <w:color w:val="auto"/>
                      <w:sz w:val="21"/>
                      <w:szCs w:val="21"/>
                    </w:rPr>
                    <w:t>原有两个宿舍区，编号为1#、2#，1#宿舍区位于厂区西侧，2#宿舍位于厂区东北侧，均为1层混转结构，占地</w:t>
                  </w:r>
                  <w:r>
                    <w:rPr>
                      <w:color w:val="auto"/>
                      <w:sz w:val="21"/>
                      <w:szCs w:val="21"/>
                    </w:rPr>
                    <w:t>面积</w:t>
                  </w:r>
                  <w:r>
                    <w:rPr>
                      <w:rFonts w:hint="eastAsia"/>
                      <w:color w:val="auto"/>
                      <w:sz w:val="21"/>
                      <w:szCs w:val="21"/>
                    </w:rPr>
                    <w:t>146</w:t>
                  </w:r>
                  <w:r>
                    <w:rPr>
                      <w:color w:val="auto"/>
                      <w:sz w:val="21"/>
                      <w:szCs w:val="21"/>
                    </w:rPr>
                    <w:t>m</w:t>
                  </w:r>
                  <w:r>
                    <w:rPr>
                      <w:color w:val="auto"/>
                      <w:sz w:val="21"/>
                      <w:szCs w:val="21"/>
                      <w:vertAlign w:val="superscript"/>
                    </w:rPr>
                    <w:t>2</w:t>
                  </w:r>
                  <w:r>
                    <w:rPr>
                      <w:color w:val="auto"/>
                      <w:sz w:val="21"/>
                      <w:szCs w:val="21"/>
                    </w:rPr>
                    <w:t>，</w:t>
                  </w:r>
                  <w:r>
                    <w:rPr>
                      <w:rFonts w:hint="eastAsia"/>
                      <w:color w:val="auto"/>
                      <w:sz w:val="21"/>
                      <w:szCs w:val="21"/>
                    </w:rPr>
                    <w:t>建筑面积146</w:t>
                  </w:r>
                  <w:r>
                    <w:rPr>
                      <w:color w:val="auto"/>
                      <w:sz w:val="21"/>
                      <w:szCs w:val="21"/>
                    </w:rPr>
                    <w:t>m</w:t>
                  </w:r>
                  <w:r>
                    <w:rPr>
                      <w:color w:val="auto"/>
                      <w:sz w:val="21"/>
                      <w:szCs w:val="21"/>
                      <w:vertAlign w:val="superscript"/>
                    </w:rPr>
                    <w:t>2</w:t>
                  </w:r>
                  <w:r>
                    <w:rPr>
                      <w:color w:val="auto"/>
                      <w:sz w:val="21"/>
                      <w:szCs w:val="21"/>
                    </w:rPr>
                    <w:t>，用于员工</w:t>
                  </w:r>
                  <w:r>
                    <w:rPr>
                      <w:rFonts w:hint="eastAsia"/>
                      <w:color w:val="auto"/>
                      <w:sz w:val="21"/>
                      <w:szCs w:val="21"/>
                    </w:rPr>
                    <w:t>住宿。</w:t>
                  </w:r>
                </w:p>
              </w:tc>
              <w:tc>
                <w:tcPr>
                  <w:tcW w:w="975" w:type="dxa"/>
                  <w:vMerge w:val="restart"/>
                  <w:vAlign w:val="center"/>
                </w:tcPr>
                <w:p>
                  <w:pPr>
                    <w:spacing w:line="240" w:lineRule="auto"/>
                    <w:ind w:firstLine="0" w:firstLineChars="0"/>
                    <w:jc w:val="center"/>
                    <w:rPr>
                      <w:rFonts w:hint="eastAsia"/>
                      <w:color w:val="auto"/>
                      <w:sz w:val="21"/>
                      <w:szCs w:val="21"/>
                      <w:lang w:eastAsia="zh-CN"/>
                    </w:rPr>
                  </w:pPr>
                  <w:r>
                    <w:rPr>
                      <w:rFonts w:hint="eastAsia"/>
                      <w:color w:val="auto"/>
                      <w:sz w:val="21"/>
                      <w:szCs w:val="21"/>
                      <w:lang w:eastAsia="zh-CN"/>
                    </w:rPr>
                    <w:t>项目员工办公生活均依托石材厂原有设施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240" w:lineRule="auto"/>
                    <w:ind w:firstLine="0" w:firstLineChars="0"/>
                    <w:jc w:val="center"/>
                    <w:rPr>
                      <w:color w:val="auto"/>
                      <w:sz w:val="21"/>
                      <w:szCs w:val="21"/>
                    </w:rPr>
                  </w:pPr>
                </w:p>
              </w:tc>
              <w:tc>
                <w:tcPr>
                  <w:tcW w:w="1131" w:type="dxa"/>
                  <w:vAlign w:val="center"/>
                </w:tcPr>
                <w:p>
                  <w:pPr>
                    <w:ind w:firstLine="0" w:firstLineChars="0"/>
                    <w:jc w:val="center"/>
                    <w:rPr>
                      <w:rFonts w:hint="eastAsia"/>
                      <w:color w:val="auto"/>
                      <w:sz w:val="21"/>
                      <w:szCs w:val="21"/>
                    </w:rPr>
                  </w:pPr>
                  <w:r>
                    <w:rPr>
                      <w:rFonts w:hint="eastAsia"/>
                      <w:color w:val="auto"/>
                      <w:sz w:val="21"/>
                      <w:szCs w:val="21"/>
                    </w:rPr>
                    <w:t>办公区</w:t>
                  </w:r>
                </w:p>
              </w:tc>
              <w:tc>
                <w:tcPr>
                  <w:tcW w:w="5814" w:type="dxa"/>
                  <w:gridSpan w:val="2"/>
                  <w:vAlign w:val="center"/>
                </w:tcPr>
                <w:p>
                  <w:pPr>
                    <w:spacing w:line="240" w:lineRule="auto"/>
                    <w:ind w:firstLine="0" w:firstLineChars="0"/>
                    <w:jc w:val="left"/>
                    <w:rPr>
                      <w:rFonts w:hint="eastAsia"/>
                      <w:color w:val="auto"/>
                      <w:sz w:val="21"/>
                      <w:szCs w:val="21"/>
                    </w:rPr>
                  </w:pPr>
                  <w:r>
                    <w:rPr>
                      <w:rStyle w:val="26"/>
                      <w:rFonts w:hint="eastAsia"/>
                      <w:color w:val="auto"/>
                    </w:rPr>
                    <w:t>本项目不新建办公区，依托石材厂内原有办公区，</w:t>
                  </w:r>
                  <w:r>
                    <w:rPr>
                      <w:color w:val="auto"/>
                      <w:sz w:val="21"/>
                      <w:szCs w:val="21"/>
                    </w:rPr>
                    <w:t>位于</w:t>
                  </w:r>
                  <w:r>
                    <w:rPr>
                      <w:rFonts w:hint="eastAsia"/>
                      <w:color w:val="auto"/>
                      <w:sz w:val="21"/>
                      <w:szCs w:val="21"/>
                    </w:rPr>
                    <w:t>本项目西南侧</w:t>
                  </w:r>
                  <w:r>
                    <w:rPr>
                      <w:color w:val="auto"/>
                      <w:sz w:val="21"/>
                      <w:szCs w:val="21"/>
                    </w:rPr>
                    <w:t>，</w:t>
                  </w:r>
                  <w:r>
                    <w:rPr>
                      <w:rFonts w:hint="eastAsia"/>
                      <w:color w:val="auto"/>
                      <w:sz w:val="21"/>
                      <w:szCs w:val="21"/>
                    </w:rPr>
                    <w:t>1层混转结构，占地</w:t>
                  </w:r>
                  <w:r>
                    <w:rPr>
                      <w:color w:val="auto"/>
                      <w:sz w:val="21"/>
                      <w:szCs w:val="21"/>
                    </w:rPr>
                    <w:t>面积</w:t>
                  </w:r>
                  <w:r>
                    <w:rPr>
                      <w:rFonts w:hint="eastAsia"/>
                      <w:color w:val="auto"/>
                      <w:sz w:val="21"/>
                      <w:szCs w:val="21"/>
                    </w:rPr>
                    <w:t>180</w:t>
                  </w:r>
                  <w:r>
                    <w:rPr>
                      <w:color w:val="auto"/>
                      <w:sz w:val="21"/>
                      <w:szCs w:val="21"/>
                    </w:rPr>
                    <w:t>m</w:t>
                  </w:r>
                  <w:r>
                    <w:rPr>
                      <w:color w:val="auto"/>
                      <w:sz w:val="21"/>
                      <w:szCs w:val="21"/>
                      <w:vertAlign w:val="superscript"/>
                    </w:rPr>
                    <w:t>2</w:t>
                  </w:r>
                  <w:r>
                    <w:rPr>
                      <w:color w:val="auto"/>
                      <w:sz w:val="21"/>
                      <w:szCs w:val="21"/>
                    </w:rPr>
                    <w:t>，</w:t>
                  </w:r>
                  <w:r>
                    <w:rPr>
                      <w:rFonts w:hint="eastAsia"/>
                      <w:color w:val="auto"/>
                      <w:sz w:val="21"/>
                      <w:szCs w:val="21"/>
                    </w:rPr>
                    <w:t>建筑面积180</w:t>
                  </w:r>
                  <w:r>
                    <w:rPr>
                      <w:color w:val="auto"/>
                      <w:sz w:val="21"/>
                      <w:szCs w:val="21"/>
                    </w:rPr>
                    <w:t>m</w:t>
                  </w:r>
                  <w:r>
                    <w:rPr>
                      <w:color w:val="auto"/>
                      <w:sz w:val="21"/>
                      <w:szCs w:val="21"/>
                      <w:vertAlign w:val="superscript"/>
                    </w:rPr>
                    <w:t>2</w:t>
                  </w:r>
                  <w:r>
                    <w:rPr>
                      <w:rFonts w:hint="eastAsia"/>
                      <w:color w:val="auto"/>
                      <w:sz w:val="21"/>
                      <w:szCs w:val="21"/>
                    </w:rPr>
                    <w:t>，</w:t>
                  </w:r>
                  <w:r>
                    <w:rPr>
                      <w:color w:val="auto"/>
                      <w:sz w:val="21"/>
                      <w:szCs w:val="21"/>
                    </w:rPr>
                    <w:t>用于员工办工</w:t>
                  </w:r>
                  <w:r>
                    <w:rPr>
                      <w:rFonts w:hint="eastAsia"/>
                      <w:color w:val="auto"/>
                      <w:sz w:val="21"/>
                      <w:szCs w:val="21"/>
                    </w:rPr>
                    <w:t>。</w:t>
                  </w:r>
                </w:p>
              </w:tc>
              <w:tc>
                <w:tcPr>
                  <w:tcW w:w="975" w:type="dxa"/>
                  <w:vMerge w:val="continue"/>
                  <w:vAlign w:val="center"/>
                </w:tcPr>
                <w:p>
                  <w:pPr>
                    <w:spacing w:line="240" w:lineRule="auto"/>
                    <w:ind w:firstLine="0" w:firstLineChars="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240" w:lineRule="auto"/>
                    <w:ind w:firstLine="0" w:firstLineChars="0"/>
                    <w:jc w:val="center"/>
                    <w:rPr>
                      <w:color w:val="auto"/>
                      <w:sz w:val="21"/>
                      <w:szCs w:val="21"/>
                    </w:rPr>
                  </w:pPr>
                </w:p>
              </w:tc>
              <w:tc>
                <w:tcPr>
                  <w:tcW w:w="1131" w:type="dxa"/>
                  <w:vAlign w:val="center"/>
                </w:tcPr>
                <w:p>
                  <w:pPr>
                    <w:ind w:firstLine="0" w:firstLineChars="0"/>
                    <w:jc w:val="center"/>
                    <w:rPr>
                      <w:rFonts w:hint="eastAsia"/>
                      <w:color w:val="auto"/>
                      <w:sz w:val="21"/>
                      <w:szCs w:val="21"/>
                    </w:rPr>
                  </w:pPr>
                  <w:r>
                    <w:rPr>
                      <w:rFonts w:hint="eastAsia"/>
                      <w:color w:val="auto"/>
                      <w:sz w:val="21"/>
                      <w:szCs w:val="21"/>
                    </w:rPr>
                    <w:t>食堂</w:t>
                  </w:r>
                </w:p>
              </w:tc>
              <w:tc>
                <w:tcPr>
                  <w:tcW w:w="5814" w:type="dxa"/>
                  <w:gridSpan w:val="2"/>
                  <w:vAlign w:val="center"/>
                </w:tcPr>
                <w:p>
                  <w:pPr>
                    <w:spacing w:line="240" w:lineRule="auto"/>
                    <w:ind w:firstLine="0" w:firstLineChars="0"/>
                    <w:jc w:val="left"/>
                    <w:rPr>
                      <w:rFonts w:hint="eastAsia"/>
                      <w:color w:val="auto"/>
                      <w:sz w:val="21"/>
                      <w:szCs w:val="21"/>
                    </w:rPr>
                  </w:pPr>
                  <w:r>
                    <w:rPr>
                      <w:rStyle w:val="26"/>
                      <w:rFonts w:hint="eastAsia"/>
                      <w:color w:val="auto"/>
                    </w:rPr>
                    <w:t>本项目不新建食堂，依托石材厂内原有</w:t>
                  </w:r>
                  <w:r>
                    <w:rPr>
                      <w:rFonts w:hint="eastAsia"/>
                      <w:color w:val="auto"/>
                      <w:sz w:val="21"/>
                      <w:szCs w:val="21"/>
                    </w:rPr>
                    <w:t>食堂，占地面积为116</w:t>
                  </w:r>
                  <w:r>
                    <w:rPr>
                      <w:color w:val="auto"/>
                      <w:sz w:val="21"/>
                      <w:szCs w:val="21"/>
                    </w:rPr>
                    <w:t>m</w:t>
                  </w:r>
                  <w:r>
                    <w:rPr>
                      <w:color w:val="auto"/>
                      <w:sz w:val="21"/>
                      <w:szCs w:val="21"/>
                      <w:vertAlign w:val="superscript"/>
                    </w:rPr>
                    <w:t>2</w:t>
                  </w:r>
                  <w:r>
                    <w:rPr>
                      <w:color w:val="auto"/>
                      <w:sz w:val="21"/>
                      <w:szCs w:val="21"/>
                    </w:rPr>
                    <w:t>，</w:t>
                  </w:r>
                  <w:r>
                    <w:rPr>
                      <w:rFonts w:hint="eastAsia"/>
                      <w:color w:val="auto"/>
                      <w:sz w:val="21"/>
                      <w:szCs w:val="21"/>
                    </w:rPr>
                    <w:t>位于厂区西北角。</w:t>
                  </w:r>
                </w:p>
              </w:tc>
              <w:tc>
                <w:tcPr>
                  <w:tcW w:w="975" w:type="dxa"/>
                  <w:vMerge w:val="continue"/>
                  <w:vAlign w:val="center"/>
                </w:tcPr>
                <w:p>
                  <w:pPr>
                    <w:spacing w:line="240" w:lineRule="auto"/>
                    <w:ind w:firstLine="0" w:firstLineChars="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240" w:lineRule="auto"/>
                    <w:ind w:firstLine="0" w:firstLineChars="0"/>
                    <w:jc w:val="center"/>
                    <w:rPr>
                      <w:color w:val="auto"/>
                      <w:sz w:val="21"/>
                      <w:szCs w:val="21"/>
                    </w:rPr>
                  </w:pPr>
                </w:p>
              </w:tc>
              <w:tc>
                <w:tcPr>
                  <w:tcW w:w="1131" w:type="dxa"/>
                  <w:vAlign w:val="center"/>
                </w:tcPr>
                <w:p>
                  <w:pPr>
                    <w:ind w:firstLine="0" w:firstLineChars="0"/>
                    <w:jc w:val="center"/>
                    <w:rPr>
                      <w:rFonts w:hint="eastAsia"/>
                      <w:color w:val="auto"/>
                      <w:sz w:val="21"/>
                      <w:szCs w:val="21"/>
                    </w:rPr>
                  </w:pPr>
                  <w:r>
                    <w:rPr>
                      <w:rFonts w:hint="eastAsia"/>
                      <w:color w:val="auto"/>
                      <w:sz w:val="21"/>
                      <w:szCs w:val="21"/>
                    </w:rPr>
                    <w:t>旱厕</w:t>
                  </w:r>
                </w:p>
              </w:tc>
              <w:tc>
                <w:tcPr>
                  <w:tcW w:w="5814" w:type="dxa"/>
                  <w:gridSpan w:val="2"/>
                  <w:vAlign w:val="center"/>
                </w:tcPr>
                <w:p>
                  <w:pPr>
                    <w:spacing w:line="240" w:lineRule="auto"/>
                    <w:ind w:firstLine="0" w:firstLineChars="0"/>
                    <w:jc w:val="left"/>
                    <w:rPr>
                      <w:rFonts w:hint="eastAsia"/>
                      <w:color w:val="auto"/>
                      <w:sz w:val="21"/>
                      <w:szCs w:val="21"/>
                    </w:rPr>
                  </w:pPr>
                  <w:r>
                    <w:rPr>
                      <w:rStyle w:val="26"/>
                      <w:rFonts w:hint="eastAsia"/>
                      <w:color w:val="auto"/>
                    </w:rPr>
                    <w:t>本项目不新建食堂，依托石材厂内原有</w:t>
                  </w:r>
                  <w:r>
                    <w:rPr>
                      <w:rFonts w:hint="eastAsia"/>
                      <w:color w:val="auto"/>
                      <w:sz w:val="21"/>
                      <w:szCs w:val="21"/>
                    </w:rPr>
                    <w:t>旱厕，位于办公区东侧，占地面积10</w:t>
                  </w:r>
                  <w:r>
                    <w:rPr>
                      <w:color w:val="auto"/>
                      <w:sz w:val="21"/>
                      <w:szCs w:val="21"/>
                    </w:rPr>
                    <w:t>m</w:t>
                  </w:r>
                  <w:r>
                    <w:rPr>
                      <w:color w:val="auto"/>
                      <w:sz w:val="21"/>
                      <w:szCs w:val="21"/>
                      <w:vertAlign w:val="superscript"/>
                    </w:rPr>
                    <w:t>2</w:t>
                  </w:r>
                  <w:r>
                    <w:rPr>
                      <w:rFonts w:hint="eastAsia"/>
                      <w:color w:val="auto"/>
                      <w:sz w:val="21"/>
                      <w:szCs w:val="21"/>
                    </w:rPr>
                    <w:t>。</w:t>
                  </w:r>
                </w:p>
              </w:tc>
              <w:tc>
                <w:tcPr>
                  <w:tcW w:w="975" w:type="dxa"/>
                  <w:vMerge w:val="continue"/>
                  <w:vAlign w:val="center"/>
                </w:tcPr>
                <w:p>
                  <w:pPr>
                    <w:spacing w:line="240" w:lineRule="auto"/>
                    <w:ind w:firstLine="0" w:firstLineChars="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240" w:lineRule="auto"/>
                    <w:ind w:firstLine="0" w:firstLineChars="0"/>
                    <w:jc w:val="center"/>
                    <w:rPr>
                      <w:color w:val="auto"/>
                      <w:sz w:val="21"/>
                      <w:szCs w:val="21"/>
                    </w:rPr>
                  </w:pPr>
                </w:p>
              </w:tc>
              <w:tc>
                <w:tcPr>
                  <w:tcW w:w="1131" w:type="dxa"/>
                  <w:vAlign w:val="center"/>
                </w:tcPr>
                <w:p>
                  <w:pPr>
                    <w:adjustRightInd w:val="0"/>
                    <w:spacing w:line="240" w:lineRule="auto"/>
                    <w:ind w:firstLine="0" w:firstLineChars="0"/>
                    <w:jc w:val="center"/>
                    <w:outlineLvl w:val="0"/>
                    <w:rPr>
                      <w:rFonts w:hint="eastAsia"/>
                      <w:color w:val="auto"/>
                      <w:sz w:val="21"/>
                      <w:szCs w:val="21"/>
                    </w:rPr>
                  </w:pPr>
                  <w:r>
                    <w:rPr>
                      <w:rFonts w:hint="eastAsia"/>
                      <w:color w:val="auto"/>
                      <w:sz w:val="21"/>
                      <w:szCs w:val="21"/>
                    </w:rPr>
                    <w:t>道路</w:t>
                  </w:r>
                </w:p>
              </w:tc>
              <w:tc>
                <w:tcPr>
                  <w:tcW w:w="5814" w:type="dxa"/>
                  <w:gridSpan w:val="2"/>
                  <w:vAlign w:val="top"/>
                </w:tcPr>
                <w:p>
                  <w:pPr>
                    <w:adjustRightInd w:val="0"/>
                    <w:spacing w:line="240" w:lineRule="auto"/>
                    <w:ind w:firstLine="0" w:firstLineChars="0"/>
                    <w:outlineLvl w:val="0"/>
                    <w:rPr>
                      <w:rFonts w:hint="eastAsia"/>
                      <w:color w:val="auto"/>
                      <w:sz w:val="21"/>
                      <w:szCs w:val="21"/>
                    </w:rPr>
                  </w:pPr>
                  <w:r>
                    <w:rPr>
                      <w:rStyle w:val="26"/>
                      <w:rFonts w:hint="eastAsia"/>
                      <w:color w:val="auto"/>
                    </w:rPr>
                    <w:t>石材厂内</w:t>
                  </w:r>
                  <w:r>
                    <w:rPr>
                      <w:rFonts w:hint="eastAsia"/>
                      <w:color w:val="auto"/>
                      <w:sz w:val="21"/>
                      <w:szCs w:val="21"/>
                    </w:rPr>
                    <w:t>道路长约400m，宽约5m，占地面积为0.2hm</w:t>
                  </w:r>
                  <w:r>
                    <w:rPr>
                      <w:rFonts w:hint="eastAsia"/>
                      <w:color w:val="auto"/>
                      <w:sz w:val="21"/>
                      <w:szCs w:val="21"/>
                      <w:vertAlign w:val="superscript"/>
                    </w:rPr>
                    <w:t>2</w:t>
                  </w:r>
                  <w:r>
                    <w:rPr>
                      <w:rFonts w:hint="eastAsia"/>
                      <w:color w:val="auto"/>
                      <w:sz w:val="21"/>
                      <w:szCs w:val="21"/>
                    </w:rPr>
                    <w:t>，为泥结石路面。</w:t>
                  </w:r>
                </w:p>
              </w:tc>
              <w:tc>
                <w:tcPr>
                  <w:tcW w:w="975" w:type="dxa"/>
                  <w:vMerge w:val="continue"/>
                  <w:vAlign w:val="center"/>
                </w:tcPr>
                <w:p>
                  <w:pPr>
                    <w:spacing w:line="240" w:lineRule="auto"/>
                    <w:ind w:firstLine="0" w:firstLineChars="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240" w:lineRule="auto"/>
                    <w:ind w:firstLine="0" w:firstLineChars="0"/>
                    <w:jc w:val="center"/>
                    <w:rPr>
                      <w:rFonts w:hint="eastAsia" w:eastAsia="宋体"/>
                      <w:color w:val="auto"/>
                      <w:sz w:val="21"/>
                      <w:szCs w:val="21"/>
                      <w:lang w:val="en-US" w:eastAsia="zh-CN"/>
                    </w:rPr>
                  </w:pPr>
                </w:p>
              </w:tc>
              <w:tc>
                <w:tcPr>
                  <w:tcW w:w="1131" w:type="dxa"/>
                  <w:vAlign w:val="center"/>
                </w:tcPr>
                <w:p>
                  <w:pPr>
                    <w:ind w:firstLine="0" w:firstLineChars="0"/>
                    <w:jc w:val="center"/>
                    <w:rPr>
                      <w:rFonts w:hint="eastAsia"/>
                      <w:color w:val="auto"/>
                      <w:sz w:val="21"/>
                      <w:szCs w:val="21"/>
                    </w:rPr>
                  </w:pPr>
                  <w:r>
                    <w:rPr>
                      <w:color w:val="auto"/>
                      <w:sz w:val="21"/>
                      <w:szCs w:val="21"/>
                    </w:rPr>
                    <w:t>供电</w:t>
                  </w:r>
                </w:p>
              </w:tc>
              <w:tc>
                <w:tcPr>
                  <w:tcW w:w="5814" w:type="dxa"/>
                  <w:gridSpan w:val="2"/>
                  <w:vAlign w:val="center"/>
                </w:tcPr>
                <w:p>
                  <w:pPr>
                    <w:ind w:firstLine="0" w:firstLineChars="0"/>
                    <w:rPr>
                      <w:rStyle w:val="26"/>
                      <w:rFonts w:hint="eastAsia"/>
                      <w:color w:val="auto"/>
                    </w:rPr>
                  </w:pPr>
                  <w:r>
                    <w:rPr>
                      <w:rFonts w:hint="eastAsia"/>
                      <w:color w:val="auto"/>
                      <w:sz w:val="21"/>
                      <w:szCs w:val="21"/>
                    </w:rPr>
                    <w:t>由匡远供电所供电。</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240" w:lineRule="auto"/>
                    <w:ind w:firstLine="0" w:firstLineChars="0"/>
                    <w:jc w:val="center"/>
                    <w:rPr>
                      <w:color w:val="auto"/>
                      <w:sz w:val="21"/>
                      <w:szCs w:val="21"/>
                    </w:rPr>
                  </w:pPr>
                </w:p>
              </w:tc>
              <w:tc>
                <w:tcPr>
                  <w:tcW w:w="1131" w:type="dxa"/>
                  <w:vAlign w:val="center"/>
                </w:tcPr>
                <w:p>
                  <w:pPr>
                    <w:ind w:firstLine="0" w:firstLineChars="0"/>
                    <w:jc w:val="center"/>
                    <w:rPr>
                      <w:rFonts w:hint="eastAsia"/>
                      <w:color w:val="auto"/>
                      <w:sz w:val="21"/>
                      <w:szCs w:val="21"/>
                    </w:rPr>
                  </w:pPr>
                  <w:r>
                    <w:rPr>
                      <w:color w:val="auto"/>
                      <w:sz w:val="21"/>
                      <w:szCs w:val="21"/>
                    </w:rPr>
                    <w:t>供水</w:t>
                  </w:r>
                </w:p>
              </w:tc>
              <w:tc>
                <w:tcPr>
                  <w:tcW w:w="5814" w:type="dxa"/>
                  <w:gridSpan w:val="2"/>
                  <w:vAlign w:val="center"/>
                </w:tcPr>
                <w:p>
                  <w:pPr>
                    <w:spacing w:line="240" w:lineRule="auto"/>
                    <w:ind w:firstLine="0" w:firstLineChars="0"/>
                    <w:rPr>
                      <w:rStyle w:val="26"/>
                      <w:rFonts w:hint="eastAsia"/>
                      <w:color w:val="auto"/>
                    </w:rPr>
                  </w:pPr>
                  <w:r>
                    <w:rPr>
                      <w:rFonts w:hint="eastAsia"/>
                      <w:color w:val="auto"/>
                      <w:sz w:val="21"/>
                      <w:szCs w:val="21"/>
                    </w:rPr>
                    <w:t>生活用水依托石材厂自来水管网，项目生产用水由附近村庄水塘（非饮用水水塘，位于项目</w:t>
                  </w:r>
                  <w:r>
                    <w:rPr>
                      <w:rFonts w:hint="eastAsia"/>
                      <w:color w:val="auto"/>
                      <w:sz w:val="21"/>
                      <w:szCs w:val="21"/>
                      <w:lang w:eastAsia="zh-CN"/>
                    </w:rPr>
                    <w:t>东</w:t>
                  </w:r>
                  <w:r>
                    <w:rPr>
                      <w:rFonts w:hint="eastAsia"/>
                      <w:color w:val="auto"/>
                      <w:sz w:val="21"/>
                      <w:szCs w:val="21"/>
                    </w:rPr>
                    <w:t>侧）用水泵抽至石材加工项目原有沉淀池提供。</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240" w:lineRule="auto"/>
                    <w:ind w:firstLine="0" w:firstLineChars="0"/>
                    <w:jc w:val="center"/>
                    <w:rPr>
                      <w:rFonts w:hint="eastAsia" w:eastAsia="宋体"/>
                      <w:color w:val="auto"/>
                      <w:sz w:val="21"/>
                      <w:szCs w:val="21"/>
                      <w:lang w:eastAsia="zh-CN"/>
                    </w:rPr>
                  </w:pPr>
                </w:p>
              </w:tc>
              <w:tc>
                <w:tcPr>
                  <w:tcW w:w="1131" w:type="dxa"/>
                  <w:vAlign w:val="center"/>
                </w:tcPr>
                <w:p>
                  <w:pPr>
                    <w:spacing w:line="240" w:lineRule="auto"/>
                    <w:ind w:firstLine="0" w:firstLineChars="0"/>
                    <w:jc w:val="center"/>
                    <w:rPr>
                      <w:rFonts w:hint="eastAsia"/>
                      <w:color w:val="auto"/>
                      <w:sz w:val="21"/>
                      <w:szCs w:val="21"/>
                    </w:rPr>
                  </w:pPr>
                  <w:r>
                    <w:rPr>
                      <w:rFonts w:hint="eastAsia"/>
                      <w:color w:val="auto"/>
                      <w:sz w:val="21"/>
                      <w:szCs w:val="21"/>
                    </w:rPr>
                    <w:t>食堂泔水桶</w:t>
                  </w:r>
                </w:p>
              </w:tc>
              <w:tc>
                <w:tcPr>
                  <w:tcW w:w="5814" w:type="dxa"/>
                  <w:gridSpan w:val="2"/>
                  <w:vAlign w:val="center"/>
                </w:tcPr>
                <w:p>
                  <w:pPr>
                    <w:spacing w:line="240" w:lineRule="auto"/>
                    <w:ind w:firstLine="0" w:firstLineChars="0"/>
                    <w:jc w:val="center"/>
                    <w:rPr>
                      <w:rStyle w:val="26"/>
                      <w:rFonts w:hint="eastAsia"/>
                      <w:color w:val="auto"/>
                    </w:rPr>
                  </w:pPr>
                  <w:r>
                    <w:rPr>
                      <w:rFonts w:hint="eastAsia"/>
                      <w:color w:val="auto"/>
                      <w:sz w:val="21"/>
                      <w:szCs w:val="21"/>
                    </w:rPr>
                    <w:t>1个，容积为50L，用于收集食堂泔水。</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240" w:lineRule="auto"/>
                    <w:ind w:firstLine="0" w:firstLineChars="0"/>
                    <w:jc w:val="center"/>
                    <w:rPr>
                      <w:color w:val="auto"/>
                      <w:sz w:val="21"/>
                      <w:szCs w:val="21"/>
                    </w:rPr>
                  </w:pPr>
                </w:p>
              </w:tc>
              <w:tc>
                <w:tcPr>
                  <w:tcW w:w="1131" w:type="dxa"/>
                  <w:vAlign w:val="center"/>
                </w:tcPr>
                <w:p>
                  <w:pPr>
                    <w:spacing w:line="240" w:lineRule="auto"/>
                    <w:ind w:firstLine="0" w:firstLineChars="0"/>
                    <w:jc w:val="center"/>
                    <w:rPr>
                      <w:rFonts w:hint="eastAsia"/>
                      <w:color w:val="auto"/>
                      <w:sz w:val="21"/>
                      <w:szCs w:val="21"/>
                    </w:rPr>
                  </w:pPr>
                  <w:r>
                    <w:rPr>
                      <w:rFonts w:hint="eastAsia"/>
                      <w:color w:val="auto"/>
                      <w:sz w:val="21"/>
                      <w:szCs w:val="21"/>
                    </w:rPr>
                    <w:t>沉淀池</w:t>
                  </w:r>
                </w:p>
              </w:tc>
              <w:tc>
                <w:tcPr>
                  <w:tcW w:w="5814" w:type="dxa"/>
                  <w:gridSpan w:val="2"/>
                  <w:vAlign w:val="center"/>
                </w:tcPr>
                <w:p>
                  <w:pPr>
                    <w:spacing w:line="240" w:lineRule="auto"/>
                    <w:ind w:firstLine="0" w:firstLineChars="0"/>
                    <w:jc w:val="left"/>
                    <w:rPr>
                      <w:rStyle w:val="26"/>
                      <w:rFonts w:hint="eastAsia"/>
                      <w:color w:val="auto"/>
                    </w:rPr>
                  </w:pPr>
                  <w:r>
                    <w:rPr>
                      <w:rFonts w:hint="eastAsia"/>
                      <w:color w:val="auto"/>
                      <w:sz w:val="21"/>
                      <w:szCs w:val="21"/>
                    </w:rPr>
                    <w:t>员工生活用水依托石材加工项目生产沉淀池</w:t>
                  </w:r>
                  <w:r>
                    <w:rPr>
                      <w:rFonts w:hint="eastAsia"/>
                      <w:color w:val="auto"/>
                      <w:sz w:val="21"/>
                      <w:szCs w:val="21"/>
                      <w:lang w:eastAsia="zh-CN"/>
                    </w:rPr>
                    <w:t>中一个</w:t>
                  </w:r>
                  <w:r>
                    <w:rPr>
                      <w:rFonts w:hint="eastAsia"/>
                      <w:color w:val="auto"/>
                      <w:sz w:val="21"/>
                      <w:szCs w:val="21"/>
                      <w:lang w:val="en-US" w:eastAsia="zh-CN"/>
                    </w:rPr>
                    <w:t>36m</w:t>
                  </w:r>
                  <w:r>
                    <w:rPr>
                      <w:rFonts w:hint="eastAsia"/>
                      <w:color w:val="auto"/>
                      <w:sz w:val="21"/>
                      <w:szCs w:val="21"/>
                      <w:vertAlign w:val="superscript"/>
                      <w:lang w:val="en-US" w:eastAsia="zh-CN"/>
                    </w:rPr>
                    <w:t>3</w:t>
                  </w:r>
                  <w:r>
                    <w:rPr>
                      <w:rFonts w:hint="eastAsia"/>
                      <w:color w:val="auto"/>
                      <w:sz w:val="21"/>
                      <w:szCs w:val="21"/>
                      <w:lang w:val="en-US" w:eastAsia="zh-CN"/>
                    </w:rPr>
                    <w:t>沉淀池（石材加工项目共设有8个沉淀池，总容积为400m</w:t>
                  </w:r>
                  <w:r>
                    <w:rPr>
                      <w:rFonts w:hint="eastAsia"/>
                      <w:color w:val="auto"/>
                      <w:sz w:val="21"/>
                      <w:szCs w:val="21"/>
                      <w:vertAlign w:val="superscript"/>
                      <w:lang w:val="en-US" w:eastAsia="zh-CN"/>
                    </w:rPr>
                    <w:t>3</w:t>
                  </w:r>
                  <w:r>
                    <w:rPr>
                      <w:rFonts w:hint="eastAsia"/>
                      <w:color w:val="auto"/>
                      <w:sz w:val="21"/>
                      <w:szCs w:val="21"/>
                      <w:vertAlign w:val="baseline"/>
                      <w:lang w:val="en-US" w:eastAsia="zh-CN"/>
                    </w:rPr>
                    <w:t>，循环用水量为300</w:t>
                  </w: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vertAlign w:val="baseline"/>
                      <w:lang w:val="en-US" w:eastAsia="zh-CN"/>
                    </w:rPr>
                    <w:t>/d</w:t>
                  </w:r>
                  <w:r>
                    <w:rPr>
                      <w:rFonts w:hint="eastAsia"/>
                      <w:color w:val="auto"/>
                      <w:sz w:val="21"/>
                      <w:szCs w:val="21"/>
                      <w:lang w:val="en-US" w:eastAsia="zh-CN"/>
                    </w:rPr>
                    <w:t>），经</w:t>
                  </w:r>
                  <w:r>
                    <w:rPr>
                      <w:rFonts w:hint="eastAsia"/>
                      <w:color w:val="auto"/>
                      <w:sz w:val="21"/>
                      <w:szCs w:val="21"/>
                    </w:rPr>
                    <w:t>沉淀后回用于石材加工项目生产。</w:t>
                  </w: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p>
              </w:tc>
            </w:tr>
          </w:tbl>
          <w:p>
            <w:pPr>
              <w:spacing w:before="156" w:beforeLines="50"/>
              <w:ind w:firstLine="482"/>
              <w:rPr>
                <w:b/>
                <w:bCs/>
                <w:szCs w:val="32"/>
              </w:rPr>
            </w:pPr>
            <w:r>
              <w:rPr>
                <w:rFonts w:hint="eastAsia"/>
                <w:b/>
                <w:bCs/>
              </w:rPr>
              <w:t>（7）</w:t>
            </w:r>
            <w:r>
              <w:rPr>
                <w:b/>
                <w:bCs/>
                <w:szCs w:val="32"/>
              </w:rPr>
              <w:t>产品方案及规模</w:t>
            </w:r>
          </w:p>
          <w:p>
            <w:pPr>
              <w:ind w:firstLine="480"/>
              <w:rPr>
                <w:szCs w:val="32"/>
              </w:rPr>
            </w:pPr>
            <w:r>
              <w:rPr>
                <w:szCs w:val="32"/>
              </w:rPr>
              <w:t>项目建成后主</w:t>
            </w:r>
            <w:r>
              <w:rPr>
                <w:color w:val="auto"/>
                <w:szCs w:val="32"/>
              </w:rPr>
              <w:t>要</w:t>
            </w:r>
            <w:r>
              <w:rPr>
                <w:rFonts w:hint="eastAsia"/>
                <w:color w:val="auto"/>
                <w:szCs w:val="32"/>
              </w:rPr>
              <w:t>为</w:t>
            </w:r>
            <w:r>
              <w:rPr>
                <w:rFonts w:hint="eastAsia"/>
                <w:color w:val="auto"/>
                <w:szCs w:val="32"/>
                <w:lang w:eastAsia="zh-CN"/>
              </w:rPr>
              <w:t>细石料</w:t>
            </w:r>
            <w:r>
              <w:rPr>
                <w:rFonts w:hint="eastAsia"/>
                <w:color w:val="auto"/>
                <w:szCs w:val="32"/>
              </w:rPr>
              <w:t>生</w:t>
            </w:r>
            <w:r>
              <w:rPr>
                <w:color w:val="auto"/>
                <w:szCs w:val="32"/>
              </w:rPr>
              <w:t>产与</w:t>
            </w:r>
            <w:r>
              <w:rPr>
                <w:szCs w:val="32"/>
              </w:rPr>
              <w:t>销售，项目产品及销量详见下表。</w:t>
            </w:r>
          </w:p>
          <w:p>
            <w:pPr>
              <w:ind w:firstLine="482"/>
              <w:jc w:val="center"/>
              <w:rPr>
                <w:b/>
                <w:bCs/>
                <w:szCs w:val="32"/>
              </w:rPr>
            </w:pPr>
            <w:r>
              <w:rPr>
                <w:b/>
                <w:bCs/>
                <w:szCs w:val="32"/>
              </w:rPr>
              <w:t>表</w:t>
            </w:r>
            <w:r>
              <w:rPr>
                <w:rFonts w:hint="eastAsia"/>
                <w:b/>
                <w:bCs/>
                <w:szCs w:val="32"/>
              </w:rPr>
              <w:t>1-</w:t>
            </w:r>
            <w:r>
              <w:rPr>
                <w:b/>
                <w:bCs/>
                <w:szCs w:val="32"/>
              </w:rPr>
              <w:t>2 项目产品方案一览表</w:t>
            </w:r>
          </w:p>
          <w:tbl>
            <w:tblPr>
              <w:tblStyle w:val="23"/>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2210"/>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195" w:type="dxa"/>
                  <w:vAlign w:val="center"/>
                </w:tcPr>
                <w:p>
                  <w:pPr>
                    <w:ind w:firstLine="0" w:firstLineChars="0"/>
                    <w:jc w:val="center"/>
                    <w:rPr>
                      <w:b/>
                      <w:bCs/>
                      <w:sz w:val="21"/>
                      <w:szCs w:val="21"/>
                    </w:rPr>
                  </w:pPr>
                  <w:r>
                    <w:rPr>
                      <w:b/>
                      <w:bCs/>
                      <w:sz w:val="21"/>
                      <w:szCs w:val="21"/>
                    </w:rPr>
                    <w:t>产品名称</w:t>
                  </w:r>
                </w:p>
              </w:tc>
              <w:tc>
                <w:tcPr>
                  <w:tcW w:w="2210" w:type="dxa"/>
                  <w:vAlign w:val="center"/>
                </w:tcPr>
                <w:p>
                  <w:pPr>
                    <w:ind w:firstLine="0" w:firstLineChars="0"/>
                    <w:jc w:val="center"/>
                    <w:rPr>
                      <w:b/>
                      <w:bCs/>
                      <w:sz w:val="21"/>
                      <w:szCs w:val="21"/>
                    </w:rPr>
                  </w:pPr>
                  <w:r>
                    <w:rPr>
                      <w:b/>
                      <w:bCs/>
                      <w:sz w:val="21"/>
                      <w:szCs w:val="21"/>
                    </w:rPr>
                    <w:t>年产量</w:t>
                  </w:r>
                </w:p>
              </w:tc>
              <w:tc>
                <w:tcPr>
                  <w:tcW w:w="3094" w:type="dxa"/>
                  <w:vAlign w:val="center"/>
                </w:tcPr>
                <w:p>
                  <w:pPr>
                    <w:ind w:firstLine="0" w:firstLineChars="0"/>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195"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细石料</w:t>
                  </w:r>
                </w:p>
              </w:tc>
              <w:tc>
                <w:tcPr>
                  <w:tcW w:w="2210" w:type="dxa"/>
                  <w:vAlign w:val="center"/>
                </w:tcPr>
                <w:p>
                  <w:pPr>
                    <w:spacing w:line="240" w:lineRule="auto"/>
                    <w:ind w:firstLine="0" w:firstLineChars="0"/>
                    <w:jc w:val="center"/>
                    <w:rPr>
                      <w:sz w:val="21"/>
                      <w:szCs w:val="21"/>
                    </w:rPr>
                  </w:pPr>
                  <w:r>
                    <w:rPr>
                      <w:rFonts w:hint="eastAsia"/>
                      <w:sz w:val="21"/>
                      <w:szCs w:val="21"/>
                    </w:rPr>
                    <w:t>1800t</w:t>
                  </w:r>
                </w:p>
              </w:tc>
              <w:tc>
                <w:tcPr>
                  <w:tcW w:w="3094" w:type="dxa"/>
                  <w:vAlign w:val="center"/>
                </w:tcPr>
                <w:p>
                  <w:pPr>
                    <w:spacing w:line="240" w:lineRule="auto"/>
                    <w:ind w:firstLine="0" w:firstLineChars="0"/>
                    <w:jc w:val="center"/>
                    <w:rPr>
                      <w:sz w:val="21"/>
                      <w:szCs w:val="21"/>
                    </w:rPr>
                  </w:pPr>
                  <w:r>
                    <w:rPr>
                      <w:rFonts w:hint="eastAsia"/>
                      <w:color w:val="auto"/>
                      <w:sz w:val="21"/>
                      <w:szCs w:val="21"/>
                      <w:lang w:eastAsia="zh-CN"/>
                    </w:rPr>
                    <w:t>颗粒状，</w:t>
                  </w:r>
                  <w:r>
                    <w:rPr>
                      <w:rFonts w:hint="eastAsia"/>
                      <w:sz w:val="21"/>
                      <w:szCs w:val="21"/>
                    </w:rPr>
                    <w:t>粒径＜0.5mm</w:t>
                  </w:r>
                </w:p>
              </w:tc>
            </w:tr>
          </w:tbl>
          <w:p>
            <w:pPr>
              <w:ind w:firstLine="482"/>
              <w:rPr>
                <w:b/>
                <w:bCs/>
                <w:szCs w:val="32"/>
              </w:rPr>
            </w:pPr>
            <w:r>
              <w:rPr>
                <w:rFonts w:hint="eastAsia"/>
                <w:b/>
                <w:bCs/>
                <w:szCs w:val="32"/>
              </w:rPr>
              <w:t>（8）</w:t>
            </w:r>
            <w:r>
              <w:rPr>
                <w:b/>
                <w:bCs/>
                <w:szCs w:val="32"/>
              </w:rPr>
              <w:t>主要生产设备</w:t>
            </w:r>
          </w:p>
          <w:p>
            <w:pPr>
              <w:snapToGrid w:val="0"/>
              <w:ind w:firstLine="480"/>
              <w:rPr>
                <w:rFonts w:hint="eastAsia"/>
                <w:b/>
                <w:bCs/>
              </w:rPr>
            </w:pPr>
            <w:r>
              <w:t>项目主要</w:t>
            </w:r>
            <w:r>
              <w:rPr>
                <w:szCs w:val="32"/>
              </w:rPr>
              <w:t>生产设备详见表</w:t>
            </w:r>
            <w:r>
              <w:rPr>
                <w:rFonts w:hint="eastAsia"/>
                <w:szCs w:val="32"/>
              </w:rPr>
              <w:t>1</w:t>
            </w:r>
            <w:r>
              <w:rPr>
                <w:szCs w:val="32"/>
              </w:rPr>
              <w:t>-3。</w:t>
            </w:r>
          </w:p>
          <w:p>
            <w:pPr>
              <w:pStyle w:val="3"/>
              <w:ind w:firstLine="0" w:firstLineChars="0"/>
              <w:jc w:val="center"/>
              <w:rPr>
                <w:b/>
                <w:bCs/>
              </w:rPr>
            </w:pPr>
            <w:r>
              <w:rPr>
                <w:rFonts w:hint="eastAsia"/>
                <w:b/>
                <w:bCs/>
              </w:rPr>
              <w:t>表1-3  生产设备一览表</w:t>
            </w:r>
          </w:p>
          <w:tbl>
            <w:tblPr>
              <w:tblStyle w:val="23"/>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4608"/>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778" w:type="dxa"/>
                  <w:vAlign w:val="center"/>
                </w:tcPr>
                <w:p>
                  <w:pPr>
                    <w:ind w:firstLine="0" w:firstLineChars="0"/>
                    <w:jc w:val="center"/>
                    <w:rPr>
                      <w:rFonts w:eastAsiaTheme="minorEastAsia"/>
                      <w:b/>
                      <w:bCs/>
                      <w:sz w:val="21"/>
                      <w:szCs w:val="21"/>
                    </w:rPr>
                  </w:pPr>
                  <w:r>
                    <w:rPr>
                      <w:b/>
                      <w:bCs/>
                      <w:sz w:val="21"/>
                      <w:szCs w:val="21"/>
                    </w:rPr>
                    <w:t>序号</w:t>
                  </w:r>
                </w:p>
              </w:tc>
              <w:tc>
                <w:tcPr>
                  <w:tcW w:w="4608" w:type="dxa"/>
                  <w:vAlign w:val="center"/>
                </w:tcPr>
                <w:p>
                  <w:pPr>
                    <w:ind w:firstLine="0" w:firstLineChars="0"/>
                    <w:jc w:val="center"/>
                    <w:rPr>
                      <w:rFonts w:eastAsiaTheme="minorEastAsia"/>
                      <w:b/>
                      <w:bCs/>
                      <w:sz w:val="21"/>
                      <w:szCs w:val="21"/>
                    </w:rPr>
                  </w:pPr>
                  <w:r>
                    <w:rPr>
                      <w:b/>
                      <w:bCs/>
                      <w:sz w:val="21"/>
                      <w:szCs w:val="21"/>
                    </w:rPr>
                    <w:t>设备名称</w:t>
                  </w:r>
                </w:p>
              </w:tc>
              <w:tc>
                <w:tcPr>
                  <w:tcW w:w="2433" w:type="dxa"/>
                  <w:vAlign w:val="center"/>
                </w:tcPr>
                <w:p>
                  <w:pPr>
                    <w:ind w:firstLine="0" w:firstLineChars="0"/>
                    <w:jc w:val="center"/>
                    <w:rPr>
                      <w:rFonts w:eastAsiaTheme="minorEastAsia"/>
                      <w:b/>
                      <w:bCs/>
                      <w:sz w:val="21"/>
                      <w:szCs w:val="21"/>
                    </w:rPr>
                  </w:pPr>
                  <w:r>
                    <w:rPr>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778" w:type="dxa"/>
                  <w:vAlign w:val="center"/>
                </w:tcPr>
                <w:p>
                  <w:pPr>
                    <w:ind w:firstLine="0" w:firstLineChars="0"/>
                    <w:jc w:val="center"/>
                    <w:rPr>
                      <w:rFonts w:eastAsiaTheme="minorEastAsia"/>
                      <w:sz w:val="21"/>
                      <w:szCs w:val="21"/>
                    </w:rPr>
                  </w:pPr>
                  <w:r>
                    <w:rPr>
                      <w:rFonts w:hint="eastAsia" w:eastAsiaTheme="minorEastAsia"/>
                      <w:sz w:val="21"/>
                      <w:szCs w:val="21"/>
                    </w:rPr>
                    <w:t>1</w:t>
                  </w:r>
                </w:p>
              </w:tc>
              <w:tc>
                <w:tcPr>
                  <w:tcW w:w="4608" w:type="dxa"/>
                  <w:vAlign w:val="center"/>
                </w:tcPr>
                <w:p>
                  <w:pPr>
                    <w:ind w:firstLine="0" w:firstLineChars="0"/>
                    <w:jc w:val="center"/>
                    <w:rPr>
                      <w:rFonts w:eastAsiaTheme="minorEastAsia"/>
                      <w:sz w:val="21"/>
                      <w:szCs w:val="21"/>
                    </w:rPr>
                  </w:pPr>
                  <w:r>
                    <w:rPr>
                      <w:rFonts w:hint="eastAsia" w:eastAsiaTheme="minorEastAsia"/>
                      <w:sz w:val="21"/>
                      <w:szCs w:val="21"/>
                    </w:rPr>
                    <w:t>破碎机</w:t>
                  </w:r>
                </w:p>
              </w:tc>
              <w:tc>
                <w:tcPr>
                  <w:tcW w:w="2433" w:type="dxa"/>
                  <w:vAlign w:val="center"/>
                </w:tcPr>
                <w:p>
                  <w:pPr>
                    <w:ind w:firstLine="0" w:firstLineChars="0"/>
                    <w:jc w:val="center"/>
                    <w:rPr>
                      <w:rFonts w:eastAsiaTheme="minorEastAsia"/>
                      <w:sz w:val="21"/>
                      <w:szCs w:val="21"/>
                    </w:rPr>
                  </w:pPr>
                  <w:r>
                    <w:rPr>
                      <w:rFonts w:hint="eastAsia" w:eastAsiaTheme="minorEastAsia"/>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778" w:type="dxa"/>
                  <w:vAlign w:val="center"/>
                </w:tcPr>
                <w:p>
                  <w:pPr>
                    <w:ind w:firstLine="0" w:firstLineChars="0"/>
                    <w:jc w:val="center"/>
                    <w:rPr>
                      <w:rFonts w:eastAsiaTheme="minorEastAsia"/>
                      <w:sz w:val="21"/>
                      <w:szCs w:val="21"/>
                    </w:rPr>
                  </w:pPr>
                  <w:r>
                    <w:rPr>
                      <w:rFonts w:hint="eastAsia" w:eastAsiaTheme="minorEastAsia"/>
                      <w:sz w:val="21"/>
                      <w:szCs w:val="21"/>
                    </w:rPr>
                    <w:t>2</w:t>
                  </w:r>
                </w:p>
              </w:tc>
              <w:tc>
                <w:tcPr>
                  <w:tcW w:w="4608" w:type="dxa"/>
                  <w:vAlign w:val="center"/>
                </w:tcPr>
                <w:p>
                  <w:pPr>
                    <w:ind w:firstLine="0" w:firstLineChars="0"/>
                    <w:jc w:val="center"/>
                    <w:rPr>
                      <w:rFonts w:eastAsiaTheme="minorEastAsia"/>
                      <w:sz w:val="21"/>
                      <w:szCs w:val="21"/>
                    </w:rPr>
                  </w:pPr>
                  <w:r>
                    <w:rPr>
                      <w:rFonts w:hint="eastAsia" w:eastAsiaTheme="minorEastAsia"/>
                      <w:sz w:val="21"/>
                      <w:szCs w:val="21"/>
                    </w:rPr>
                    <w:t>打砂机</w:t>
                  </w:r>
                </w:p>
              </w:tc>
              <w:tc>
                <w:tcPr>
                  <w:tcW w:w="2433" w:type="dxa"/>
                  <w:vAlign w:val="center"/>
                </w:tcPr>
                <w:p>
                  <w:pPr>
                    <w:ind w:firstLine="0" w:firstLineChars="0"/>
                    <w:jc w:val="center"/>
                    <w:rPr>
                      <w:rFonts w:eastAsiaTheme="minorEastAsia"/>
                      <w:sz w:val="21"/>
                      <w:szCs w:val="21"/>
                    </w:rPr>
                  </w:pPr>
                  <w:r>
                    <w:rPr>
                      <w:rFonts w:hint="eastAsia" w:eastAsiaTheme="minorEastAsia"/>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778" w:type="dxa"/>
                  <w:vAlign w:val="center"/>
                </w:tcPr>
                <w:p>
                  <w:pPr>
                    <w:ind w:firstLine="0" w:firstLineChars="0"/>
                    <w:jc w:val="center"/>
                    <w:rPr>
                      <w:rFonts w:eastAsiaTheme="minorEastAsia"/>
                      <w:sz w:val="21"/>
                      <w:szCs w:val="21"/>
                    </w:rPr>
                  </w:pPr>
                  <w:r>
                    <w:rPr>
                      <w:sz w:val="21"/>
                      <w:szCs w:val="21"/>
                    </w:rPr>
                    <w:t>3</w:t>
                  </w:r>
                </w:p>
              </w:tc>
              <w:tc>
                <w:tcPr>
                  <w:tcW w:w="4608" w:type="dxa"/>
                  <w:vAlign w:val="center"/>
                </w:tcPr>
                <w:p>
                  <w:pPr>
                    <w:ind w:firstLine="0" w:firstLineChars="0"/>
                    <w:jc w:val="center"/>
                    <w:rPr>
                      <w:rFonts w:eastAsiaTheme="minorEastAsia"/>
                      <w:sz w:val="21"/>
                      <w:szCs w:val="21"/>
                    </w:rPr>
                  </w:pPr>
                  <w:r>
                    <w:rPr>
                      <w:rFonts w:hint="eastAsia" w:eastAsiaTheme="minorEastAsia"/>
                      <w:sz w:val="21"/>
                      <w:szCs w:val="21"/>
                    </w:rPr>
                    <w:t>皮带输送机</w:t>
                  </w:r>
                </w:p>
              </w:tc>
              <w:tc>
                <w:tcPr>
                  <w:tcW w:w="2433" w:type="dxa"/>
                  <w:vAlign w:val="center"/>
                </w:tcPr>
                <w:p>
                  <w:pPr>
                    <w:ind w:firstLine="0" w:firstLineChars="0"/>
                    <w:jc w:val="center"/>
                    <w:rPr>
                      <w:rFonts w:eastAsiaTheme="minorEastAsia"/>
                      <w:sz w:val="21"/>
                      <w:szCs w:val="21"/>
                    </w:rPr>
                  </w:pPr>
                  <w:r>
                    <w:rPr>
                      <w:rFonts w:hint="eastAsia" w:eastAsiaTheme="minorEastAsia"/>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778" w:type="dxa"/>
                  <w:vAlign w:val="center"/>
                </w:tcPr>
                <w:p>
                  <w:pPr>
                    <w:ind w:firstLine="0" w:firstLineChars="0"/>
                    <w:jc w:val="center"/>
                    <w:rPr>
                      <w:rFonts w:eastAsiaTheme="minorEastAsia"/>
                      <w:sz w:val="21"/>
                      <w:szCs w:val="21"/>
                    </w:rPr>
                  </w:pPr>
                  <w:r>
                    <w:rPr>
                      <w:sz w:val="21"/>
                      <w:szCs w:val="21"/>
                    </w:rPr>
                    <w:t>4</w:t>
                  </w:r>
                </w:p>
              </w:tc>
              <w:tc>
                <w:tcPr>
                  <w:tcW w:w="4608" w:type="dxa"/>
                  <w:vAlign w:val="center"/>
                </w:tcPr>
                <w:p>
                  <w:pPr>
                    <w:ind w:firstLine="0" w:firstLineChars="0"/>
                    <w:jc w:val="center"/>
                    <w:rPr>
                      <w:rFonts w:eastAsiaTheme="minorEastAsia"/>
                      <w:sz w:val="21"/>
                      <w:szCs w:val="21"/>
                    </w:rPr>
                  </w:pPr>
                  <w:r>
                    <w:rPr>
                      <w:rFonts w:hint="eastAsia" w:eastAsiaTheme="minorEastAsia"/>
                      <w:sz w:val="21"/>
                      <w:szCs w:val="21"/>
                    </w:rPr>
                    <w:t>龙工50型装载机</w:t>
                  </w:r>
                </w:p>
              </w:tc>
              <w:tc>
                <w:tcPr>
                  <w:tcW w:w="2433" w:type="dxa"/>
                  <w:vAlign w:val="center"/>
                </w:tcPr>
                <w:p>
                  <w:pPr>
                    <w:ind w:firstLine="0" w:firstLineChars="0"/>
                    <w:jc w:val="center"/>
                    <w:rPr>
                      <w:rFonts w:eastAsiaTheme="minorEastAsia"/>
                      <w:sz w:val="21"/>
                      <w:szCs w:val="21"/>
                    </w:rPr>
                  </w:pPr>
                  <w:r>
                    <w:rPr>
                      <w:rFonts w:hint="eastAsia" w:eastAsiaTheme="minorEastAsia"/>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778" w:type="dxa"/>
                  <w:vAlign w:val="center"/>
                </w:tcPr>
                <w:p>
                  <w:pPr>
                    <w:ind w:firstLine="0" w:firstLineChars="0"/>
                    <w:jc w:val="center"/>
                    <w:rPr>
                      <w:rFonts w:hint="eastAsia" w:eastAsia="宋体"/>
                      <w:color w:val="auto"/>
                      <w:sz w:val="21"/>
                      <w:szCs w:val="21"/>
                      <w:lang w:val="en-US" w:eastAsia="zh-CN"/>
                    </w:rPr>
                  </w:pPr>
                  <w:r>
                    <w:rPr>
                      <w:rFonts w:hint="eastAsia"/>
                      <w:color w:val="auto"/>
                      <w:sz w:val="21"/>
                      <w:szCs w:val="21"/>
                      <w:lang w:val="en-US" w:eastAsia="zh-CN"/>
                    </w:rPr>
                    <w:t>5</w:t>
                  </w:r>
                </w:p>
              </w:tc>
              <w:tc>
                <w:tcPr>
                  <w:tcW w:w="4608" w:type="dxa"/>
                  <w:vAlign w:val="center"/>
                </w:tcPr>
                <w:p>
                  <w:pPr>
                    <w:ind w:firstLine="0" w:firstLineChars="0"/>
                    <w:jc w:val="center"/>
                    <w:rPr>
                      <w:rFonts w:hint="eastAsia" w:eastAsiaTheme="minorEastAsia"/>
                      <w:color w:val="auto"/>
                      <w:sz w:val="21"/>
                      <w:szCs w:val="21"/>
                      <w:lang w:eastAsia="zh-CN"/>
                    </w:rPr>
                  </w:pPr>
                  <w:r>
                    <w:rPr>
                      <w:rFonts w:hint="eastAsia" w:eastAsiaTheme="minorEastAsia"/>
                      <w:color w:val="auto"/>
                      <w:sz w:val="21"/>
                      <w:szCs w:val="21"/>
                      <w:lang w:eastAsia="zh-CN"/>
                    </w:rPr>
                    <w:t>成品料仓</w:t>
                  </w:r>
                </w:p>
              </w:tc>
              <w:tc>
                <w:tcPr>
                  <w:tcW w:w="2433" w:type="dxa"/>
                  <w:vAlign w:val="center"/>
                </w:tcPr>
                <w:p>
                  <w:pPr>
                    <w:ind w:firstLine="0" w:firstLineChars="0"/>
                    <w:jc w:val="center"/>
                    <w:rPr>
                      <w:rFonts w:hint="eastAsia" w:eastAsiaTheme="minorEastAsia"/>
                      <w:color w:val="auto"/>
                      <w:sz w:val="21"/>
                      <w:szCs w:val="21"/>
                      <w:lang w:val="en-US" w:eastAsia="zh-CN"/>
                    </w:rPr>
                  </w:pPr>
                  <w:r>
                    <w:rPr>
                      <w:rFonts w:hint="eastAsia" w:eastAsiaTheme="minorEastAsia"/>
                      <w:color w:val="auto"/>
                      <w:sz w:val="21"/>
                      <w:szCs w:val="21"/>
                      <w:lang w:val="en-US" w:eastAsia="zh-CN"/>
                    </w:rPr>
                    <w:t>1台</w:t>
                  </w:r>
                </w:p>
              </w:tc>
            </w:tr>
          </w:tbl>
          <w:p>
            <w:pPr>
              <w:ind w:firstLine="482"/>
              <w:rPr>
                <w:b/>
                <w:bCs/>
                <w:szCs w:val="32"/>
              </w:rPr>
            </w:pPr>
            <w:r>
              <w:rPr>
                <w:rFonts w:hint="eastAsia"/>
                <w:b/>
                <w:bCs/>
                <w:szCs w:val="32"/>
              </w:rPr>
              <w:t>（9）</w:t>
            </w:r>
            <w:r>
              <w:rPr>
                <w:b/>
                <w:bCs/>
                <w:szCs w:val="32"/>
              </w:rPr>
              <w:t>原辅材料情况</w:t>
            </w:r>
            <w:r>
              <w:rPr>
                <w:rFonts w:hint="eastAsia"/>
                <w:b/>
                <w:bCs/>
                <w:szCs w:val="32"/>
              </w:rPr>
              <w:t>（物理性质）</w:t>
            </w:r>
          </w:p>
          <w:p>
            <w:pPr>
              <w:ind w:firstLine="480"/>
              <w:rPr>
                <w:szCs w:val="32"/>
              </w:rPr>
            </w:pPr>
            <w:r>
              <w:rPr>
                <w:rFonts w:hint="eastAsia"/>
                <w:szCs w:val="32"/>
              </w:rPr>
              <w:t>本</w:t>
            </w:r>
            <w:r>
              <w:rPr>
                <w:szCs w:val="32"/>
              </w:rPr>
              <w:t>项目主要原辅材料情况详见表1-</w:t>
            </w:r>
            <w:r>
              <w:rPr>
                <w:rFonts w:hint="eastAsia"/>
                <w:szCs w:val="32"/>
              </w:rPr>
              <w:t>4</w:t>
            </w:r>
            <w:r>
              <w:rPr>
                <w:szCs w:val="32"/>
              </w:rPr>
              <w:t>。</w:t>
            </w:r>
          </w:p>
          <w:p>
            <w:pPr>
              <w:ind w:firstLine="482"/>
              <w:jc w:val="center"/>
              <w:rPr>
                <w:b/>
                <w:bCs/>
                <w:szCs w:val="32"/>
              </w:rPr>
            </w:pPr>
            <w:r>
              <w:rPr>
                <w:b/>
                <w:bCs/>
                <w:szCs w:val="32"/>
              </w:rPr>
              <w:t>表</w:t>
            </w:r>
            <w:r>
              <w:rPr>
                <w:rFonts w:hint="eastAsia"/>
                <w:b/>
                <w:bCs/>
                <w:szCs w:val="32"/>
              </w:rPr>
              <w:t>1-4</w:t>
            </w:r>
            <w:r>
              <w:rPr>
                <w:b/>
                <w:bCs/>
                <w:szCs w:val="32"/>
              </w:rPr>
              <w:t xml:space="preserve"> 主要原辅材料表</w:t>
            </w:r>
          </w:p>
          <w:tbl>
            <w:tblPr>
              <w:tblStyle w:val="23"/>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190"/>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adjustRightInd w:val="0"/>
                    <w:ind w:firstLine="0" w:firstLineChars="0"/>
                    <w:jc w:val="center"/>
                    <w:outlineLvl w:val="0"/>
                    <w:rPr>
                      <w:sz w:val="21"/>
                      <w:szCs w:val="21"/>
                    </w:rPr>
                  </w:pPr>
                  <w:bookmarkStart w:id="1" w:name="_Toc20100"/>
                  <w:r>
                    <w:rPr>
                      <w:rFonts w:hint="eastAsia"/>
                      <w:b/>
                      <w:color w:val="000000" w:themeColor="text1"/>
                      <w:sz w:val="21"/>
                      <w:szCs w:val="21"/>
                    </w:rPr>
                    <w:t>名称</w:t>
                  </w:r>
                  <w:bookmarkEnd w:id="1"/>
                </w:p>
              </w:tc>
              <w:tc>
                <w:tcPr>
                  <w:tcW w:w="1190" w:type="dxa"/>
                </w:tcPr>
                <w:p>
                  <w:pPr>
                    <w:adjustRightInd w:val="0"/>
                    <w:ind w:firstLine="0" w:firstLineChars="0"/>
                    <w:jc w:val="center"/>
                    <w:outlineLvl w:val="0"/>
                    <w:rPr>
                      <w:sz w:val="21"/>
                      <w:szCs w:val="21"/>
                    </w:rPr>
                  </w:pPr>
                  <w:bookmarkStart w:id="2" w:name="_Toc17802"/>
                  <w:r>
                    <w:rPr>
                      <w:rFonts w:hint="eastAsia"/>
                      <w:b/>
                      <w:color w:val="000000" w:themeColor="text1"/>
                      <w:sz w:val="21"/>
                      <w:szCs w:val="21"/>
                    </w:rPr>
                    <w:t>年消耗量</w:t>
                  </w:r>
                  <w:bookmarkEnd w:id="2"/>
                </w:p>
              </w:tc>
              <w:tc>
                <w:tcPr>
                  <w:tcW w:w="6072" w:type="dxa"/>
                </w:tcPr>
                <w:p>
                  <w:pPr>
                    <w:adjustRightInd w:val="0"/>
                    <w:ind w:firstLine="0" w:firstLineChars="0"/>
                    <w:jc w:val="center"/>
                    <w:outlineLvl w:val="0"/>
                    <w:rPr>
                      <w:sz w:val="21"/>
                      <w:szCs w:val="21"/>
                    </w:rPr>
                  </w:pPr>
                  <w:bookmarkStart w:id="3" w:name="_Toc30860"/>
                  <w:r>
                    <w:rPr>
                      <w:rFonts w:hint="eastAsia"/>
                      <w:b/>
                      <w:color w:val="000000" w:themeColor="text1"/>
                      <w:sz w:val="21"/>
                      <w:szCs w:val="21"/>
                    </w:rPr>
                    <w:t>来源</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adjustRightInd w:val="0"/>
                    <w:ind w:firstLine="0" w:firstLineChars="0"/>
                    <w:jc w:val="center"/>
                    <w:outlineLvl w:val="0"/>
                    <w:rPr>
                      <w:sz w:val="21"/>
                      <w:szCs w:val="21"/>
                    </w:rPr>
                  </w:pPr>
                  <w:bookmarkStart w:id="4" w:name="_Toc3061"/>
                  <w:r>
                    <w:rPr>
                      <w:rFonts w:hint="eastAsia"/>
                      <w:color w:val="000000" w:themeColor="text1"/>
                      <w:sz w:val="21"/>
                      <w:szCs w:val="21"/>
                    </w:rPr>
                    <w:t>石灰石废料</w:t>
                  </w:r>
                  <w:bookmarkEnd w:id="4"/>
                </w:p>
              </w:tc>
              <w:tc>
                <w:tcPr>
                  <w:tcW w:w="1190" w:type="dxa"/>
                  <w:vAlign w:val="center"/>
                </w:tcPr>
                <w:p>
                  <w:pPr>
                    <w:adjustRightInd w:val="0"/>
                    <w:ind w:firstLine="0" w:firstLineChars="0"/>
                    <w:jc w:val="center"/>
                    <w:outlineLvl w:val="0"/>
                    <w:rPr>
                      <w:sz w:val="21"/>
                      <w:szCs w:val="21"/>
                    </w:rPr>
                  </w:pPr>
                  <w:bookmarkStart w:id="5" w:name="_Toc11869"/>
                  <w:r>
                    <w:rPr>
                      <w:rFonts w:hint="eastAsia"/>
                      <w:color w:val="000000" w:themeColor="text1"/>
                      <w:sz w:val="21"/>
                      <w:szCs w:val="21"/>
                    </w:rPr>
                    <w:t>1800t</w:t>
                  </w:r>
                  <w:bookmarkEnd w:id="5"/>
                </w:p>
              </w:tc>
              <w:tc>
                <w:tcPr>
                  <w:tcW w:w="6072" w:type="dxa"/>
                  <w:vAlign w:val="center"/>
                </w:tcPr>
                <w:p>
                  <w:pPr>
                    <w:adjustRightInd w:val="0"/>
                    <w:ind w:firstLine="0" w:firstLineChars="0"/>
                    <w:jc w:val="center"/>
                    <w:outlineLvl w:val="0"/>
                    <w:rPr>
                      <w:sz w:val="21"/>
                      <w:szCs w:val="21"/>
                    </w:rPr>
                  </w:pPr>
                  <w:bookmarkStart w:id="6" w:name="_Toc19314"/>
                  <w:r>
                    <w:rPr>
                      <w:rFonts w:hint="eastAsia"/>
                      <w:color w:val="000000" w:themeColor="text1"/>
                      <w:sz w:val="21"/>
                      <w:szCs w:val="21"/>
                    </w:rPr>
                    <w:t>全部来自建设单位原有石材加工项目，其主要成分为CaCO</w:t>
                  </w:r>
                  <w:r>
                    <w:rPr>
                      <w:rFonts w:hint="eastAsia"/>
                      <w:color w:val="000000" w:themeColor="text1"/>
                      <w:sz w:val="21"/>
                      <w:szCs w:val="21"/>
                      <w:vertAlign w:val="subscript"/>
                    </w:rPr>
                    <w:t>3</w:t>
                  </w:r>
                  <w:r>
                    <w:rPr>
                      <w:rFonts w:hint="eastAsia"/>
                      <w:color w:val="000000" w:themeColor="text1"/>
                      <w:sz w:val="21"/>
                      <w:szCs w:val="21"/>
                    </w:rPr>
                    <w:t>。</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adjustRightInd w:val="0"/>
                    <w:ind w:firstLine="0" w:firstLineChars="0"/>
                    <w:jc w:val="center"/>
                    <w:outlineLvl w:val="0"/>
                    <w:rPr>
                      <w:color w:val="000000" w:themeColor="text1"/>
                      <w:sz w:val="21"/>
                      <w:szCs w:val="21"/>
                    </w:rPr>
                  </w:pPr>
                  <w:bookmarkStart w:id="7" w:name="_Toc22713"/>
                  <w:r>
                    <w:rPr>
                      <w:rFonts w:hint="eastAsia"/>
                      <w:color w:val="000000" w:themeColor="text1"/>
                      <w:sz w:val="21"/>
                      <w:szCs w:val="21"/>
                    </w:rPr>
                    <w:t>新鲜水</w:t>
                  </w:r>
                  <w:bookmarkEnd w:id="7"/>
                </w:p>
              </w:tc>
              <w:tc>
                <w:tcPr>
                  <w:tcW w:w="1190" w:type="dxa"/>
                  <w:vAlign w:val="center"/>
                </w:tcPr>
                <w:p>
                  <w:pPr>
                    <w:adjustRightInd w:val="0"/>
                    <w:ind w:firstLine="0" w:firstLineChars="0"/>
                    <w:jc w:val="center"/>
                    <w:outlineLvl w:val="0"/>
                    <w:rPr>
                      <w:color w:val="000000" w:themeColor="text1"/>
                      <w:sz w:val="21"/>
                      <w:szCs w:val="21"/>
                    </w:rPr>
                  </w:pPr>
                  <w:bookmarkStart w:id="8" w:name="_Toc28414"/>
                  <w:r>
                    <w:rPr>
                      <w:rFonts w:hint="eastAsia"/>
                      <w:color w:val="000000" w:themeColor="text1"/>
                      <w:sz w:val="21"/>
                      <w:szCs w:val="21"/>
                    </w:rPr>
                    <w:t>448m</w:t>
                  </w:r>
                  <w:r>
                    <w:rPr>
                      <w:rFonts w:hint="eastAsia"/>
                      <w:color w:val="000000" w:themeColor="text1"/>
                      <w:sz w:val="21"/>
                      <w:szCs w:val="21"/>
                      <w:vertAlign w:val="superscript"/>
                    </w:rPr>
                    <w:t>3</w:t>
                  </w:r>
                  <w:bookmarkEnd w:id="8"/>
                </w:p>
              </w:tc>
              <w:tc>
                <w:tcPr>
                  <w:tcW w:w="6072" w:type="dxa"/>
                </w:tcPr>
                <w:p>
                  <w:pPr>
                    <w:adjustRightInd w:val="0"/>
                    <w:spacing w:line="240" w:lineRule="auto"/>
                    <w:ind w:firstLine="0" w:firstLineChars="0"/>
                    <w:jc w:val="center"/>
                    <w:outlineLvl w:val="0"/>
                    <w:rPr>
                      <w:color w:val="000000" w:themeColor="text1"/>
                      <w:sz w:val="21"/>
                      <w:szCs w:val="21"/>
                    </w:rPr>
                  </w:pPr>
                  <w:bookmarkStart w:id="9" w:name="_Toc28369"/>
                  <w:r>
                    <w:rPr>
                      <w:rFonts w:hint="eastAsia"/>
                      <w:sz w:val="21"/>
                      <w:szCs w:val="21"/>
                    </w:rPr>
                    <w:t>生活用水依托建设单位自来水管网</w:t>
                  </w:r>
                  <w:r>
                    <w:rPr>
                      <w:rFonts w:hint="eastAsia"/>
                      <w:sz w:val="21"/>
                      <w:szCs w:val="21"/>
                      <w:highlight w:val="none"/>
                    </w:rPr>
                    <w:t>，项目生产用水由附近村庄水塘（非饮用水水塘，位于项目</w:t>
                  </w:r>
                  <w:r>
                    <w:rPr>
                      <w:rFonts w:hint="eastAsia"/>
                      <w:sz w:val="21"/>
                      <w:szCs w:val="21"/>
                      <w:highlight w:val="none"/>
                      <w:lang w:eastAsia="zh-CN"/>
                    </w:rPr>
                    <w:t>东</w:t>
                  </w:r>
                  <w:r>
                    <w:rPr>
                      <w:rFonts w:hint="eastAsia"/>
                      <w:sz w:val="21"/>
                      <w:szCs w:val="21"/>
                      <w:highlight w:val="none"/>
                    </w:rPr>
                    <w:t>侧）</w:t>
                  </w:r>
                  <w:r>
                    <w:rPr>
                      <w:rFonts w:hint="eastAsia"/>
                      <w:sz w:val="21"/>
                      <w:szCs w:val="21"/>
                      <w:highlight w:val="none"/>
                      <w:lang w:eastAsia="zh-CN"/>
                    </w:rPr>
                    <w:t>，</w:t>
                  </w:r>
                  <w:r>
                    <w:rPr>
                      <w:rFonts w:hint="eastAsia"/>
                      <w:sz w:val="21"/>
                      <w:szCs w:val="21"/>
                      <w:highlight w:val="none"/>
                    </w:rPr>
                    <w:t>用</w:t>
                  </w:r>
                  <w:r>
                    <w:rPr>
                      <w:rFonts w:hint="eastAsia"/>
                      <w:sz w:val="21"/>
                      <w:szCs w:val="21"/>
                    </w:rPr>
                    <w:t>水泵抽至石材加工项目原有沉淀池提供。</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adjustRightInd w:val="0"/>
                    <w:ind w:firstLine="0" w:firstLineChars="0"/>
                    <w:jc w:val="center"/>
                    <w:outlineLvl w:val="0"/>
                    <w:rPr>
                      <w:color w:val="000000" w:themeColor="text1"/>
                      <w:sz w:val="21"/>
                      <w:szCs w:val="21"/>
                    </w:rPr>
                  </w:pPr>
                  <w:bookmarkStart w:id="10" w:name="_Toc28836"/>
                  <w:r>
                    <w:rPr>
                      <w:rFonts w:hint="eastAsia"/>
                      <w:color w:val="000000" w:themeColor="text1"/>
                      <w:sz w:val="21"/>
                      <w:szCs w:val="21"/>
                    </w:rPr>
                    <w:t>电</w:t>
                  </w:r>
                  <w:bookmarkEnd w:id="10"/>
                </w:p>
              </w:tc>
              <w:tc>
                <w:tcPr>
                  <w:tcW w:w="1190" w:type="dxa"/>
                </w:tcPr>
                <w:p>
                  <w:pPr>
                    <w:adjustRightInd w:val="0"/>
                    <w:ind w:firstLine="0" w:firstLineChars="0"/>
                    <w:jc w:val="center"/>
                    <w:outlineLvl w:val="0"/>
                    <w:rPr>
                      <w:color w:val="000000" w:themeColor="text1"/>
                      <w:sz w:val="21"/>
                      <w:szCs w:val="21"/>
                    </w:rPr>
                  </w:pPr>
                  <w:bookmarkStart w:id="11" w:name="_Toc19377"/>
                  <w:r>
                    <w:rPr>
                      <w:rFonts w:hint="eastAsia"/>
                      <w:color w:val="000000" w:themeColor="text1"/>
                      <w:sz w:val="21"/>
                      <w:szCs w:val="21"/>
                    </w:rPr>
                    <w:t>2万kwh/a</w:t>
                  </w:r>
                  <w:bookmarkEnd w:id="11"/>
                </w:p>
              </w:tc>
              <w:tc>
                <w:tcPr>
                  <w:tcW w:w="6072" w:type="dxa"/>
                </w:tcPr>
                <w:p>
                  <w:pPr>
                    <w:adjustRightInd w:val="0"/>
                    <w:ind w:firstLine="0" w:firstLineChars="0"/>
                    <w:jc w:val="center"/>
                    <w:outlineLvl w:val="0"/>
                    <w:rPr>
                      <w:color w:val="000000" w:themeColor="text1"/>
                      <w:sz w:val="21"/>
                      <w:szCs w:val="21"/>
                    </w:rPr>
                  </w:pPr>
                  <w:bookmarkStart w:id="12" w:name="_Toc11179"/>
                  <w:r>
                    <w:rPr>
                      <w:rFonts w:hint="eastAsia"/>
                      <w:color w:val="000000" w:themeColor="text1"/>
                      <w:sz w:val="21"/>
                      <w:szCs w:val="21"/>
                    </w:rPr>
                    <w:t>匡远镇供电所</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center"/>
                </w:tcPr>
                <w:p>
                  <w:pPr>
                    <w:adjustRightInd w:val="0"/>
                    <w:spacing w:line="240" w:lineRule="auto"/>
                    <w:ind w:firstLine="0" w:firstLineChars="0"/>
                    <w:jc w:val="center"/>
                    <w:outlineLvl w:val="0"/>
                    <w:rPr>
                      <w:color w:val="auto"/>
                      <w:sz w:val="21"/>
                      <w:szCs w:val="21"/>
                    </w:rPr>
                  </w:pPr>
                  <w:bookmarkStart w:id="13" w:name="_Toc16457"/>
                  <w:r>
                    <w:rPr>
                      <w:rFonts w:hint="eastAsia"/>
                      <w:color w:val="auto"/>
                      <w:sz w:val="21"/>
                      <w:szCs w:val="21"/>
                    </w:rPr>
                    <w:t>卓立抗磨液压油</w:t>
                  </w:r>
                  <w:bookmarkEnd w:id="13"/>
                </w:p>
              </w:tc>
              <w:tc>
                <w:tcPr>
                  <w:tcW w:w="1190" w:type="dxa"/>
                </w:tcPr>
                <w:p>
                  <w:pPr>
                    <w:adjustRightInd w:val="0"/>
                    <w:ind w:firstLine="0" w:firstLineChars="0"/>
                    <w:jc w:val="center"/>
                    <w:outlineLvl w:val="0"/>
                    <w:rPr>
                      <w:color w:val="auto"/>
                      <w:sz w:val="21"/>
                      <w:szCs w:val="21"/>
                    </w:rPr>
                  </w:pPr>
                  <w:bookmarkStart w:id="14" w:name="_Toc3323"/>
                  <w:r>
                    <w:rPr>
                      <w:rFonts w:hint="eastAsia"/>
                      <w:color w:val="auto"/>
                      <w:sz w:val="21"/>
                      <w:szCs w:val="21"/>
                      <w:lang w:val="en-US" w:eastAsia="zh-CN"/>
                    </w:rPr>
                    <w:t>150</w:t>
                  </w:r>
                  <w:r>
                    <w:rPr>
                      <w:rFonts w:hint="eastAsia"/>
                      <w:color w:val="auto"/>
                      <w:sz w:val="21"/>
                      <w:szCs w:val="21"/>
                    </w:rPr>
                    <w:t>kg</w:t>
                  </w:r>
                  <w:bookmarkEnd w:id="14"/>
                </w:p>
              </w:tc>
              <w:tc>
                <w:tcPr>
                  <w:tcW w:w="6072" w:type="dxa"/>
                </w:tcPr>
                <w:p>
                  <w:pPr>
                    <w:adjustRightInd w:val="0"/>
                    <w:ind w:firstLine="0" w:firstLineChars="0"/>
                    <w:jc w:val="center"/>
                    <w:outlineLvl w:val="0"/>
                    <w:rPr>
                      <w:color w:val="000000" w:themeColor="text1"/>
                      <w:sz w:val="21"/>
                      <w:szCs w:val="21"/>
                    </w:rPr>
                  </w:pPr>
                  <w:bookmarkStart w:id="15" w:name="_Toc20147"/>
                  <w:r>
                    <w:rPr>
                      <w:rFonts w:hint="eastAsia"/>
                      <w:color w:val="000000" w:themeColor="text1"/>
                      <w:sz w:val="21"/>
                      <w:szCs w:val="21"/>
                    </w:rPr>
                    <w:t>外购</w:t>
                  </w:r>
                  <w:bookmarkEnd w:id="15"/>
                </w:p>
              </w:tc>
            </w:tr>
          </w:tbl>
          <w:p>
            <w:pPr>
              <w:ind w:firstLine="482"/>
              <w:rPr>
                <w:b/>
                <w:bCs/>
                <w:szCs w:val="32"/>
              </w:rPr>
            </w:pPr>
            <w:r>
              <w:rPr>
                <w:rFonts w:hint="eastAsia"/>
                <w:b/>
                <w:bCs/>
                <w:szCs w:val="32"/>
              </w:rPr>
              <w:t>（10）</w:t>
            </w:r>
            <w:r>
              <w:rPr>
                <w:b/>
                <w:bCs/>
                <w:szCs w:val="32"/>
              </w:rPr>
              <w:t>公用工程</w:t>
            </w:r>
          </w:p>
          <w:p>
            <w:pPr>
              <w:ind w:firstLine="480"/>
              <w:rPr>
                <w:szCs w:val="32"/>
              </w:rPr>
            </w:pPr>
            <w:r>
              <w:rPr>
                <w:szCs w:val="32"/>
              </w:rPr>
              <w:fldChar w:fldCharType="begin"/>
            </w:r>
            <w:r>
              <w:rPr>
                <w:szCs w:val="32"/>
              </w:rPr>
              <w:instrText xml:space="preserve"> = 1 \* GB3 \* MERGEFORMAT </w:instrText>
            </w:r>
            <w:r>
              <w:rPr>
                <w:szCs w:val="32"/>
              </w:rPr>
              <w:fldChar w:fldCharType="separate"/>
            </w:r>
            <w:r>
              <w:t>①</w:t>
            </w:r>
            <w:r>
              <w:rPr>
                <w:szCs w:val="32"/>
              </w:rPr>
              <w:fldChar w:fldCharType="end"/>
            </w:r>
            <w:r>
              <w:rPr>
                <w:szCs w:val="32"/>
              </w:rPr>
              <w:t>供电</w:t>
            </w:r>
          </w:p>
          <w:p>
            <w:pPr>
              <w:ind w:firstLine="480"/>
              <w:rPr>
                <w:szCs w:val="32"/>
              </w:rPr>
            </w:pPr>
            <w:r>
              <w:rPr>
                <w:szCs w:val="32"/>
              </w:rPr>
              <w:t>项目用包括生产用电和办公生活用电，用电量约</w:t>
            </w:r>
            <w:r>
              <w:rPr>
                <w:rFonts w:hint="eastAsia"/>
                <w:szCs w:val="32"/>
              </w:rPr>
              <w:t>2</w:t>
            </w:r>
            <w:r>
              <w:rPr>
                <w:szCs w:val="32"/>
              </w:rPr>
              <w:t>万kwh/年，由</w:t>
            </w:r>
            <w:r>
              <w:rPr>
                <w:rFonts w:hint="eastAsia"/>
                <w:color w:val="000000" w:themeColor="text1"/>
              </w:rPr>
              <w:t>匡远镇供电所</w:t>
            </w:r>
            <w:r>
              <w:rPr>
                <w:rFonts w:hint="eastAsia"/>
                <w:szCs w:val="32"/>
              </w:rPr>
              <w:t>统一供给</w:t>
            </w:r>
            <w:r>
              <w:t>。</w:t>
            </w:r>
          </w:p>
          <w:p>
            <w:pPr>
              <w:ind w:firstLine="480"/>
              <w:rPr>
                <w:szCs w:val="32"/>
              </w:rPr>
            </w:pPr>
            <w:r>
              <w:rPr>
                <w:szCs w:val="32"/>
              </w:rPr>
              <w:fldChar w:fldCharType="begin"/>
            </w:r>
            <w:r>
              <w:rPr>
                <w:szCs w:val="32"/>
              </w:rPr>
              <w:instrText xml:space="preserve"> = 2 \* GB3 \* MERGEFORMAT </w:instrText>
            </w:r>
            <w:r>
              <w:rPr>
                <w:szCs w:val="32"/>
              </w:rPr>
              <w:fldChar w:fldCharType="separate"/>
            </w:r>
            <w:r>
              <w:t>②</w:t>
            </w:r>
            <w:r>
              <w:rPr>
                <w:szCs w:val="32"/>
              </w:rPr>
              <w:fldChar w:fldCharType="end"/>
            </w:r>
            <w:r>
              <w:rPr>
                <w:szCs w:val="32"/>
              </w:rPr>
              <w:t>供水</w:t>
            </w:r>
          </w:p>
          <w:p>
            <w:pPr>
              <w:pStyle w:val="9"/>
              <w:ind w:firstLine="480"/>
            </w:pPr>
            <w:r>
              <w:t>项目运营期用水主要包括</w:t>
            </w:r>
            <w:r>
              <w:rPr>
                <w:rFonts w:hint="eastAsia"/>
              </w:rPr>
              <w:t>废石料喷淋用水、绿化用水、及降尘</w:t>
            </w:r>
            <w:r>
              <w:t>用水，用水量约</w:t>
            </w:r>
            <w:r>
              <w:rPr>
                <w:rFonts w:hint="eastAsia"/>
              </w:rPr>
              <w:t>448</w:t>
            </w:r>
            <w:r>
              <w:t>m</w:t>
            </w:r>
            <w:r>
              <w:rPr>
                <w:vertAlign w:val="superscript"/>
              </w:rPr>
              <w:t>3</w:t>
            </w:r>
            <w:r>
              <w:t>/a，</w:t>
            </w:r>
            <w:r>
              <w:rPr>
                <w:rFonts w:hint="eastAsia"/>
              </w:rPr>
              <w:t>生活用水依托建设单位自来水管网，项目生产用水由附近村庄水塘（非饮用水水塘，位于项目</w:t>
            </w:r>
            <w:r>
              <w:rPr>
                <w:rFonts w:hint="eastAsia"/>
                <w:lang w:eastAsia="zh-CN"/>
              </w:rPr>
              <w:t>东</w:t>
            </w:r>
            <w:r>
              <w:rPr>
                <w:rFonts w:hint="eastAsia"/>
              </w:rPr>
              <w:t>侧）用水泵抽至石材加工项目原有沉淀池提供。</w:t>
            </w:r>
          </w:p>
          <w:p>
            <w:pPr>
              <w:ind w:firstLine="480"/>
              <w:rPr>
                <w:szCs w:val="32"/>
              </w:rPr>
            </w:pPr>
            <w:r>
              <w:rPr>
                <w:szCs w:val="32"/>
              </w:rPr>
              <w:fldChar w:fldCharType="begin"/>
            </w:r>
            <w:r>
              <w:rPr>
                <w:szCs w:val="32"/>
              </w:rPr>
              <w:instrText xml:space="preserve"> = 3 \* GB3 \* MERGEFORMAT </w:instrText>
            </w:r>
            <w:r>
              <w:rPr>
                <w:szCs w:val="32"/>
              </w:rPr>
              <w:fldChar w:fldCharType="separate"/>
            </w:r>
            <w:r>
              <w:t>③</w:t>
            </w:r>
            <w:r>
              <w:rPr>
                <w:szCs w:val="32"/>
              </w:rPr>
              <w:fldChar w:fldCharType="end"/>
            </w:r>
            <w:r>
              <w:rPr>
                <w:szCs w:val="32"/>
              </w:rPr>
              <w:t>排水</w:t>
            </w:r>
          </w:p>
          <w:p>
            <w:pPr>
              <w:pStyle w:val="15"/>
              <w:ind w:firstLine="480"/>
            </w:pPr>
            <w:r>
              <w:rPr>
                <w:rFonts w:hint="eastAsia"/>
              </w:rPr>
              <w:t>采用雨污分流制排水方式，厂区设有雨水沟，初期雨水经收集后进入雨水收集池，经雨水收集池沉淀后回用于石材加工项目，项目区内不设置办公生活区，全部依托石材厂，故项目区内无生活、办公废水产生，生活、办公废水依托石材厂内已有环保措施，石材厂食堂废水不经处理直接用于地面洒水沉降，本次环评提出新建一个0.5m</w:t>
            </w:r>
            <w:r>
              <w:rPr>
                <w:rFonts w:hint="eastAsia"/>
                <w:vertAlign w:val="superscript"/>
              </w:rPr>
              <w:t>3</w:t>
            </w:r>
            <w:r>
              <w:rPr>
                <w:rFonts w:hint="eastAsia"/>
              </w:rPr>
              <w:t>隔油池，食堂废水经隔油池处理后与员工办公生活清洗废水进入石材加工项目沉淀池沉淀后用于石材加工项目生产，本项目石料喷淋用水、绿化用水、降尘用水均自然蒸发无生产废水产生。</w:t>
            </w:r>
          </w:p>
          <w:p>
            <w:pPr>
              <w:ind w:firstLine="482"/>
              <w:rPr>
                <w:b/>
                <w:bCs/>
                <w:szCs w:val="32"/>
              </w:rPr>
            </w:pPr>
            <w:r>
              <w:rPr>
                <w:b/>
                <w:bCs/>
                <w:szCs w:val="32"/>
              </w:rPr>
              <w:t>7.劳动定员及工作制度</w:t>
            </w:r>
          </w:p>
          <w:p>
            <w:pPr>
              <w:ind w:firstLine="480"/>
              <w:rPr>
                <w:szCs w:val="32"/>
              </w:rPr>
            </w:pPr>
            <w:r>
              <w:rPr>
                <w:rFonts w:hint="eastAsia"/>
                <w:szCs w:val="32"/>
                <w:highlight w:val="none"/>
              </w:rPr>
              <w:t>本</w:t>
            </w:r>
            <w:r>
              <w:rPr>
                <w:szCs w:val="32"/>
                <w:highlight w:val="none"/>
              </w:rPr>
              <w:t>项目员工</w:t>
            </w:r>
            <w:r>
              <w:rPr>
                <w:rFonts w:hint="eastAsia"/>
                <w:szCs w:val="32"/>
                <w:highlight w:val="none"/>
                <w:lang w:eastAsia="zh-CN"/>
              </w:rPr>
              <w:t>均为原石材加工厂生产员工，本项目建成投产后将在项目区内进行调配，不新增人员。</w:t>
            </w:r>
            <w:r>
              <w:rPr>
                <w:rFonts w:hint="eastAsia"/>
                <w:szCs w:val="32"/>
              </w:rPr>
              <w:t>石材厂员工共有10</w:t>
            </w:r>
            <w:r>
              <w:rPr>
                <w:szCs w:val="32"/>
              </w:rPr>
              <w:t>人，</w:t>
            </w:r>
            <w:r>
              <w:rPr>
                <w:rFonts w:hint="eastAsia"/>
                <w:szCs w:val="32"/>
              </w:rPr>
              <w:t>其中，4人在厂区食</w:t>
            </w:r>
            <w:r>
              <w:rPr>
                <w:szCs w:val="32"/>
              </w:rPr>
              <w:t>宿</w:t>
            </w:r>
            <w:r>
              <w:rPr>
                <w:rFonts w:hint="eastAsia"/>
                <w:szCs w:val="32"/>
              </w:rPr>
              <w:t>，其余6人均不在厂区住宿。</w:t>
            </w:r>
            <w:r>
              <w:rPr>
                <w:szCs w:val="32"/>
              </w:rPr>
              <w:t>工作制度为年工作日300天，每天</w:t>
            </w:r>
            <w:r>
              <w:rPr>
                <w:rFonts w:hint="eastAsia"/>
                <w:szCs w:val="32"/>
              </w:rPr>
              <w:t>一</w:t>
            </w:r>
            <w:r>
              <w:rPr>
                <w:szCs w:val="32"/>
              </w:rPr>
              <w:t>班，每班</w:t>
            </w:r>
            <w:r>
              <w:rPr>
                <w:rFonts w:hint="eastAsia"/>
                <w:szCs w:val="32"/>
              </w:rPr>
              <w:t>8</w:t>
            </w:r>
            <w:r>
              <w:rPr>
                <w:szCs w:val="32"/>
              </w:rPr>
              <w:t>小时</w:t>
            </w:r>
            <w:r>
              <w:rPr>
                <w:rFonts w:hint="eastAsia"/>
                <w:szCs w:val="32"/>
              </w:rPr>
              <w:t>，仅昼间生产，夜间不生产</w:t>
            </w:r>
            <w:r>
              <w:rPr>
                <w:szCs w:val="32"/>
              </w:rPr>
              <w:t>。</w:t>
            </w:r>
          </w:p>
          <w:p>
            <w:pPr>
              <w:tabs>
                <w:tab w:val="left" w:pos="2395"/>
              </w:tabs>
              <w:ind w:firstLine="482"/>
              <w:rPr>
                <w:b/>
                <w:bCs/>
                <w:szCs w:val="32"/>
              </w:rPr>
            </w:pPr>
            <w:r>
              <w:rPr>
                <w:rFonts w:hint="eastAsia"/>
                <w:b/>
                <w:bCs/>
                <w:szCs w:val="32"/>
              </w:rPr>
              <w:t>8.项目建设进度</w:t>
            </w:r>
          </w:p>
          <w:p>
            <w:pPr>
              <w:tabs>
                <w:tab w:val="left" w:pos="2395"/>
              </w:tabs>
              <w:ind w:firstLine="480"/>
            </w:pPr>
            <w:r>
              <w:rPr>
                <w:rFonts w:hint="eastAsia"/>
              </w:rPr>
              <w:t>项目计划于</w:t>
            </w:r>
            <w:r>
              <w:rPr>
                <w:kern w:val="0"/>
              </w:rPr>
              <w:t>202</w:t>
            </w:r>
            <w:r>
              <w:rPr>
                <w:rFonts w:hint="eastAsia"/>
                <w:kern w:val="0"/>
              </w:rPr>
              <w:t>1</w:t>
            </w:r>
            <w:r>
              <w:rPr>
                <w:kern w:val="0"/>
              </w:rPr>
              <w:t>年</w:t>
            </w:r>
            <w:r>
              <w:rPr>
                <w:rFonts w:hint="eastAsia"/>
                <w:kern w:val="0"/>
              </w:rPr>
              <w:t>1</w:t>
            </w:r>
            <w:r>
              <w:rPr>
                <w:kern w:val="0"/>
              </w:rPr>
              <w:t>月</w:t>
            </w:r>
            <w:r>
              <w:rPr>
                <w:rFonts w:hint="eastAsia"/>
                <w:kern w:val="0"/>
              </w:rPr>
              <w:t>初</w:t>
            </w:r>
            <w:r>
              <w:rPr>
                <w:kern w:val="0"/>
              </w:rPr>
              <w:t>开工建设，</w:t>
            </w:r>
            <w:r>
              <w:rPr>
                <w:rFonts w:hint="eastAsia"/>
                <w:kern w:val="0"/>
              </w:rPr>
              <w:t>2021年5</w:t>
            </w:r>
            <w:r>
              <w:rPr>
                <w:kern w:val="0"/>
              </w:rPr>
              <w:t>月</w:t>
            </w:r>
            <w:r>
              <w:rPr>
                <w:rFonts w:hint="eastAsia"/>
                <w:kern w:val="0"/>
              </w:rPr>
              <w:t>末建设完成</w:t>
            </w:r>
            <w:r>
              <w:rPr>
                <w:rFonts w:hint="eastAsia"/>
              </w:rPr>
              <w:t>，项目建设周期5个月，目前项目尚未开始建设。</w:t>
            </w:r>
          </w:p>
          <w:p>
            <w:pPr>
              <w:tabs>
                <w:tab w:val="left" w:pos="2395"/>
              </w:tabs>
              <w:ind w:firstLine="482"/>
              <w:rPr>
                <w:b/>
                <w:bCs/>
                <w:szCs w:val="32"/>
              </w:rPr>
            </w:pPr>
            <w:r>
              <w:rPr>
                <w:rFonts w:hint="eastAsia"/>
                <w:b/>
                <w:bCs/>
                <w:szCs w:val="32"/>
              </w:rPr>
              <w:t>9.</w:t>
            </w:r>
            <w:r>
              <w:rPr>
                <w:b/>
                <w:bCs/>
                <w:szCs w:val="32"/>
              </w:rPr>
              <w:t>总平面布局</w:t>
            </w:r>
          </w:p>
          <w:p>
            <w:pPr>
              <w:ind w:firstLine="480"/>
            </w:pPr>
            <w:r>
              <w:rPr>
                <w:szCs w:val="32"/>
              </w:rPr>
              <w:t xml:space="preserve"> </w:t>
            </w:r>
            <w:r>
              <w:rPr>
                <w:rFonts w:hint="eastAsia"/>
                <w:szCs w:val="32"/>
              </w:rPr>
              <w:t>本</w:t>
            </w:r>
            <w:r>
              <w:rPr>
                <w:szCs w:val="32"/>
              </w:rPr>
              <w:t>项目</w:t>
            </w:r>
            <w:r>
              <w:rPr>
                <w:rFonts w:hint="eastAsia"/>
                <w:szCs w:val="32"/>
              </w:rPr>
              <w:t>区位于石材厂厂区东南角，设置有原料堆存间、破碎车间、成品堆存间及危险废物暂存间，原料堆存间设置在项目区东北侧与厂区道路相连方便废石料即原料进入堆存间，破碎车间位于原料堆存间正南侧，成品堆场位于破碎间正西侧，危险废物暂存间位于项目区西北侧，员工办公生活区均依托石材厂原有设施，</w:t>
            </w:r>
            <w:r>
              <w:rPr>
                <w:szCs w:val="32"/>
              </w:rPr>
              <w:t>详见项目</w:t>
            </w:r>
            <w:r>
              <w:rPr>
                <w:rFonts w:hint="eastAsia"/>
                <w:szCs w:val="32"/>
              </w:rPr>
              <w:t>附图4项目</w:t>
            </w:r>
            <w:r>
              <w:rPr>
                <w:szCs w:val="32"/>
              </w:rPr>
              <w:t>平面布置图。</w:t>
            </w:r>
          </w:p>
          <w:p>
            <w:pPr>
              <w:ind w:firstLine="482"/>
              <w:rPr>
                <w:b/>
                <w:bCs/>
                <w:szCs w:val="32"/>
              </w:rPr>
            </w:pPr>
            <w:r>
              <w:rPr>
                <w:rFonts w:hint="eastAsia"/>
                <w:b/>
                <w:bCs/>
                <w:szCs w:val="32"/>
                <w:lang w:val="en-US" w:eastAsia="zh-CN"/>
              </w:rPr>
              <w:t>10</w:t>
            </w:r>
            <w:r>
              <w:rPr>
                <w:rFonts w:hint="eastAsia"/>
                <w:b/>
                <w:bCs/>
                <w:szCs w:val="32"/>
              </w:rPr>
              <w:t>.</w:t>
            </w:r>
            <w:r>
              <w:rPr>
                <w:b/>
                <w:bCs/>
                <w:szCs w:val="32"/>
              </w:rPr>
              <w:t>环保投资</w:t>
            </w:r>
          </w:p>
          <w:p>
            <w:pPr>
              <w:ind w:firstLine="480"/>
              <w:rPr>
                <w:szCs w:val="32"/>
              </w:rPr>
            </w:pPr>
            <w:r>
              <w:rPr>
                <w:szCs w:val="32"/>
              </w:rPr>
              <w:t>本项目总投资</w:t>
            </w:r>
            <w:r>
              <w:rPr>
                <w:rFonts w:hint="eastAsia"/>
                <w:szCs w:val="32"/>
              </w:rPr>
              <w:t>30</w:t>
            </w:r>
            <w:r>
              <w:rPr>
                <w:szCs w:val="32"/>
              </w:rPr>
              <w:t>万元，其中环保投资</w:t>
            </w:r>
            <w:r>
              <w:rPr>
                <w:rFonts w:hint="eastAsia"/>
                <w:szCs w:val="32"/>
                <w:lang w:val="en-US" w:eastAsia="zh-CN"/>
              </w:rPr>
              <w:t>11.535</w:t>
            </w:r>
            <w:r>
              <w:rPr>
                <w:szCs w:val="32"/>
              </w:rPr>
              <w:t>元，占总投资的</w:t>
            </w:r>
            <w:r>
              <w:rPr>
                <w:rFonts w:hint="eastAsia"/>
                <w:szCs w:val="32"/>
                <w:lang w:val="en-US" w:eastAsia="zh-CN"/>
              </w:rPr>
              <w:t>38.45</w:t>
            </w:r>
            <w:r>
              <w:rPr>
                <w:szCs w:val="32"/>
              </w:rPr>
              <w:t>%，环保投资估算表见表1</w:t>
            </w:r>
            <w:r>
              <w:rPr>
                <w:rFonts w:hint="eastAsia"/>
                <w:szCs w:val="32"/>
              </w:rPr>
              <w:t>-6</w:t>
            </w:r>
            <w:r>
              <w:rPr>
                <w:szCs w:val="32"/>
              </w:rPr>
              <w:t>。</w:t>
            </w:r>
          </w:p>
          <w:p>
            <w:pPr>
              <w:adjustRightInd w:val="0"/>
              <w:snapToGrid w:val="0"/>
              <w:ind w:firstLine="482"/>
              <w:jc w:val="center"/>
              <w:rPr>
                <w:b/>
                <w:color w:val="auto"/>
                <w:szCs w:val="21"/>
              </w:rPr>
            </w:pPr>
            <w:r>
              <w:rPr>
                <w:b/>
                <w:color w:val="auto"/>
                <w:szCs w:val="21"/>
              </w:rPr>
              <w:t>表</w:t>
            </w:r>
            <w:r>
              <w:rPr>
                <w:rFonts w:hint="eastAsia"/>
                <w:b/>
                <w:color w:val="auto"/>
                <w:szCs w:val="21"/>
              </w:rPr>
              <w:t>1-6</w:t>
            </w:r>
            <w:r>
              <w:rPr>
                <w:b/>
                <w:color w:val="auto"/>
                <w:szCs w:val="21"/>
              </w:rPr>
              <w:t xml:space="preserve">  项目环保投资一览表</w:t>
            </w:r>
          </w:p>
          <w:tbl>
            <w:tblPr>
              <w:tblStyle w:val="22"/>
              <w:tblW w:w="485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7"/>
              <w:gridCol w:w="1051"/>
              <w:gridCol w:w="3245"/>
              <w:gridCol w:w="2209"/>
              <w:gridCol w:w="14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5" w:hRule="atLeast"/>
                <w:jc w:val="center"/>
              </w:trPr>
              <w:tc>
                <w:tcPr>
                  <w:tcW w:w="727" w:type="dxa"/>
                  <w:shd w:val="clear" w:color="auto" w:fill="auto"/>
                  <w:vAlign w:val="center"/>
                </w:tcPr>
                <w:p>
                  <w:pPr>
                    <w:widowControl/>
                    <w:adjustRightInd w:val="0"/>
                    <w:snapToGrid w:val="0"/>
                    <w:spacing w:line="240" w:lineRule="auto"/>
                    <w:ind w:firstLine="0" w:firstLineChars="0"/>
                    <w:jc w:val="center"/>
                    <w:rPr>
                      <w:b/>
                      <w:bCs/>
                      <w:color w:val="auto"/>
                      <w:kern w:val="0"/>
                      <w:sz w:val="21"/>
                      <w:szCs w:val="21"/>
                    </w:rPr>
                  </w:pPr>
                  <w:r>
                    <w:rPr>
                      <w:b/>
                      <w:bCs/>
                      <w:color w:val="auto"/>
                      <w:kern w:val="0"/>
                      <w:sz w:val="21"/>
                      <w:szCs w:val="21"/>
                    </w:rPr>
                    <w:t>期间</w:t>
                  </w:r>
                </w:p>
              </w:tc>
              <w:tc>
                <w:tcPr>
                  <w:tcW w:w="1051" w:type="dxa"/>
                  <w:vAlign w:val="center"/>
                </w:tcPr>
                <w:p>
                  <w:pPr>
                    <w:widowControl/>
                    <w:adjustRightInd w:val="0"/>
                    <w:snapToGrid w:val="0"/>
                    <w:spacing w:line="240" w:lineRule="auto"/>
                    <w:ind w:firstLine="0" w:firstLineChars="0"/>
                    <w:jc w:val="center"/>
                    <w:rPr>
                      <w:b/>
                      <w:bCs/>
                      <w:color w:val="auto"/>
                      <w:kern w:val="0"/>
                      <w:sz w:val="21"/>
                      <w:szCs w:val="21"/>
                    </w:rPr>
                  </w:pPr>
                  <w:r>
                    <w:rPr>
                      <w:rFonts w:hint="eastAsia"/>
                      <w:b/>
                      <w:bCs/>
                      <w:color w:val="auto"/>
                      <w:kern w:val="0"/>
                      <w:sz w:val="21"/>
                      <w:szCs w:val="21"/>
                    </w:rPr>
                    <w:t>内容</w:t>
                  </w:r>
                </w:p>
              </w:tc>
              <w:tc>
                <w:tcPr>
                  <w:tcW w:w="3246" w:type="dxa"/>
                  <w:shd w:val="clear" w:color="auto" w:fill="auto"/>
                  <w:vAlign w:val="center"/>
                </w:tcPr>
                <w:p>
                  <w:pPr>
                    <w:widowControl/>
                    <w:adjustRightInd w:val="0"/>
                    <w:snapToGrid w:val="0"/>
                    <w:spacing w:line="240" w:lineRule="auto"/>
                    <w:ind w:firstLine="0" w:firstLineChars="0"/>
                    <w:jc w:val="center"/>
                    <w:rPr>
                      <w:b/>
                      <w:bCs/>
                      <w:color w:val="auto"/>
                      <w:kern w:val="0"/>
                      <w:sz w:val="21"/>
                      <w:szCs w:val="21"/>
                    </w:rPr>
                  </w:pPr>
                  <w:r>
                    <w:rPr>
                      <w:rFonts w:hint="eastAsia"/>
                      <w:b/>
                      <w:bCs/>
                      <w:color w:val="auto"/>
                      <w:kern w:val="0"/>
                      <w:sz w:val="21"/>
                      <w:szCs w:val="21"/>
                    </w:rPr>
                    <w:t>防治措施</w:t>
                  </w:r>
                </w:p>
              </w:tc>
              <w:tc>
                <w:tcPr>
                  <w:tcW w:w="2210" w:type="dxa"/>
                  <w:tcBorders>
                    <w:right w:val="single" w:color="auto" w:sz="4" w:space="0"/>
                  </w:tcBorders>
                  <w:vAlign w:val="center"/>
                </w:tcPr>
                <w:p>
                  <w:pPr>
                    <w:spacing w:line="240" w:lineRule="auto"/>
                    <w:ind w:firstLine="0" w:firstLineChars="0"/>
                    <w:jc w:val="center"/>
                    <w:rPr>
                      <w:b/>
                      <w:color w:val="auto"/>
                      <w:sz w:val="21"/>
                      <w:szCs w:val="21"/>
                    </w:rPr>
                  </w:pPr>
                  <w:r>
                    <w:rPr>
                      <w:b/>
                      <w:color w:val="auto"/>
                      <w:sz w:val="21"/>
                      <w:szCs w:val="21"/>
                    </w:rPr>
                    <w:t>环保投资（万元）</w:t>
                  </w:r>
                </w:p>
              </w:tc>
              <w:tc>
                <w:tcPr>
                  <w:tcW w:w="1453" w:type="dxa"/>
                  <w:tcBorders>
                    <w:left w:val="single" w:color="auto" w:sz="4" w:space="0"/>
                  </w:tcBorders>
                  <w:vAlign w:val="center"/>
                </w:tcPr>
                <w:p>
                  <w:pPr>
                    <w:spacing w:line="240" w:lineRule="auto"/>
                    <w:ind w:firstLine="0" w:firstLineChars="0"/>
                    <w:jc w:val="center"/>
                    <w:rPr>
                      <w:b/>
                      <w:color w:val="auto"/>
                      <w:sz w:val="21"/>
                      <w:szCs w:val="21"/>
                    </w:rPr>
                  </w:pPr>
                  <w:r>
                    <w:rPr>
                      <w:rFonts w:hint="eastAsia"/>
                      <w:b/>
                      <w:color w:val="auto"/>
                      <w:sz w:val="21"/>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jc w:val="center"/>
              </w:trPr>
              <w:tc>
                <w:tcPr>
                  <w:tcW w:w="727" w:type="dxa"/>
                  <w:vMerge w:val="restart"/>
                  <w:shd w:val="clear" w:color="auto" w:fill="auto"/>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施工期</w:t>
                  </w:r>
                </w:p>
              </w:tc>
              <w:tc>
                <w:tcPr>
                  <w:tcW w:w="1051" w:type="dxa"/>
                  <w:vMerge w:val="restart"/>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废气</w:t>
                  </w:r>
                </w:p>
              </w:tc>
              <w:tc>
                <w:tcPr>
                  <w:tcW w:w="3246" w:type="dxa"/>
                  <w:shd w:val="clear" w:color="auto" w:fill="auto"/>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覆盖篷布</w:t>
                  </w:r>
                </w:p>
              </w:tc>
              <w:tc>
                <w:tcPr>
                  <w:tcW w:w="2210" w:type="dxa"/>
                  <w:tcBorders>
                    <w:righ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0.3</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jc w:val="center"/>
              </w:trPr>
              <w:tc>
                <w:tcPr>
                  <w:tcW w:w="727" w:type="dxa"/>
                  <w:vMerge w:val="continue"/>
                  <w:shd w:val="clear" w:color="auto" w:fill="auto"/>
                  <w:vAlign w:val="center"/>
                </w:tcPr>
                <w:p>
                  <w:pPr>
                    <w:widowControl/>
                    <w:adjustRightInd w:val="0"/>
                    <w:snapToGrid w:val="0"/>
                    <w:spacing w:line="240" w:lineRule="auto"/>
                    <w:ind w:firstLine="0" w:firstLineChars="0"/>
                    <w:jc w:val="center"/>
                    <w:rPr>
                      <w:bCs/>
                      <w:color w:val="auto"/>
                      <w:kern w:val="0"/>
                      <w:sz w:val="21"/>
                      <w:szCs w:val="21"/>
                    </w:rPr>
                  </w:pPr>
                </w:p>
              </w:tc>
              <w:tc>
                <w:tcPr>
                  <w:tcW w:w="1051" w:type="dxa"/>
                  <w:vMerge w:val="continue"/>
                  <w:vAlign w:val="center"/>
                </w:tcPr>
                <w:p>
                  <w:pPr>
                    <w:widowControl/>
                    <w:adjustRightInd w:val="0"/>
                    <w:snapToGrid w:val="0"/>
                    <w:spacing w:line="240" w:lineRule="auto"/>
                    <w:ind w:firstLine="0" w:firstLineChars="0"/>
                    <w:jc w:val="center"/>
                    <w:rPr>
                      <w:bCs/>
                      <w:color w:val="auto"/>
                      <w:kern w:val="0"/>
                      <w:sz w:val="21"/>
                      <w:szCs w:val="21"/>
                    </w:rPr>
                  </w:pPr>
                </w:p>
              </w:tc>
              <w:tc>
                <w:tcPr>
                  <w:tcW w:w="3246" w:type="dxa"/>
                  <w:shd w:val="clear" w:color="auto" w:fill="auto"/>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洒水降尘活动软管</w:t>
                  </w:r>
                </w:p>
              </w:tc>
              <w:tc>
                <w:tcPr>
                  <w:tcW w:w="2210" w:type="dxa"/>
                  <w:tcBorders>
                    <w:righ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0.2</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727" w:type="dxa"/>
                  <w:vMerge w:val="restart"/>
                  <w:shd w:val="clear" w:color="auto" w:fill="auto"/>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运营期</w:t>
                  </w:r>
                </w:p>
              </w:tc>
              <w:tc>
                <w:tcPr>
                  <w:tcW w:w="1051" w:type="dxa"/>
                  <w:vMerge w:val="restart"/>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废气</w:t>
                  </w:r>
                </w:p>
              </w:tc>
              <w:tc>
                <w:tcPr>
                  <w:tcW w:w="3246" w:type="dxa"/>
                  <w:shd w:val="clear" w:color="auto" w:fill="auto"/>
                </w:tcPr>
                <w:p>
                  <w:pPr>
                    <w:spacing w:line="240" w:lineRule="auto"/>
                    <w:ind w:firstLine="0" w:firstLineChars="0"/>
                    <w:jc w:val="center"/>
                    <w:rPr>
                      <w:color w:val="auto"/>
                      <w:sz w:val="21"/>
                      <w:szCs w:val="21"/>
                      <w:highlight w:val="none"/>
                    </w:rPr>
                  </w:pPr>
                  <w:r>
                    <w:rPr>
                      <w:rFonts w:hint="eastAsia"/>
                      <w:color w:val="auto"/>
                      <w:sz w:val="21"/>
                      <w:szCs w:val="21"/>
                      <w:highlight w:val="none"/>
                    </w:rPr>
                    <w:t>2个集气罩+1套布袋除尘器+1根15m排气筒（</w:t>
                  </w:r>
                  <w:r>
                    <w:rPr>
                      <w:rFonts w:hint="eastAsia"/>
                      <w:color w:val="auto"/>
                      <w:sz w:val="21"/>
                      <w:szCs w:val="21"/>
                      <w:highlight w:val="none"/>
                      <w:lang w:eastAsia="zh-CN"/>
                    </w:rPr>
                    <w:t>编号：</w:t>
                  </w:r>
                  <w:r>
                    <w:rPr>
                      <w:rFonts w:hint="eastAsia"/>
                      <w:color w:val="auto"/>
                      <w:sz w:val="21"/>
                      <w:szCs w:val="21"/>
                      <w:highlight w:val="none"/>
                    </w:rPr>
                    <w:t>DA001）</w:t>
                  </w:r>
                </w:p>
              </w:tc>
              <w:tc>
                <w:tcPr>
                  <w:tcW w:w="2210" w:type="dxa"/>
                  <w:tcBorders>
                    <w:right w:val="single" w:color="auto" w:sz="4" w:space="0"/>
                  </w:tcBorders>
                </w:tcPr>
                <w:p>
                  <w:pPr>
                    <w:ind w:firstLine="0" w:firstLineChars="0"/>
                    <w:jc w:val="center"/>
                    <w:rPr>
                      <w:bCs/>
                      <w:color w:val="auto"/>
                      <w:kern w:val="0"/>
                      <w:sz w:val="21"/>
                      <w:szCs w:val="21"/>
                    </w:rPr>
                  </w:pPr>
                  <w:r>
                    <w:rPr>
                      <w:rFonts w:hint="eastAsia"/>
                      <w:color w:val="auto"/>
                      <w:sz w:val="21"/>
                      <w:szCs w:val="21"/>
                    </w:rPr>
                    <w:t>3</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727" w:type="dxa"/>
                  <w:vMerge w:val="continue"/>
                  <w:shd w:val="clear" w:color="auto" w:fill="auto"/>
                  <w:vAlign w:val="center"/>
                </w:tcPr>
                <w:p>
                  <w:pPr>
                    <w:widowControl/>
                    <w:adjustRightInd w:val="0"/>
                    <w:snapToGrid w:val="0"/>
                    <w:spacing w:line="240" w:lineRule="auto"/>
                    <w:ind w:firstLine="0" w:firstLineChars="0"/>
                    <w:jc w:val="center"/>
                    <w:rPr>
                      <w:bCs/>
                      <w:color w:val="auto"/>
                      <w:kern w:val="0"/>
                      <w:sz w:val="21"/>
                      <w:szCs w:val="21"/>
                    </w:rPr>
                  </w:pPr>
                </w:p>
              </w:tc>
              <w:tc>
                <w:tcPr>
                  <w:tcW w:w="1051" w:type="dxa"/>
                  <w:vMerge w:val="continue"/>
                  <w:vAlign w:val="center"/>
                </w:tcPr>
                <w:p>
                  <w:pPr>
                    <w:widowControl/>
                    <w:adjustRightInd w:val="0"/>
                    <w:snapToGrid w:val="0"/>
                    <w:spacing w:line="240" w:lineRule="auto"/>
                    <w:ind w:firstLine="0" w:firstLineChars="0"/>
                    <w:jc w:val="center"/>
                    <w:rPr>
                      <w:bCs/>
                      <w:color w:val="auto"/>
                      <w:kern w:val="0"/>
                      <w:sz w:val="21"/>
                      <w:szCs w:val="21"/>
                    </w:rPr>
                  </w:pPr>
                </w:p>
              </w:tc>
              <w:tc>
                <w:tcPr>
                  <w:tcW w:w="3246" w:type="dxa"/>
                  <w:shd w:val="clear" w:color="auto" w:fill="auto"/>
                  <w:vAlign w:val="center"/>
                </w:tcPr>
                <w:p>
                  <w:pPr>
                    <w:pStyle w:val="28"/>
                    <w:spacing w:line="240" w:lineRule="auto"/>
                    <w:ind w:firstLine="0" w:firstLineChars="0"/>
                    <w:rPr>
                      <w:color w:val="auto"/>
                      <w:sz w:val="21"/>
                      <w:szCs w:val="21"/>
                    </w:rPr>
                  </w:pPr>
                  <w:r>
                    <w:rPr>
                      <w:rFonts w:hint="eastAsia"/>
                      <w:color w:val="auto"/>
                      <w:sz w:val="21"/>
                      <w:szCs w:val="21"/>
                    </w:rPr>
                    <w:t>输送带密封</w:t>
                  </w:r>
                </w:p>
              </w:tc>
              <w:tc>
                <w:tcPr>
                  <w:tcW w:w="2210" w:type="dxa"/>
                  <w:tcBorders>
                    <w:right w:val="single" w:color="auto" w:sz="4" w:space="0"/>
                  </w:tcBorders>
                </w:tcPr>
                <w:p>
                  <w:pPr>
                    <w:ind w:firstLine="0" w:firstLineChars="0"/>
                    <w:jc w:val="center"/>
                    <w:rPr>
                      <w:color w:val="auto"/>
                      <w:sz w:val="21"/>
                      <w:szCs w:val="21"/>
                    </w:rPr>
                  </w:pPr>
                  <w:r>
                    <w:rPr>
                      <w:rFonts w:hint="eastAsia"/>
                      <w:color w:val="auto"/>
                      <w:sz w:val="21"/>
                      <w:szCs w:val="21"/>
                    </w:rPr>
                    <w:t>0.5</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727" w:type="dxa"/>
                  <w:vMerge w:val="continue"/>
                  <w:shd w:val="clear" w:color="auto" w:fill="auto"/>
                  <w:vAlign w:val="center"/>
                </w:tcPr>
                <w:p>
                  <w:pPr>
                    <w:widowControl/>
                    <w:adjustRightInd w:val="0"/>
                    <w:snapToGrid w:val="0"/>
                    <w:spacing w:line="240" w:lineRule="auto"/>
                    <w:ind w:firstLine="0" w:firstLineChars="0"/>
                    <w:jc w:val="center"/>
                    <w:rPr>
                      <w:bCs/>
                      <w:color w:val="auto"/>
                      <w:kern w:val="0"/>
                      <w:sz w:val="21"/>
                      <w:szCs w:val="21"/>
                    </w:rPr>
                  </w:pPr>
                </w:p>
              </w:tc>
              <w:tc>
                <w:tcPr>
                  <w:tcW w:w="1051" w:type="dxa"/>
                  <w:vMerge w:val="continue"/>
                  <w:vAlign w:val="center"/>
                </w:tcPr>
                <w:p>
                  <w:pPr>
                    <w:widowControl/>
                    <w:adjustRightInd w:val="0"/>
                    <w:snapToGrid w:val="0"/>
                    <w:spacing w:line="240" w:lineRule="auto"/>
                    <w:ind w:firstLine="0" w:firstLineChars="0"/>
                    <w:jc w:val="center"/>
                    <w:rPr>
                      <w:bCs/>
                      <w:color w:val="auto"/>
                      <w:kern w:val="0"/>
                      <w:sz w:val="21"/>
                      <w:szCs w:val="21"/>
                    </w:rPr>
                  </w:pPr>
                </w:p>
              </w:tc>
              <w:tc>
                <w:tcPr>
                  <w:tcW w:w="3246" w:type="dxa"/>
                  <w:shd w:val="clear" w:color="auto" w:fill="auto"/>
                  <w:vAlign w:val="center"/>
                </w:tcPr>
                <w:p>
                  <w:pPr>
                    <w:pStyle w:val="28"/>
                    <w:spacing w:line="240" w:lineRule="auto"/>
                    <w:ind w:firstLine="0" w:firstLineChars="0"/>
                    <w:rPr>
                      <w:color w:val="auto"/>
                      <w:sz w:val="21"/>
                      <w:szCs w:val="21"/>
                      <w:highlight w:val="none"/>
                    </w:rPr>
                  </w:pPr>
                  <w:r>
                    <w:rPr>
                      <w:rFonts w:hint="eastAsia"/>
                      <w:color w:val="auto"/>
                      <w:sz w:val="21"/>
                      <w:szCs w:val="21"/>
                      <w:highlight w:val="none"/>
                    </w:rPr>
                    <w:t>破碎间</w:t>
                  </w:r>
                  <w:r>
                    <w:rPr>
                      <w:rFonts w:hint="eastAsia"/>
                      <w:color w:val="auto"/>
                      <w:sz w:val="21"/>
                      <w:szCs w:val="21"/>
                      <w:highlight w:val="none"/>
                      <w:lang w:eastAsia="zh-CN"/>
                    </w:rPr>
                    <w:t>固定</w:t>
                  </w:r>
                  <w:r>
                    <w:rPr>
                      <w:rFonts w:hint="eastAsia"/>
                      <w:color w:val="auto"/>
                      <w:sz w:val="21"/>
                      <w:szCs w:val="21"/>
                      <w:highlight w:val="none"/>
                    </w:rPr>
                    <w:t>喷淋管</w:t>
                  </w:r>
                </w:p>
              </w:tc>
              <w:tc>
                <w:tcPr>
                  <w:tcW w:w="2210" w:type="dxa"/>
                  <w:tcBorders>
                    <w:right w:val="single" w:color="auto" w:sz="4" w:space="0"/>
                  </w:tcBorders>
                </w:tcPr>
                <w:p>
                  <w:pPr>
                    <w:ind w:firstLine="0" w:firstLineChars="0"/>
                    <w:jc w:val="center"/>
                    <w:rPr>
                      <w:color w:val="auto"/>
                      <w:sz w:val="21"/>
                      <w:szCs w:val="21"/>
                    </w:rPr>
                  </w:pPr>
                  <w:r>
                    <w:rPr>
                      <w:rFonts w:hint="eastAsia"/>
                      <w:color w:val="auto"/>
                      <w:sz w:val="21"/>
                      <w:szCs w:val="21"/>
                    </w:rPr>
                    <w:t>0.5</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highlight w:val="none"/>
                    </w:rPr>
                  </w:pPr>
                  <w:r>
                    <w:rPr>
                      <w:rFonts w:hint="eastAsia"/>
                      <w:bCs/>
                      <w:color w:val="auto"/>
                      <w:kern w:val="0"/>
                      <w:sz w:val="21"/>
                      <w:szCs w:val="21"/>
                      <w:highlight w:val="none"/>
                      <w:lang w:eastAsia="zh-CN"/>
                    </w:rPr>
                    <w:t>工程</w:t>
                  </w:r>
                  <w:r>
                    <w:rPr>
                      <w:rFonts w:hint="eastAsia"/>
                      <w:bCs/>
                      <w:color w:val="auto"/>
                      <w:kern w:val="0"/>
                      <w:sz w:val="21"/>
                      <w:szCs w:val="21"/>
                      <w:highlight w:val="none"/>
                    </w:rPr>
                    <w:t>设计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727" w:type="dxa"/>
                  <w:vMerge w:val="continue"/>
                  <w:shd w:val="clear" w:color="auto" w:fill="auto"/>
                  <w:vAlign w:val="center"/>
                </w:tcPr>
                <w:p>
                  <w:pPr>
                    <w:widowControl/>
                    <w:adjustRightInd w:val="0"/>
                    <w:snapToGrid w:val="0"/>
                    <w:spacing w:line="240" w:lineRule="auto"/>
                    <w:ind w:firstLine="0" w:firstLineChars="0"/>
                    <w:jc w:val="center"/>
                    <w:rPr>
                      <w:bCs/>
                      <w:color w:val="auto"/>
                      <w:kern w:val="0"/>
                      <w:sz w:val="21"/>
                      <w:szCs w:val="21"/>
                    </w:rPr>
                  </w:pPr>
                </w:p>
              </w:tc>
              <w:tc>
                <w:tcPr>
                  <w:tcW w:w="1051" w:type="dxa"/>
                  <w:vMerge w:val="continue"/>
                  <w:vAlign w:val="center"/>
                </w:tcPr>
                <w:p>
                  <w:pPr>
                    <w:widowControl/>
                    <w:adjustRightInd w:val="0"/>
                    <w:snapToGrid w:val="0"/>
                    <w:spacing w:line="240" w:lineRule="auto"/>
                    <w:ind w:firstLine="0" w:firstLineChars="0"/>
                    <w:jc w:val="center"/>
                    <w:rPr>
                      <w:bCs/>
                      <w:color w:val="auto"/>
                      <w:kern w:val="0"/>
                      <w:sz w:val="21"/>
                      <w:szCs w:val="21"/>
                    </w:rPr>
                  </w:pPr>
                </w:p>
              </w:tc>
              <w:tc>
                <w:tcPr>
                  <w:tcW w:w="3246" w:type="dxa"/>
                  <w:shd w:val="clear" w:color="auto" w:fill="auto"/>
                  <w:vAlign w:val="center"/>
                </w:tcPr>
                <w:p>
                  <w:pPr>
                    <w:pStyle w:val="28"/>
                    <w:spacing w:line="240" w:lineRule="auto"/>
                    <w:ind w:firstLine="0" w:firstLineChars="0"/>
                    <w:rPr>
                      <w:color w:val="auto"/>
                      <w:sz w:val="21"/>
                      <w:szCs w:val="21"/>
                    </w:rPr>
                  </w:pPr>
                  <w:r>
                    <w:rPr>
                      <w:rFonts w:hint="eastAsia"/>
                      <w:color w:val="auto"/>
                      <w:sz w:val="21"/>
                      <w:szCs w:val="21"/>
                    </w:rPr>
                    <w:t>车间封闭</w:t>
                  </w:r>
                </w:p>
              </w:tc>
              <w:tc>
                <w:tcPr>
                  <w:tcW w:w="2210" w:type="dxa"/>
                  <w:tcBorders>
                    <w:right w:val="single" w:color="auto" w:sz="4" w:space="0"/>
                  </w:tcBorders>
                </w:tcPr>
                <w:p>
                  <w:pPr>
                    <w:ind w:firstLine="0" w:firstLineChars="0"/>
                    <w:jc w:val="center"/>
                    <w:rPr>
                      <w:color w:val="auto"/>
                      <w:sz w:val="21"/>
                      <w:szCs w:val="21"/>
                    </w:rPr>
                  </w:pPr>
                  <w:r>
                    <w:rPr>
                      <w:rFonts w:hint="eastAsia"/>
                      <w:color w:val="auto"/>
                      <w:sz w:val="21"/>
                      <w:szCs w:val="21"/>
                    </w:rPr>
                    <w:t>3</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lang w:eastAsia="zh-CN"/>
                    </w:rPr>
                    <w:t>工程</w:t>
                  </w:r>
                  <w:r>
                    <w:rPr>
                      <w:rFonts w:hint="eastAsia"/>
                      <w:bCs/>
                      <w:color w:val="auto"/>
                      <w:kern w:val="0"/>
                      <w:sz w:val="21"/>
                      <w:szCs w:val="21"/>
                    </w:rPr>
                    <w:t>设计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727" w:type="dxa"/>
                  <w:vMerge w:val="continue"/>
                  <w:shd w:val="clear" w:color="auto" w:fill="auto"/>
                  <w:vAlign w:val="center"/>
                </w:tcPr>
                <w:p>
                  <w:pPr>
                    <w:widowControl/>
                    <w:adjustRightInd w:val="0"/>
                    <w:snapToGrid w:val="0"/>
                    <w:spacing w:line="240" w:lineRule="auto"/>
                    <w:ind w:firstLine="0" w:firstLineChars="0"/>
                    <w:jc w:val="center"/>
                    <w:rPr>
                      <w:bCs/>
                      <w:color w:val="auto"/>
                      <w:kern w:val="0"/>
                      <w:sz w:val="21"/>
                      <w:szCs w:val="21"/>
                    </w:rPr>
                  </w:pPr>
                </w:p>
              </w:tc>
              <w:tc>
                <w:tcPr>
                  <w:tcW w:w="1051" w:type="dxa"/>
                  <w:vMerge w:val="continue"/>
                  <w:vAlign w:val="center"/>
                </w:tcPr>
                <w:p>
                  <w:pPr>
                    <w:widowControl/>
                    <w:adjustRightInd w:val="0"/>
                    <w:snapToGrid w:val="0"/>
                    <w:spacing w:line="240" w:lineRule="auto"/>
                    <w:ind w:firstLine="0" w:firstLineChars="0"/>
                    <w:jc w:val="center"/>
                    <w:rPr>
                      <w:bCs/>
                      <w:color w:val="auto"/>
                      <w:kern w:val="0"/>
                      <w:sz w:val="21"/>
                      <w:szCs w:val="21"/>
                    </w:rPr>
                  </w:pPr>
                </w:p>
              </w:tc>
              <w:tc>
                <w:tcPr>
                  <w:tcW w:w="3246" w:type="dxa"/>
                  <w:shd w:val="clear" w:color="auto" w:fill="auto"/>
                </w:tcPr>
                <w:p>
                  <w:pPr>
                    <w:spacing w:line="240" w:lineRule="auto"/>
                    <w:ind w:firstLine="0" w:firstLineChars="0"/>
                    <w:jc w:val="center"/>
                    <w:rPr>
                      <w:color w:val="auto"/>
                      <w:sz w:val="21"/>
                      <w:szCs w:val="21"/>
                      <w:highlight w:val="none"/>
                    </w:rPr>
                  </w:pPr>
                  <w:r>
                    <w:rPr>
                      <w:rFonts w:hint="eastAsia"/>
                      <w:color w:val="auto"/>
                      <w:sz w:val="21"/>
                      <w:szCs w:val="21"/>
                      <w:highlight w:val="none"/>
                    </w:rPr>
                    <w:t>油烟净化器</w:t>
                  </w:r>
                  <w:r>
                    <w:rPr>
                      <w:rFonts w:hint="eastAsia"/>
                      <w:color w:val="auto"/>
                      <w:sz w:val="21"/>
                      <w:szCs w:val="21"/>
                      <w:highlight w:val="none"/>
                      <w:lang w:eastAsia="zh-CN"/>
                    </w:rPr>
                    <w:t>（</w:t>
                  </w:r>
                  <w:r>
                    <w:rPr>
                      <w:rFonts w:hint="eastAsia"/>
                      <w:color w:val="auto"/>
                      <w:sz w:val="21"/>
                      <w:szCs w:val="21"/>
                      <w:highlight w:val="none"/>
                      <w:lang w:val="en-US" w:eastAsia="zh-CN"/>
                    </w:rPr>
                    <w:t>1套</w:t>
                  </w:r>
                  <w:r>
                    <w:rPr>
                      <w:rFonts w:hint="eastAsia"/>
                      <w:color w:val="auto"/>
                      <w:sz w:val="21"/>
                      <w:szCs w:val="21"/>
                      <w:highlight w:val="none"/>
                      <w:lang w:eastAsia="zh-CN"/>
                    </w:rPr>
                    <w:t>）</w:t>
                  </w:r>
                  <w:r>
                    <w:rPr>
                      <w:rFonts w:hint="eastAsia"/>
                      <w:color w:val="auto"/>
                      <w:sz w:val="21"/>
                      <w:szCs w:val="21"/>
                      <w:highlight w:val="none"/>
                    </w:rPr>
                    <w:t>+排气筒</w:t>
                  </w:r>
                </w:p>
              </w:tc>
              <w:tc>
                <w:tcPr>
                  <w:tcW w:w="2210" w:type="dxa"/>
                  <w:tcBorders>
                    <w:right w:val="single" w:color="auto" w:sz="4" w:space="0"/>
                  </w:tcBorders>
                </w:tcPr>
                <w:p>
                  <w:pPr>
                    <w:ind w:firstLine="0" w:firstLineChars="0"/>
                    <w:jc w:val="center"/>
                    <w:rPr>
                      <w:rFonts w:hint="eastAsia" w:eastAsia="宋体"/>
                      <w:color w:val="auto"/>
                      <w:sz w:val="21"/>
                      <w:szCs w:val="21"/>
                      <w:highlight w:val="none"/>
                      <w:lang w:eastAsia="zh-CN"/>
                    </w:rPr>
                  </w:pPr>
                  <w:r>
                    <w:rPr>
                      <w:rFonts w:hint="eastAsia"/>
                      <w:color w:val="auto"/>
                      <w:sz w:val="21"/>
                      <w:szCs w:val="21"/>
                      <w:highlight w:val="none"/>
                    </w:rPr>
                    <w:t>0.</w:t>
                  </w:r>
                  <w:r>
                    <w:rPr>
                      <w:rFonts w:hint="eastAsia"/>
                      <w:color w:val="auto"/>
                      <w:sz w:val="21"/>
                      <w:szCs w:val="21"/>
                      <w:highlight w:val="none"/>
                      <w:lang w:val="en-US" w:eastAsia="zh-CN"/>
                    </w:rPr>
                    <w:t>3</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27" w:type="dxa"/>
                  <w:vMerge w:val="continue"/>
                  <w:shd w:val="clear" w:color="auto" w:fill="auto"/>
                  <w:vAlign w:val="center"/>
                </w:tcPr>
                <w:p>
                  <w:pPr>
                    <w:widowControl/>
                    <w:adjustRightInd w:val="0"/>
                    <w:snapToGrid w:val="0"/>
                    <w:spacing w:line="240" w:lineRule="auto"/>
                    <w:ind w:firstLine="0" w:firstLineChars="0"/>
                    <w:jc w:val="center"/>
                    <w:rPr>
                      <w:color w:val="auto"/>
                      <w:kern w:val="0"/>
                      <w:sz w:val="21"/>
                      <w:szCs w:val="21"/>
                    </w:rPr>
                  </w:pPr>
                </w:p>
              </w:tc>
              <w:tc>
                <w:tcPr>
                  <w:tcW w:w="1051" w:type="dxa"/>
                  <w:vMerge w:val="restart"/>
                  <w:vAlign w:val="center"/>
                </w:tcPr>
                <w:p>
                  <w:pPr>
                    <w:widowControl/>
                    <w:adjustRightInd w:val="0"/>
                    <w:snapToGrid w:val="0"/>
                    <w:spacing w:line="240" w:lineRule="auto"/>
                    <w:ind w:firstLine="0" w:firstLineChars="0"/>
                    <w:jc w:val="center"/>
                    <w:rPr>
                      <w:bCs/>
                      <w:color w:val="auto"/>
                      <w:kern w:val="0"/>
                      <w:sz w:val="21"/>
                      <w:szCs w:val="21"/>
                    </w:rPr>
                  </w:pPr>
                  <w:r>
                    <w:rPr>
                      <w:bCs/>
                      <w:color w:val="auto"/>
                      <w:kern w:val="0"/>
                      <w:sz w:val="21"/>
                      <w:szCs w:val="21"/>
                    </w:rPr>
                    <w:t>废水</w:t>
                  </w:r>
                </w:p>
              </w:tc>
              <w:tc>
                <w:tcPr>
                  <w:tcW w:w="3246" w:type="dxa"/>
                  <w:shd w:val="clear" w:color="auto" w:fill="auto"/>
                  <w:vAlign w:val="center"/>
                </w:tcPr>
                <w:p>
                  <w:pPr>
                    <w:spacing w:line="240" w:lineRule="auto"/>
                    <w:ind w:firstLine="0" w:firstLineChars="0"/>
                    <w:jc w:val="center"/>
                    <w:rPr>
                      <w:color w:val="auto"/>
                      <w:sz w:val="21"/>
                      <w:szCs w:val="21"/>
                    </w:rPr>
                  </w:pPr>
                  <w:r>
                    <w:rPr>
                      <w:rFonts w:hint="eastAsia"/>
                      <w:color w:val="auto"/>
                      <w:sz w:val="21"/>
                      <w:szCs w:val="21"/>
                    </w:rPr>
                    <w:t>隔油池(1个，容积为</w:t>
                  </w:r>
                  <w:r>
                    <w:rPr>
                      <w:rFonts w:hint="eastAsia"/>
                      <w:color w:val="auto"/>
                      <w:sz w:val="21"/>
                      <w:szCs w:val="21"/>
                      <w:lang w:val="en-US" w:eastAsia="zh-CN"/>
                    </w:rPr>
                    <w:t>0.5</w:t>
                  </w:r>
                  <w:r>
                    <w:rPr>
                      <w:rFonts w:hint="eastAsia"/>
                      <w:color w:val="auto"/>
                      <w:sz w:val="21"/>
                      <w:szCs w:val="21"/>
                    </w:rPr>
                    <w:t>m</w:t>
                  </w:r>
                  <w:r>
                    <w:rPr>
                      <w:rFonts w:hint="eastAsia"/>
                      <w:color w:val="auto"/>
                      <w:sz w:val="21"/>
                      <w:szCs w:val="21"/>
                      <w:vertAlign w:val="superscript"/>
                    </w:rPr>
                    <w:t>3</w:t>
                  </w:r>
                  <w:r>
                    <w:rPr>
                      <w:rFonts w:hint="eastAsia"/>
                      <w:color w:val="auto"/>
                      <w:sz w:val="21"/>
                      <w:szCs w:val="21"/>
                    </w:rPr>
                    <w:t>)</w:t>
                  </w:r>
                </w:p>
              </w:tc>
              <w:tc>
                <w:tcPr>
                  <w:tcW w:w="2210" w:type="dxa"/>
                  <w:tcBorders>
                    <w:right w:val="single" w:color="auto" w:sz="4" w:space="0"/>
                  </w:tcBorders>
                  <w:vAlign w:val="center"/>
                </w:tcPr>
                <w:p>
                  <w:pPr>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0.1</w:t>
                  </w:r>
                </w:p>
              </w:tc>
              <w:tc>
                <w:tcPr>
                  <w:tcW w:w="1453" w:type="dxa"/>
                  <w:tcBorders>
                    <w:left w:val="single" w:color="auto" w:sz="4" w:space="0"/>
                  </w:tcBorders>
                  <w:vAlign w:val="center"/>
                </w:tcPr>
                <w:p>
                  <w:pPr>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27" w:type="dxa"/>
                  <w:vMerge w:val="continue"/>
                  <w:shd w:val="clear" w:color="auto" w:fill="auto"/>
                  <w:vAlign w:val="center"/>
                </w:tcPr>
                <w:p>
                  <w:pPr>
                    <w:widowControl/>
                    <w:adjustRightInd w:val="0"/>
                    <w:snapToGrid w:val="0"/>
                    <w:spacing w:line="240" w:lineRule="auto"/>
                    <w:ind w:firstLine="0" w:firstLineChars="0"/>
                    <w:jc w:val="center"/>
                    <w:rPr>
                      <w:color w:val="auto"/>
                      <w:kern w:val="0"/>
                      <w:sz w:val="21"/>
                      <w:szCs w:val="21"/>
                    </w:rPr>
                  </w:pPr>
                </w:p>
              </w:tc>
              <w:tc>
                <w:tcPr>
                  <w:tcW w:w="1051" w:type="dxa"/>
                  <w:vMerge w:val="continue"/>
                  <w:vAlign w:val="center"/>
                </w:tcPr>
                <w:p>
                  <w:pPr>
                    <w:widowControl/>
                    <w:adjustRightInd w:val="0"/>
                    <w:snapToGrid w:val="0"/>
                    <w:spacing w:line="240" w:lineRule="auto"/>
                    <w:ind w:firstLine="0" w:firstLineChars="0"/>
                    <w:jc w:val="center"/>
                    <w:rPr>
                      <w:bCs/>
                      <w:color w:val="auto"/>
                      <w:kern w:val="0"/>
                      <w:sz w:val="21"/>
                      <w:szCs w:val="21"/>
                    </w:rPr>
                  </w:pPr>
                </w:p>
              </w:tc>
              <w:tc>
                <w:tcPr>
                  <w:tcW w:w="3246" w:type="dxa"/>
                  <w:shd w:val="clear" w:color="auto" w:fill="auto"/>
                  <w:vAlign w:val="center"/>
                </w:tcPr>
                <w:p>
                  <w:pPr>
                    <w:spacing w:line="240" w:lineRule="auto"/>
                    <w:ind w:firstLine="0" w:firstLineChars="0"/>
                    <w:jc w:val="center"/>
                    <w:rPr>
                      <w:color w:val="auto"/>
                      <w:sz w:val="21"/>
                      <w:szCs w:val="21"/>
                    </w:rPr>
                  </w:pPr>
                  <w:r>
                    <w:rPr>
                      <w:rFonts w:hint="eastAsia"/>
                      <w:color w:val="auto"/>
                      <w:sz w:val="21"/>
                      <w:szCs w:val="21"/>
                    </w:rPr>
                    <w:t>雨水收集池</w:t>
                  </w:r>
                  <w:r>
                    <w:rPr>
                      <w:rFonts w:hint="eastAsia"/>
                      <w:color w:val="auto"/>
                      <w:sz w:val="21"/>
                      <w:szCs w:val="21"/>
                      <w:lang w:eastAsia="zh-CN"/>
                    </w:rPr>
                    <w:t>、</w:t>
                  </w:r>
                  <w:r>
                    <w:rPr>
                      <w:rFonts w:hint="eastAsia"/>
                      <w:color w:val="auto"/>
                      <w:sz w:val="21"/>
                      <w:szCs w:val="21"/>
                    </w:rPr>
                    <w:t>（1个，容积为</w:t>
                  </w:r>
                  <w:r>
                    <w:rPr>
                      <w:rFonts w:hint="eastAsia"/>
                      <w:color w:val="auto"/>
                      <w:sz w:val="21"/>
                      <w:szCs w:val="21"/>
                      <w:lang w:val="en-US" w:eastAsia="zh-CN"/>
                    </w:rPr>
                    <w:t>60</w:t>
                  </w:r>
                  <w:r>
                    <w:rPr>
                      <w:rFonts w:hint="eastAsia"/>
                      <w:color w:val="auto"/>
                      <w:sz w:val="21"/>
                      <w:szCs w:val="21"/>
                    </w:rPr>
                    <w:t>m</w:t>
                  </w:r>
                  <w:r>
                    <w:rPr>
                      <w:rFonts w:hint="eastAsia"/>
                      <w:color w:val="auto"/>
                      <w:sz w:val="21"/>
                      <w:szCs w:val="21"/>
                      <w:vertAlign w:val="superscript"/>
                    </w:rPr>
                    <w:t>3</w:t>
                  </w:r>
                  <w:r>
                    <w:rPr>
                      <w:rFonts w:hint="eastAsia"/>
                      <w:color w:val="auto"/>
                      <w:sz w:val="21"/>
                      <w:szCs w:val="21"/>
                    </w:rPr>
                    <w:t>）</w:t>
                  </w:r>
                </w:p>
              </w:tc>
              <w:tc>
                <w:tcPr>
                  <w:tcW w:w="2210" w:type="dxa"/>
                  <w:tcBorders>
                    <w:right w:val="single" w:color="auto" w:sz="4" w:space="0"/>
                  </w:tcBorders>
                  <w:vAlign w:val="center"/>
                </w:tcPr>
                <w:p>
                  <w:pPr>
                    <w:adjustRightInd w:val="0"/>
                    <w:snapToGrid w:val="0"/>
                    <w:spacing w:line="240" w:lineRule="auto"/>
                    <w:ind w:firstLine="0" w:firstLineChars="0"/>
                    <w:jc w:val="center"/>
                    <w:rPr>
                      <w:rFonts w:hint="default" w:eastAsia="宋体"/>
                      <w:bCs/>
                      <w:color w:val="auto"/>
                      <w:kern w:val="0"/>
                      <w:sz w:val="21"/>
                      <w:szCs w:val="21"/>
                      <w:lang w:val="en-US" w:eastAsia="zh-CN"/>
                    </w:rPr>
                  </w:pPr>
                  <w:r>
                    <w:rPr>
                      <w:rFonts w:hint="eastAsia"/>
                      <w:bCs/>
                      <w:color w:val="auto"/>
                      <w:kern w:val="0"/>
                      <w:sz w:val="21"/>
                      <w:szCs w:val="21"/>
                      <w:lang w:val="en-US" w:eastAsia="zh-CN"/>
                    </w:rPr>
                    <w:t>1</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727" w:type="dxa"/>
                  <w:vMerge w:val="continue"/>
                  <w:shd w:val="clear" w:color="auto" w:fill="auto"/>
                  <w:vAlign w:val="center"/>
                </w:tcPr>
                <w:p>
                  <w:pPr>
                    <w:widowControl/>
                    <w:adjustRightInd w:val="0"/>
                    <w:snapToGrid w:val="0"/>
                    <w:spacing w:line="240" w:lineRule="auto"/>
                    <w:ind w:firstLine="0" w:firstLineChars="0"/>
                    <w:jc w:val="center"/>
                    <w:rPr>
                      <w:color w:val="auto"/>
                      <w:kern w:val="0"/>
                      <w:sz w:val="21"/>
                      <w:szCs w:val="21"/>
                    </w:rPr>
                  </w:pPr>
                </w:p>
              </w:tc>
              <w:tc>
                <w:tcPr>
                  <w:tcW w:w="1051" w:type="dxa"/>
                  <w:vMerge w:val="continue"/>
                  <w:vAlign w:val="center"/>
                </w:tcPr>
                <w:p>
                  <w:pPr>
                    <w:widowControl/>
                    <w:adjustRightInd w:val="0"/>
                    <w:snapToGrid w:val="0"/>
                    <w:spacing w:line="240" w:lineRule="auto"/>
                    <w:ind w:firstLine="0" w:firstLineChars="0"/>
                    <w:jc w:val="center"/>
                    <w:rPr>
                      <w:bCs/>
                      <w:color w:val="auto"/>
                      <w:kern w:val="0"/>
                      <w:sz w:val="21"/>
                      <w:szCs w:val="21"/>
                    </w:rPr>
                  </w:pPr>
                </w:p>
              </w:tc>
              <w:tc>
                <w:tcPr>
                  <w:tcW w:w="3246" w:type="dxa"/>
                  <w:shd w:val="clear" w:color="auto" w:fill="auto"/>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lang w:eastAsia="zh-CN"/>
                    </w:rPr>
                    <w:t>雨水收集沟</w:t>
                  </w:r>
                </w:p>
              </w:tc>
              <w:tc>
                <w:tcPr>
                  <w:tcW w:w="2210" w:type="dxa"/>
                  <w:tcBorders>
                    <w:right w:val="single" w:color="auto" w:sz="4" w:space="0"/>
                  </w:tcBorders>
                  <w:vAlign w:val="center"/>
                </w:tcPr>
                <w:p>
                  <w:pPr>
                    <w:adjustRightInd w:val="0"/>
                    <w:snapToGrid w:val="0"/>
                    <w:spacing w:line="240" w:lineRule="auto"/>
                    <w:ind w:firstLine="0" w:firstLineChars="0"/>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0.5</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jc w:val="center"/>
              </w:trPr>
              <w:tc>
                <w:tcPr>
                  <w:tcW w:w="727" w:type="dxa"/>
                  <w:vMerge w:val="continue"/>
                  <w:shd w:val="clear" w:color="auto" w:fill="auto"/>
                  <w:vAlign w:val="center"/>
                </w:tcPr>
                <w:p>
                  <w:pPr>
                    <w:adjustRightInd w:val="0"/>
                    <w:snapToGrid w:val="0"/>
                    <w:spacing w:line="240" w:lineRule="auto"/>
                    <w:ind w:firstLine="0" w:firstLineChars="0"/>
                    <w:jc w:val="center"/>
                    <w:rPr>
                      <w:color w:val="auto"/>
                      <w:kern w:val="0"/>
                      <w:sz w:val="21"/>
                      <w:szCs w:val="21"/>
                    </w:rPr>
                  </w:pPr>
                </w:p>
              </w:tc>
              <w:tc>
                <w:tcPr>
                  <w:tcW w:w="1051" w:type="dxa"/>
                  <w:vAlign w:val="center"/>
                </w:tcPr>
                <w:p>
                  <w:pPr>
                    <w:adjustRightInd w:val="0"/>
                    <w:snapToGrid w:val="0"/>
                    <w:spacing w:line="240" w:lineRule="auto"/>
                    <w:ind w:firstLine="0" w:firstLineChars="0"/>
                    <w:jc w:val="center"/>
                    <w:rPr>
                      <w:color w:val="auto"/>
                      <w:kern w:val="0"/>
                      <w:sz w:val="21"/>
                      <w:szCs w:val="21"/>
                    </w:rPr>
                  </w:pPr>
                  <w:r>
                    <w:rPr>
                      <w:color w:val="auto"/>
                      <w:kern w:val="0"/>
                      <w:sz w:val="21"/>
                      <w:szCs w:val="21"/>
                    </w:rPr>
                    <w:t>噪声</w:t>
                  </w:r>
                </w:p>
              </w:tc>
              <w:tc>
                <w:tcPr>
                  <w:tcW w:w="3246" w:type="dxa"/>
                  <w:shd w:val="clear" w:color="auto" w:fill="auto"/>
                  <w:vAlign w:val="center"/>
                </w:tcPr>
                <w:p>
                  <w:pPr>
                    <w:adjustRightInd w:val="0"/>
                    <w:snapToGrid w:val="0"/>
                    <w:spacing w:line="240" w:lineRule="auto"/>
                    <w:ind w:firstLine="0" w:firstLineChars="0"/>
                    <w:jc w:val="center"/>
                    <w:rPr>
                      <w:rFonts w:hint="eastAsia" w:eastAsia="宋体"/>
                      <w:color w:val="auto"/>
                      <w:kern w:val="0"/>
                      <w:sz w:val="21"/>
                      <w:szCs w:val="21"/>
                      <w:lang w:eastAsia="zh-CN"/>
                    </w:rPr>
                  </w:pPr>
                  <w:r>
                    <w:rPr>
                      <w:rFonts w:hint="eastAsia"/>
                      <w:color w:val="auto"/>
                      <w:sz w:val="21"/>
                      <w:szCs w:val="21"/>
                      <w:highlight w:val="none"/>
                    </w:rPr>
                    <w:t>减震垫</w:t>
                  </w:r>
                  <w:r>
                    <w:rPr>
                      <w:rFonts w:hint="eastAsia"/>
                      <w:color w:val="auto"/>
                      <w:sz w:val="21"/>
                      <w:szCs w:val="21"/>
                      <w:highlight w:val="none"/>
                      <w:lang w:eastAsia="zh-CN"/>
                    </w:rPr>
                    <w:t>、厂界隔声</w:t>
                  </w:r>
                </w:p>
              </w:tc>
              <w:tc>
                <w:tcPr>
                  <w:tcW w:w="2210" w:type="dxa"/>
                  <w:tcBorders>
                    <w:right w:val="single" w:color="auto" w:sz="4" w:space="0"/>
                  </w:tcBorders>
                  <w:vAlign w:val="center"/>
                </w:tcPr>
                <w:p>
                  <w:pPr>
                    <w:adjustRightInd w:val="0"/>
                    <w:snapToGrid w:val="0"/>
                    <w:spacing w:line="240" w:lineRule="auto"/>
                    <w:ind w:firstLine="0" w:firstLineChars="0"/>
                    <w:jc w:val="center"/>
                    <w:rPr>
                      <w:color w:val="auto"/>
                      <w:kern w:val="0"/>
                      <w:sz w:val="21"/>
                      <w:szCs w:val="21"/>
                    </w:rPr>
                  </w:pPr>
                  <w:r>
                    <w:rPr>
                      <w:rFonts w:hint="eastAsia"/>
                      <w:color w:val="auto"/>
                      <w:kern w:val="0"/>
                      <w:sz w:val="21"/>
                      <w:szCs w:val="21"/>
                    </w:rPr>
                    <w:t>0.1</w:t>
                  </w:r>
                </w:p>
              </w:tc>
              <w:tc>
                <w:tcPr>
                  <w:tcW w:w="1453" w:type="dxa"/>
                  <w:tcBorders>
                    <w:left w:val="single" w:color="auto" w:sz="4" w:space="0"/>
                  </w:tcBorders>
                  <w:vAlign w:val="center"/>
                </w:tcPr>
                <w:p>
                  <w:pPr>
                    <w:adjustRightInd w:val="0"/>
                    <w:snapToGrid w:val="0"/>
                    <w:spacing w:line="240" w:lineRule="auto"/>
                    <w:ind w:firstLine="0" w:firstLineChars="0"/>
                    <w:jc w:val="center"/>
                    <w:rPr>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727" w:type="dxa"/>
                  <w:vMerge w:val="continue"/>
                  <w:shd w:val="clear" w:color="auto" w:fill="auto"/>
                  <w:vAlign w:val="center"/>
                </w:tcPr>
                <w:p>
                  <w:pPr>
                    <w:adjustRightInd w:val="0"/>
                    <w:snapToGrid w:val="0"/>
                    <w:spacing w:line="240" w:lineRule="auto"/>
                    <w:ind w:firstLine="0" w:firstLineChars="0"/>
                    <w:jc w:val="center"/>
                    <w:rPr>
                      <w:color w:val="auto"/>
                      <w:kern w:val="0"/>
                      <w:sz w:val="21"/>
                      <w:szCs w:val="21"/>
                    </w:rPr>
                  </w:pPr>
                </w:p>
              </w:tc>
              <w:tc>
                <w:tcPr>
                  <w:tcW w:w="1051" w:type="dxa"/>
                  <w:vMerge w:val="restart"/>
                  <w:vAlign w:val="center"/>
                </w:tcPr>
                <w:p>
                  <w:pPr>
                    <w:widowControl/>
                    <w:adjustRightInd w:val="0"/>
                    <w:snapToGrid w:val="0"/>
                    <w:spacing w:line="240" w:lineRule="auto"/>
                    <w:ind w:firstLine="0" w:firstLineChars="0"/>
                    <w:jc w:val="center"/>
                    <w:rPr>
                      <w:rFonts w:hint="eastAsia" w:eastAsia="宋体"/>
                      <w:color w:val="auto"/>
                      <w:kern w:val="0"/>
                      <w:sz w:val="21"/>
                      <w:szCs w:val="21"/>
                      <w:lang w:eastAsia="zh-CN"/>
                    </w:rPr>
                  </w:pPr>
                  <w:r>
                    <w:rPr>
                      <w:rFonts w:hint="eastAsia"/>
                      <w:color w:val="auto"/>
                      <w:kern w:val="0"/>
                      <w:sz w:val="21"/>
                      <w:szCs w:val="21"/>
                      <w:lang w:eastAsia="zh-CN"/>
                    </w:rPr>
                    <w:t>固废</w:t>
                  </w:r>
                </w:p>
              </w:tc>
              <w:tc>
                <w:tcPr>
                  <w:tcW w:w="3246" w:type="dxa"/>
                  <w:shd w:val="clear" w:color="auto" w:fill="auto"/>
                  <w:vAlign w:val="center"/>
                </w:tcPr>
                <w:p>
                  <w:pPr>
                    <w:spacing w:line="240" w:lineRule="auto"/>
                    <w:ind w:firstLine="0" w:firstLineChars="0"/>
                    <w:jc w:val="center"/>
                    <w:rPr>
                      <w:color w:val="auto"/>
                      <w:sz w:val="21"/>
                      <w:szCs w:val="21"/>
                    </w:rPr>
                  </w:pPr>
                  <w:r>
                    <w:rPr>
                      <w:rFonts w:hint="eastAsia"/>
                      <w:color w:val="auto"/>
                      <w:sz w:val="21"/>
                      <w:szCs w:val="21"/>
                    </w:rPr>
                    <w:t>废机油桶(</w:t>
                  </w:r>
                  <w:r>
                    <w:rPr>
                      <w:rFonts w:hint="eastAsia"/>
                      <w:color w:val="auto"/>
                      <w:sz w:val="21"/>
                      <w:szCs w:val="21"/>
                      <w:lang w:val="en-US" w:eastAsia="zh-CN"/>
                    </w:rPr>
                    <w:t>2</w:t>
                  </w:r>
                  <w:r>
                    <w:rPr>
                      <w:rFonts w:hint="eastAsia"/>
                      <w:color w:val="auto"/>
                      <w:sz w:val="21"/>
                      <w:szCs w:val="21"/>
                    </w:rPr>
                    <w:t>个，容积为50L)</w:t>
                  </w:r>
                </w:p>
              </w:tc>
              <w:tc>
                <w:tcPr>
                  <w:tcW w:w="2210" w:type="dxa"/>
                  <w:tcBorders>
                    <w:right w:val="single" w:color="auto" w:sz="4" w:space="0"/>
                  </w:tcBorders>
                  <w:vAlign w:val="center"/>
                </w:tcPr>
                <w:p>
                  <w:pPr>
                    <w:widowControl/>
                    <w:adjustRightInd w:val="0"/>
                    <w:snapToGrid w:val="0"/>
                    <w:spacing w:line="240" w:lineRule="auto"/>
                    <w:ind w:firstLine="0" w:firstLineChars="0"/>
                    <w:jc w:val="center"/>
                    <w:rPr>
                      <w:color w:val="auto"/>
                      <w:kern w:val="0"/>
                      <w:sz w:val="21"/>
                      <w:szCs w:val="21"/>
                    </w:rPr>
                  </w:pPr>
                  <w:r>
                    <w:rPr>
                      <w:rFonts w:hint="eastAsia"/>
                      <w:color w:val="auto"/>
                      <w:kern w:val="0"/>
                      <w:sz w:val="21"/>
                      <w:szCs w:val="21"/>
                    </w:rPr>
                    <w:t>0.02</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727" w:type="dxa"/>
                  <w:vMerge w:val="continue"/>
                  <w:shd w:val="clear" w:color="auto" w:fill="auto"/>
                  <w:vAlign w:val="center"/>
                </w:tcPr>
                <w:p>
                  <w:pPr>
                    <w:adjustRightInd w:val="0"/>
                    <w:snapToGrid w:val="0"/>
                    <w:spacing w:line="240" w:lineRule="auto"/>
                    <w:ind w:firstLine="0" w:firstLineChars="0"/>
                    <w:jc w:val="center"/>
                    <w:rPr>
                      <w:color w:val="auto"/>
                      <w:kern w:val="0"/>
                      <w:sz w:val="21"/>
                      <w:szCs w:val="21"/>
                    </w:rPr>
                  </w:pPr>
                </w:p>
              </w:tc>
              <w:tc>
                <w:tcPr>
                  <w:tcW w:w="1051" w:type="dxa"/>
                  <w:vMerge w:val="continue"/>
                  <w:vAlign w:val="center"/>
                </w:tcPr>
                <w:p>
                  <w:pPr>
                    <w:widowControl/>
                    <w:adjustRightInd w:val="0"/>
                    <w:snapToGrid w:val="0"/>
                    <w:spacing w:line="240" w:lineRule="auto"/>
                    <w:ind w:firstLine="0" w:firstLineChars="0"/>
                    <w:jc w:val="center"/>
                    <w:rPr>
                      <w:color w:val="auto"/>
                      <w:kern w:val="0"/>
                      <w:sz w:val="21"/>
                      <w:szCs w:val="21"/>
                    </w:rPr>
                  </w:pPr>
                </w:p>
              </w:tc>
              <w:tc>
                <w:tcPr>
                  <w:tcW w:w="3246" w:type="dxa"/>
                  <w:shd w:val="clear" w:color="auto" w:fill="auto"/>
                  <w:vAlign w:val="center"/>
                </w:tcPr>
                <w:p>
                  <w:pPr>
                    <w:spacing w:line="240" w:lineRule="auto"/>
                    <w:ind w:firstLine="0" w:firstLineChars="0"/>
                    <w:jc w:val="center"/>
                    <w:rPr>
                      <w:color w:val="auto"/>
                      <w:sz w:val="21"/>
                      <w:szCs w:val="21"/>
                    </w:rPr>
                  </w:pPr>
                  <w:r>
                    <w:rPr>
                      <w:rFonts w:hint="eastAsia"/>
                      <w:color w:val="auto"/>
                      <w:sz w:val="21"/>
                      <w:szCs w:val="21"/>
                    </w:rPr>
                    <w:t>危废暂存间（</w:t>
                  </w:r>
                  <w:r>
                    <w:rPr>
                      <w:color w:val="auto"/>
                      <w:sz w:val="21"/>
                      <w:szCs w:val="21"/>
                    </w:rPr>
                    <w:t>1个，占地面积为</w:t>
                  </w:r>
                  <w:r>
                    <w:rPr>
                      <w:rFonts w:hint="eastAsia"/>
                      <w:color w:val="auto"/>
                      <w:sz w:val="21"/>
                      <w:szCs w:val="21"/>
                      <w:lang w:val="en-US" w:eastAsia="zh-CN"/>
                    </w:rPr>
                    <w:t>10</w:t>
                  </w:r>
                  <w:r>
                    <w:rPr>
                      <w:color w:val="auto"/>
                      <w:sz w:val="21"/>
                      <w:szCs w:val="21"/>
                    </w:rPr>
                    <w:t>m</w:t>
                  </w:r>
                  <w:r>
                    <w:rPr>
                      <w:color w:val="auto"/>
                      <w:sz w:val="21"/>
                      <w:szCs w:val="21"/>
                      <w:vertAlign w:val="superscript"/>
                    </w:rPr>
                    <w:t>2</w:t>
                  </w:r>
                  <w:r>
                    <w:rPr>
                      <w:rFonts w:hint="eastAsia"/>
                      <w:color w:val="auto"/>
                      <w:sz w:val="21"/>
                      <w:szCs w:val="21"/>
                    </w:rPr>
                    <w:t>，设置高0.1m，有效容积为0.4m</w:t>
                  </w:r>
                  <w:r>
                    <w:rPr>
                      <w:rFonts w:hint="eastAsia"/>
                      <w:color w:val="auto"/>
                      <w:sz w:val="21"/>
                      <w:szCs w:val="21"/>
                      <w:vertAlign w:val="superscript"/>
                    </w:rPr>
                    <w:t>3</w:t>
                  </w:r>
                  <w:r>
                    <w:rPr>
                      <w:rFonts w:hint="eastAsia"/>
                      <w:color w:val="auto"/>
                      <w:sz w:val="21"/>
                      <w:szCs w:val="21"/>
                    </w:rPr>
                    <w:t>的围堰，采用抗渗系数为P8的混凝土进行浇筑）</w:t>
                  </w:r>
                </w:p>
              </w:tc>
              <w:tc>
                <w:tcPr>
                  <w:tcW w:w="2210" w:type="dxa"/>
                  <w:tcBorders>
                    <w:right w:val="single" w:color="auto" w:sz="4" w:space="0"/>
                  </w:tcBorders>
                  <w:vAlign w:val="center"/>
                </w:tcPr>
                <w:p>
                  <w:pPr>
                    <w:widowControl/>
                    <w:adjustRightInd w:val="0"/>
                    <w:snapToGrid w:val="0"/>
                    <w:spacing w:line="240" w:lineRule="auto"/>
                    <w:ind w:firstLine="0" w:firstLineChars="0"/>
                    <w:jc w:val="center"/>
                    <w:rPr>
                      <w:color w:val="auto"/>
                      <w:kern w:val="0"/>
                      <w:sz w:val="21"/>
                      <w:szCs w:val="21"/>
                    </w:rPr>
                  </w:pPr>
                  <w:r>
                    <w:rPr>
                      <w:rFonts w:hint="eastAsia"/>
                      <w:color w:val="auto"/>
                      <w:kern w:val="0"/>
                      <w:sz w:val="21"/>
                      <w:szCs w:val="21"/>
                    </w:rPr>
                    <w:t>0.5</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27" w:type="dxa"/>
                  <w:vMerge w:val="continue"/>
                  <w:shd w:val="clear" w:color="auto" w:fill="auto"/>
                  <w:vAlign w:val="center"/>
                </w:tcPr>
                <w:p>
                  <w:pPr>
                    <w:adjustRightInd w:val="0"/>
                    <w:snapToGrid w:val="0"/>
                    <w:spacing w:line="240" w:lineRule="auto"/>
                    <w:ind w:firstLine="0" w:firstLineChars="0"/>
                    <w:jc w:val="center"/>
                    <w:rPr>
                      <w:color w:val="auto"/>
                      <w:kern w:val="0"/>
                      <w:sz w:val="21"/>
                      <w:szCs w:val="21"/>
                    </w:rPr>
                  </w:pPr>
                </w:p>
              </w:tc>
              <w:tc>
                <w:tcPr>
                  <w:tcW w:w="1051" w:type="dxa"/>
                  <w:vMerge w:val="continue"/>
                  <w:vAlign w:val="center"/>
                </w:tcPr>
                <w:p>
                  <w:pPr>
                    <w:widowControl/>
                    <w:adjustRightInd w:val="0"/>
                    <w:snapToGrid w:val="0"/>
                    <w:spacing w:line="240" w:lineRule="auto"/>
                    <w:ind w:firstLine="0" w:firstLineChars="0"/>
                    <w:jc w:val="center"/>
                    <w:rPr>
                      <w:color w:val="auto"/>
                      <w:kern w:val="0"/>
                      <w:sz w:val="21"/>
                      <w:szCs w:val="21"/>
                    </w:rPr>
                  </w:pPr>
                </w:p>
              </w:tc>
              <w:tc>
                <w:tcPr>
                  <w:tcW w:w="3246" w:type="dxa"/>
                  <w:shd w:val="clear" w:color="auto" w:fill="auto"/>
                  <w:vAlign w:val="center"/>
                </w:tcPr>
                <w:p>
                  <w:pPr>
                    <w:spacing w:line="240" w:lineRule="auto"/>
                    <w:ind w:firstLine="0" w:firstLineChars="0"/>
                    <w:jc w:val="center"/>
                    <w:rPr>
                      <w:color w:val="auto"/>
                      <w:sz w:val="21"/>
                      <w:szCs w:val="21"/>
                    </w:rPr>
                  </w:pPr>
                  <w:r>
                    <w:rPr>
                      <w:rFonts w:hint="eastAsia"/>
                      <w:color w:val="auto"/>
                      <w:sz w:val="21"/>
                      <w:szCs w:val="21"/>
                    </w:rPr>
                    <w:t>隔油池废油收集桶</w:t>
                  </w:r>
                  <w:r>
                    <w:rPr>
                      <w:rFonts w:hint="eastAsia"/>
                      <w:color w:val="auto"/>
                      <w:sz w:val="21"/>
                      <w:szCs w:val="21"/>
                      <w:lang w:val="en-US" w:eastAsia="zh-CN"/>
                    </w:rPr>
                    <w:t>2</w:t>
                  </w:r>
                  <w:r>
                    <w:rPr>
                      <w:rFonts w:hint="eastAsia"/>
                      <w:color w:val="auto"/>
                      <w:sz w:val="21"/>
                      <w:szCs w:val="21"/>
                    </w:rPr>
                    <w:t>个，容积50L</w:t>
                  </w:r>
                </w:p>
              </w:tc>
              <w:tc>
                <w:tcPr>
                  <w:tcW w:w="2210" w:type="dxa"/>
                  <w:tcBorders>
                    <w:right w:val="single" w:color="auto" w:sz="4" w:space="0"/>
                  </w:tcBorders>
                  <w:vAlign w:val="center"/>
                </w:tcPr>
                <w:p>
                  <w:pPr>
                    <w:widowControl/>
                    <w:adjustRightInd w:val="0"/>
                    <w:snapToGrid w:val="0"/>
                    <w:spacing w:line="240" w:lineRule="auto"/>
                    <w:ind w:firstLine="0" w:firstLineChars="0"/>
                    <w:jc w:val="center"/>
                    <w:rPr>
                      <w:color w:val="auto"/>
                      <w:kern w:val="0"/>
                      <w:sz w:val="21"/>
                      <w:szCs w:val="21"/>
                    </w:rPr>
                  </w:pPr>
                  <w:r>
                    <w:rPr>
                      <w:rFonts w:hint="eastAsia"/>
                      <w:color w:val="auto"/>
                      <w:kern w:val="0"/>
                      <w:sz w:val="21"/>
                      <w:szCs w:val="21"/>
                    </w:rPr>
                    <w:t>0.01</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jc w:val="center"/>
              </w:trPr>
              <w:tc>
                <w:tcPr>
                  <w:tcW w:w="727" w:type="dxa"/>
                  <w:vMerge w:val="continue"/>
                  <w:shd w:val="clear" w:color="auto" w:fill="auto"/>
                  <w:vAlign w:val="center"/>
                </w:tcPr>
                <w:p>
                  <w:pPr>
                    <w:adjustRightInd w:val="0"/>
                    <w:snapToGrid w:val="0"/>
                    <w:spacing w:line="240" w:lineRule="auto"/>
                    <w:ind w:firstLine="0" w:firstLineChars="0"/>
                    <w:jc w:val="center"/>
                    <w:rPr>
                      <w:color w:val="auto"/>
                      <w:kern w:val="0"/>
                      <w:sz w:val="21"/>
                      <w:szCs w:val="21"/>
                    </w:rPr>
                  </w:pPr>
                </w:p>
              </w:tc>
              <w:tc>
                <w:tcPr>
                  <w:tcW w:w="1051" w:type="dxa"/>
                  <w:vAlign w:val="center"/>
                </w:tcPr>
                <w:p>
                  <w:pPr>
                    <w:widowControl/>
                    <w:adjustRightInd w:val="0"/>
                    <w:snapToGrid w:val="0"/>
                    <w:spacing w:line="240" w:lineRule="auto"/>
                    <w:ind w:firstLine="0" w:firstLineChars="0"/>
                    <w:jc w:val="center"/>
                    <w:rPr>
                      <w:color w:val="auto"/>
                      <w:kern w:val="0"/>
                      <w:sz w:val="21"/>
                      <w:szCs w:val="21"/>
                    </w:rPr>
                  </w:pPr>
                  <w:r>
                    <w:rPr>
                      <w:rFonts w:hint="eastAsia"/>
                      <w:color w:val="auto"/>
                      <w:kern w:val="0"/>
                      <w:sz w:val="21"/>
                      <w:szCs w:val="21"/>
                    </w:rPr>
                    <w:t>绿化</w:t>
                  </w:r>
                </w:p>
              </w:tc>
              <w:tc>
                <w:tcPr>
                  <w:tcW w:w="3246" w:type="dxa"/>
                  <w:shd w:val="clear" w:color="auto" w:fill="auto"/>
                  <w:vAlign w:val="center"/>
                </w:tcPr>
                <w:p>
                  <w:pPr>
                    <w:adjustRightInd w:val="0"/>
                    <w:snapToGrid w:val="0"/>
                    <w:spacing w:line="240" w:lineRule="auto"/>
                    <w:ind w:firstLine="0" w:firstLineChars="0"/>
                    <w:jc w:val="center"/>
                    <w:rPr>
                      <w:color w:val="auto"/>
                      <w:sz w:val="21"/>
                      <w:szCs w:val="21"/>
                    </w:rPr>
                  </w:pPr>
                  <w:r>
                    <w:rPr>
                      <w:rFonts w:hint="eastAsia"/>
                      <w:color w:val="auto"/>
                      <w:sz w:val="21"/>
                      <w:szCs w:val="21"/>
                    </w:rPr>
                    <w:t>300m</w:t>
                  </w:r>
                  <w:r>
                    <w:rPr>
                      <w:rFonts w:hint="eastAsia"/>
                      <w:color w:val="auto"/>
                      <w:sz w:val="21"/>
                      <w:szCs w:val="21"/>
                      <w:vertAlign w:val="superscript"/>
                    </w:rPr>
                    <w:t>2</w:t>
                  </w:r>
                  <w:r>
                    <w:rPr>
                      <w:rFonts w:hint="eastAsia"/>
                      <w:color w:val="auto"/>
                      <w:sz w:val="21"/>
                      <w:szCs w:val="21"/>
                    </w:rPr>
                    <w:t>绿化带</w:t>
                  </w:r>
                </w:p>
              </w:tc>
              <w:tc>
                <w:tcPr>
                  <w:tcW w:w="2210" w:type="dxa"/>
                  <w:tcBorders>
                    <w:right w:val="single" w:color="auto" w:sz="4" w:space="0"/>
                  </w:tcBorders>
                  <w:vAlign w:val="center"/>
                </w:tcPr>
                <w:p>
                  <w:pPr>
                    <w:adjustRightInd w:val="0"/>
                    <w:snapToGrid w:val="0"/>
                    <w:spacing w:line="240" w:lineRule="auto"/>
                    <w:ind w:firstLine="0" w:firstLineChars="0"/>
                    <w:jc w:val="center"/>
                    <w:rPr>
                      <w:color w:val="auto"/>
                      <w:kern w:val="0"/>
                      <w:sz w:val="21"/>
                      <w:szCs w:val="21"/>
                    </w:rPr>
                  </w:pPr>
                  <w:r>
                    <w:rPr>
                      <w:rFonts w:hint="eastAsia"/>
                      <w:color w:val="auto"/>
                      <w:kern w:val="0"/>
                      <w:sz w:val="21"/>
                      <w:szCs w:val="21"/>
                    </w:rPr>
                    <w:t>1.5</w:t>
                  </w:r>
                </w:p>
              </w:tc>
              <w:tc>
                <w:tcPr>
                  <w:tcW w:w="1453" w:type="dxa"/>
                  <w:tcBorders>
                    <w:left w:val="single" w:color="auto" w:sz="4" w:space="0"/>
                  </w:tcBorders>
                  <w:vAlign w:val="center"/>
                </w:tcPr>
                <w:p>
                  <w:pPr>
                    <w:adjustRightInd w:val="0"/>
                    <w:snapToGrid w:val="0"/>
                    <w:spacing w:line="240" w:lineRule="auto"/>
                    <w:ind w:firstLine="0" w:firstLineChars="0"/>
                    <w:jc w:val="center"/>
                    <w:rPr>
                      <w:bCs/>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jc w:val="center"/>
              </w:trPr>
              <w:tc>
                <w:tcPr>
                  <w:tcW w:w="727" w:type="dxa"/>
                  <w:vMerge w:val="continue"/>
                  <w:shd w:val="clear" w:color="auto" w:fill="auto"/>
                  <w:vAlign w:val="center"/>
                </w:tcPr>
                <w:p>
                  <w:pPr>
                    <w:adjustRightInd w:val="0"/>
                    <w:snapToGrid w:val="0"/>
                    <w:spacing w:line="240" w:lineRule="auto"/>
                    <w:ind w:firstLine="0" w:firstLineChars="0"/>
                    <w:jc w:val="center"/>
                    <w:rPr>
                      <w:color w:val="auto"/>
                      <w:kern w:val="0"/>
                      <w:sz w:val="21"/>
                      <w:szCs w:val="21"/>
                    </w:rPr>
                  </w:pPr>
                </w:p>
              </w:tc>
              <w:tc>
                <w:tcPr>
                  <w:tcW w:w="1051" w:type="dxa"/>
                  <w:vAlign w:val="center"/>
                </w:tcPr>
                <w:p>
                  <w:pPr>
                    <w:widowControl/>
                    <w:adjustRightInd w:val="0"/>
                    <w:snapToGrid w:val="0"/>
                    <w:spacing w:line="240" w:lineRule="auto"/>
                    <w:ind w:firstLine="0" w:firstLineChars="0"/>
                    <w:jc w:val="center"/>
                    <w:rPr>
                      <w:rFonts w:hint="eastAsia" w:eastAsia="宋体"/>
                      <w:color w:val="auto"/>
                      <w:kern w:val="0"/>
                      <w:sz w:val="21"/>
                      <w:szCs w:val="21"/>
                      <w:lang w:eastAsia="zh-CN"/>
                    </w:rPr>
                  </w:pPr>
                  <w:r>
                    <w:rPr>
                      <w:rFonts w:hint="eastAsia"/>
                      <w:color w:val="auto"/>
                      <w:kern w:val="0"/>
                      <w:sz w:val="21"/>
                      <w:szCs w:val="21"/>
                      <w:lang w:eastAsia="zh-CN"/>
                    </w:rPr>
                    <w:t>其他</w:t>
                  </w:r>
                </w:p>
              </w:tc>
              <w:tc>
                <w:tcPr>
                  <w:tcW w:w="3246" w:type="dxa"/>
                  <w:shd w:val="clear" w:color="auto" w:fill="auto"/>
                  <w:vAlign w:val="center"/>
                </w:tcPr>
                <w:p>
                  <w:pPr>
                    <w:adjustRightInd w:val="0"/>
                    <w:snapToGrid w:val="0"/>
                    <w:spacing w:line="240" w:lineRule="auto"/>
                    <w:ind w:firstLine="0" w:firstLineChars="0"/>
                    <w:jc w:val="center"/>
                    <w:rPr>
                      <w:color w:val="auto"/>
                      <w:kern w:val="0"/>
                      <w:sz w:val="21"/>
                      <w:szCs w:val="21"/>
                    </w:rPr>
                  </w:pPr>
                  <w:r>
                    <w:rPr>
                      <w:rFonts w:hint="eastAsia"/>
                      <w:color w:val="auto"/>
                      <w:sz w:val="21"/>
                      <w:szCs w:val="21"/>
                    </w:rPr>
                    <w:t>标识牌（1块）</w:t>
                  </w:r>
                </w:p>
              </w:tc>
              <w:tc>
                <w:tcPr>
                  <w:tcW w:w="2210" w:type="dxa"/>
                  <w:tcBorders>
                    <w:right w:val="single" w:color="auto" w:sz="4" w:space="0"/>
                  </w:tcBorders>
                  <w:vAlign w:val="center"/>
                </w:tcPr>
                <w:p>
                  <w:pPr>
                    <w:adjustRightInd w:val="0"/>
                    <w:snapToGrid w:val="0"/>
                    <w:spacing w:line="240" w:lineRule="auto"/>
                    <w:ind w:firstLine="0" w:firstLineChars="0"/>
                    <w:jc w:val="center"/>
                    <w:rPr>
                      <w:color w:val="auto"/>
                      <w:kern w:val="0"/>
                      <w:sz w:val="21"/>
                      <w:szCs w:val="21"/>
                    </w:rPr>
                  </w:pPr>
                  <w:r>
                    <w:rPr>
                      <w:rFonts w:hint="eastAsia"/>
                      <w:color w:val="auto"/>
                      <w:kern w:val="0"/>
                      <w:sz w:val="21"/>
                      <w:szCs w:val="21"/>
                    </w:rPr>
                    <w:t>0.005</w:t>
                  </w:r>
                </w:p>
              </w:tc>
              <w:tc>
                <w:tcPr>
                  <w:tcW w:w="1453" w:type="dxa"/>
                  <w:tcBorders>
                    <w:left w:val="single" w:color="auto" w:sz="4" w:space="0"/>
                  </w:tcBorders>
                  <w:vAlign w:val="center"/>
                </w:tcPr>
                <w:p>
                  <w:pPr>
                    <w:adjustRightInd w:val="0"/>
                    <w:snapToGrid w:val="0"/>
                    <w:spacing w:line="240" w:lineRule="auto"/>
                    <w:ind w:firstLine="0" w:firstLineChars="0"/>
                    <w:jc w:val="center"/>
                    <w:rPr>
                      <w:color w:val="auto"/>
                      <w:kern w:val="0"/>
                      <w:sz w:val="21"/>
                      <w:szCs w:val="21"/>
                    </w:rPr>
                  </w:pPr>
                  <w:r>
                    <w:rPr>
                      <w:rFonts w:hint="eastAsia"/>
                      <w:bCs/>
                      <w:color w:val="auto"/>
                      <w:kern w:val="0"/>
                      <w:sz w:val="21"/>
                      <w:szCs w:val="21"/>
                    </w:rPr>
                    <w:t>环评提出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6" w:hRule="atLeast"/>
                <w:jc w:val="center"/>
              </w:trPr>
              <w:tc>
                <w:tcPr>
                  <w:tcW w:w="727" w:type="dxa"/>
                  <w:vMerge w:val="continue"/>
                  <w:shd w:val="clear" w:color="auto" w:fill="auto"/>
                  <w:vAlign w:val="center"/>
                </w:tcPr>
                <w:p>
                  <w:pPr>
                    <w:adjustRightInd w:val="0"/>
                    <w:snapToGrid w:val="0"/>
                    <w:spacing w:line="240" w:lineRule="auto"/>
                    <w:ind w:firstLine="0" w:firstLineChars="0"/>
                    <w:jc w:val="center"/>
                    <w:rPr>
                      <w:color w:val="auto"/>
                      <w:kern w:val="0"/>
                      <w:sz w:val="21"/>
                      <w:szCs w:val="21"/>
                    </w:rPr>
                  </w:pPr>
                </w:p>
              </w:tc>
              <w:tc>
                <w:tcPr>
                  <w:tcW w:w="1051" w:type="dxa"/>
                  <w:vAlign w:val="center"/>
                </w:tcPr>
                <w:p>
                  <w:pPr>
                    <w:widowControl/>
                    <w:adjustRightInd w:val="0"/>
                    <w:snapToGrid w:val="0"/>
                    <w:spacing w:line="240" w:lineRule="auto"/>
                    <w:ind w:firstLine="0" w:firstLineChars="0"/>
                    <w:jc w:val="center"/>
                    <w:rPr>
                      <w:color w:val="auto"/>
                      <w:kern w:val="0"/>
                      <w:sz w:val="21"/>
                      <w:szCs w:val="21"/>
                    </w:rPr>
                  </w:pPr>
                  <w:r>
                    <w:rPr>
                      <w:rFonts w:hint="eastAsia"/>
                      <w:color w:val="auto"/>
                      <w:kern w:val="0"/>
                      <w:sz w:val="21"/>
                      <w:szCs w:val="21"/>
                    </w:rPr>
                    <w:t>合计</w:t>
                  </w:r>
                </w:p>
              </w:tc>
              <w:tc>
                <w:tcPr>
                  <w:tcW w:w="3246" w:type="dxa"/>
                  <w:shd w:val="clear" w:color="auto" w:fill="auto"/>
                  <w:vAlign w:val="center"/>
                </w:tcPr>
                <w:p>
                  <w:pPr>
                    <w:adjustRightInd w:val="0"/>
                    <w:snapToGrid w:val="0"/>
                    <w:spacing w:line="240" w:lineRule="auto"/>
                    <w:ind w:firstLine="0" w:firstLineChars="0"/>
                    <w:jc w:val="center"/>
                    <w:rPr>
                      <w:bCs/>
                      <w:color w:val="auto"/>
                      <w:sz w:val="21"/>
                      <w:szCs w:val="21"/>
                    </w:rPr>
                  </w:pPr>
                  <w:r>
                    <w:rPr>
                      <w:bCs/>
                      <w:color w:val="auto"/>
                      <w:sz w:val="21"/>
                      <w:szCs w:val="21"/>
                    </w:rPr>
                    <w:t>/</w:t>
                  </w:r>
                </w:p>
              </w:tc>
              <w:tc>
                <w:tcPr>
                  <w:tcW w:w="2210" w:type="dxa"/>
                  <w:tcBorders>
                    <w:right w:val="single" w:color="auto" w:sz="4" w:space="0"/>
                  </w:tcBorders>
                  <w:vAlign w:val="center"/>
                </w:tcPr>
                <w:p>
                  <w:pPr>
                    <w:widowControl/>
                    <w:adjustRightInd w:val="0"/>
                    <w:snapToGrid w:val="0"/>
                    <w:spacing w:line="240" w:lineRule="auto"/>
                    <w:ind w:firstLine="0" w:firstLineChars="0"/>
                    <w:jc w:val="center"/>
                    <w:rPr>
                      <w:rFonts w:hint="default" w:eastAsia="宋体"/>
                      <w:color w:val="auto"/>
                      <w:kern w:val="0"/>
                      <w:sz w:val="21"/>
                      <w:szCs w:val="21"/>
                      <w:lang w:val="en-US" w:eastAsia="zh-CN"/>
                    </w:rPr>
                  </w:pPr>
                  <w:r>
                    <w:rPr>
                      <w:rFonts w:hint="eastAsia"/>
                      <w:color w:val="auto"/>
                      <w:kern w:val="0"/>
                      <w:sz w:val="21"/>
                      <w:szCs w:val="21"/>
                      <w:lang w:val="en-US" w:eastAsia="zh-CN"/>
                    </w:rPr>
                    <w:t>11.535</w:t>
                  </w:r>
                </w:p>
              </w:tc>
              <w:tc>
                <w:tcPr>
                  <w:tcW w:w="1453" w:type="dxa"/>
                  <w:tcBorders>
                    <w:left w:val="single" w:color="auto" w:sz="4" w:space="0"/>
                  </w:tcBorders>
                  <w:vAlign w:val="center"/>
                </w:tcPr>
                <w:p>
                  <w:pPr>
                    <w:widowControl/>
                    <w:adjustRightInd w:val="0"/>
                    <w:snapToGrid w:val="0"/>
                    <w:spacing w:line="240" w:lineRule="auto"/>
                    <w:ind w:firstLine="0" w:firstLineChars="0"/>
                    <w:jc w:val="center"/>
                    <w:rPr>
                      <w:color w:val="auto"/>
                      <w:kern w:val="0"/>
                      <w:sz w:val="21"/>
                      <w:szCs w:val="21"/>
                    </w:rPr>
                  </w:pPr>
                  <w:r>
                    <w:rPr>
                      <w:rFonts w:hint="eastAsia"/>
                      <w:bCs/>
                      <w:color w:val="auto"/>
                      <w:kern w:val="0"/>
                      <w:sz w:val="21"/>
                      <w:szCs w:val="21"/>
                    </w:rPr>
                    <w:t>环评提出</w:t>
                  </w:r>
                </w:p>
              </w:tc>
            </w:tr>
          </w:tbl>
          <w:p>
            <w:pPr>
              <w:tabs>
                <w:tab w:val="left" w:pos="2395"/>
              </w:tabs>
              <w:spacing w:before="156" w:beforeLines="50"/>
              <w:ind w:firstLine="482"/>
              <w:rPr>
                <w:color w:val="000000" w:themeColor="text1"/>
              </w:rPr>
            </w:pPr>
            <w:r>
              <w:rPr>
                <w:b/>
                <w:bCs/>
              </w:rPr>
              <w:t>与项目有关的原有污染情况及主要环境问题</w:t>
            </w:r>
            <w:r>
              <w:rPr>
                <w:rFonts w:eastAsiaTheme="minorEastAsia"/>
                <w:color w:val="000000" w:themeColor="text1"/>
                <w:kern w:val="0"/>
              </w:rPr>
              <w:t xml:space="preserve">                                                      </w:t>
            </w:r>
          </w:p>
          <w:p>
            <w:pPr>
              <w:adjustRightInd w:val="0"/>
              <w:snapToGrid w:val="0"/>
              <w:ind w:firstLine="482"/>
              <w:rPr>
                <w:highlight w:val="none"/>
              </w:rPr>
            </w:pPr>
            <w:r>
              <w:rPr>
                <w:rFonts w:hint="eastAsia"/>
                <w:b/>
                <w:color w:val="000000" w:themeColor="text1"/>
                <w:highlight w:val="none"/>
              </w:rPr>
              <w:t>1、项目区存在的环境问题</w:t>
            </w:r>
          </w:p>
          <w:p>
            <w:pPr>
              <w:pStyle w:val="15"/>
              <w:ind w:firstLine="480"/>
              <w:rPr>
                <w:rFonts w:hint="default" w:eastAsia="宋体"/>
                <w:lang w:val="en-US" w:eastAsia="zh-CN"/>
              </w:rPr>
            </w:pPr>
            <w:r>
              <w:rPr>
                <w:rFonts w:hint="eastAsia"/>
                <w:lang w:eastAsia="zh-CN"/>
              </w:rPr>
              <w:t>根据工程设计本项目性质属于新建，但项目员工及员工生活配套设施均依托石材厂原有，由现场踏勘可知，本项目所依托的石材加工厂原有设施现状存在以下环境问题：</w:t>
            </w:r>
          </w:p>
          <w:p>
            <w:pPr>
              <w:pStyle w:val="15"/>
              <w:ind w:firstLine="480"/>
            </w:pPr>
            <w:r>
              <w:rPr>
                <w:rFonts w:hint="eastAsia"/>
              </w:rPr>
              <w:t>（1）废水</w:t>
            </w:r>
          </w:p>
          <w:p>
            <w:pPr>
              <w:pStyle w:val="15"/>
              <w:ind w:firstLine="480"/>
            </w:pP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t>①</w:t>
            </w:r>
            <w:r>
              <w:rPr>
                <w:rFonts w:hint="eastAsia"/>
                <w:lang w:val="en-US" w:eastAsia="zh-CN"/>
              </w:rPr>
              <w:fldChar w:fldCharType="end"/>
            </w:r>
            <w:r>
              <w:rPr>
                <w:rFonts w:hint="eastAsia"/>
                <w:lang w:val="en-US" w:eastAsia="zh-CN"/>
              </w:rPr>
              <w:t>项目未设置初期雨水收集池，雨水经雨水沟直接进入生产废水沉淀池。</w:t>
            </w:r>
          </w:p>
          <w:p>
            <w:pPr>
              <w:pStyle w:val="15"/>
              <w:ind w:firstLine="480"/>
              <w:rPr>
                <w:rFonts w:hint="eastAsia"/>
                <w:lang w:val="en-US" w:eastAsia="zh-CN"/>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t>②</w:t>
            </w:r>
            <w:r>
              <w:rPr>
                <w:rFonts w:hint="eastAsia"/>
                <w:lang w:val="en-US" w:eastAsia="zh-CN"/>
              </w:rPr>
              <w:fldChar w:fldCharType="end"/>
            </w:r>
            <w:r>
              <w:rPr>
                <w:rFonts w:hint="eastAsia"/>
                <w:lang w:val="en-US" w:eastAsia="zh-CN"/>
              </w:rPr>
              <w:t>项目厨房废水未经处理直接用于厂区洒水沉降。</w:t>
            </w:r>
          </w:p>
          <w:p>
            <w:pPr>
              <w:pStyle w:val="15"/>
              <w:ind w:firstLine="480"/>
            </w:pPr>
            <w:r>
              <w:rPr>
                <w:rFonts w:hint="eastAsia"/>
              </w:rPr>
              <w:t>（2）废气</w:t>
            </w:r>
          </w:p>
          <w:p>
            <w:pPr>
              <w:pStyle w:val="9"/>
              <w:ind w:firstLine="480"/>
            </w:pPr>
            <w:r>
              <w:rPr>
                <w:rFonts w:hint="eastAsia"/>
              </w:rPr>
              <w:t>现状厨房油烟未经处理直接外排。</w:t>
            </w:r>
          </w:p>
          <w:p>
            <w:pPr>
              <w:pStyle w:val="9"/>
              <w:bidi w:val="0"/>
              <w:rPr>
                <w:rFonts w:hint="eastAsia" w:eastAsia="宋体"/>
                <w:b w:val="0"/>
                <w:bCs/>
                <w:color w:val="auto"/>
                <w:sz w:val="24"/>
                <w:lang w:val="en-US" w:eastAsia="zh-CN"/>
              </w:rPr>
            </w:pPr>
            <w:r>
              <w:rPr>
                <w:rFonts w:hint="eastAsia"/>
                <w:b w:val="0"/>
                <w:bCs/>
                <w:color w:val="auto"/>
                <w:lang w:eastAsia="zh-CN"/>
              </w:rPr>
              <w:t>（</w:t>
            </w:r>
            <w:r>
              <w:rPr>
                <w:rFonts w:hint="eastAsia"/>
                <w:b w:val="0"/>
                <w:bCs/>
                <w:color w:val="auto"/>
                <w:lang w:val="en-US" w:eastAsia="zh-CN"/>
              </w:rPr>
              <w:t>3</w:t>
            </w:r>
            <w:r>
              <w:rPr>
                <w:rFonts w:hint="eastAsia"/>
                <w:b w:val="0"/>
                <w:bCs/>
                <w:color w:val="auto"/>
                <w:lang w:eastAsia="zh-CN"/>
              </w:rPr>
              <w:t>）</w:t>
            </w:r>
            <w:r>
              <w:rPr>
                <w:rFonts w:hint="eastAsia"/>
                <w:b w:val="0"/>
                <w:bCs/>
                <w:color w:val="auto"/>
                <w:sz w:val="24"/>
                <w:lang w:val="en-US" w:eastAsia="zh-CN"/>
              </w:rPr>
              <w:t>固体废物</w:t>
            </w:r>
          </w:p>
          <w:p>
            <w:pPr>
              <w:adjustRightInd w:val="0"/>
              <w:snapToGrid w:val="0"/>
              <w:ind w:firstLine="482"/>
              <w:rPr>
                <w:rFonts w:hint="eastAsia"/>
                <w:b w:val="0"/>
                <w:bCs/>
                <w:color w:val="auto"/>
                <w:sz w:val="24"/>
                <w:lang w:eastAsia="zh-CN"/>
              </w:rPr>
            </w:pPr>
            <w:r>
              <w:rPr>
                <w:rFonts w:hint="eastAsia"/>
                <w:b w:val="0"/>
                <w:bCs/>
                <w:color w:val="auto"/>
                <w:sz w:val="24"/>
                <w:lang w:eastAsia="zh-CN"/>
              </w:rPr>
              <w:t>厂区</w:t>
            </w:r>
            <w:r>
              <w:rPr>
                <w:rFonts w:hint="eastAsia"/>
                <w:b w:val="0"/>
                <w:bCs/>
                <w:color w:val="auto"/>
                <w:sz w:val="24"/>
              </w:rPr>
              <w:t>设备维修产生的废机油无收集和储存设施</w:t>
            </w:r>
            <w:r>
              <w:rPr>
                <w:rFonts w:hint="eastAsia"/>
                <w:b w:val="0"/>
                <w:bCs/>
                <w:color w:val="auto"/>
                <w:sz w:val="24"/>
                <w:lang w:eastAsia="zh-CN"/>
              </w:rPr>
              <w:t>。</w:t>
            </w:r>
          </w:p>
          <w:p>
            <w:pPr>
              <w:adjustRightInd w:val="0"/>
              <w:snapToGrid w:val="0"/>
              <w:ind w:firstLine="482"/>
              <w:rPr>
                <w:b/>
                <w:color w:val="auto"/>
              </w:rPr>
            </w:pPr>
            <w:r>
              <w:rPr>
                <w:rFonts w:hint="eastAsia"/>
                <w:b/>
                <w:color w:val="auto"/>
              </w:rPr>
              <w:t>2、整改措施建议</w:t>
            </w:r>
          </w:p>
          <w:p>
            <w:pPr>
              <w:pStyle w:val="15"/>
              <w:numPr>
                <w:ilvl w:val="0"/>
                <w:numId w:val="1"/>
              </w:numPr>
              <w:bidi w:val="0"/>
              <w:rPr>
                <w:rFonts w:hint="eastAsia"/>
                <w:color w:val="auto"/>
                <w:lang w:val="en-US" w:eastAsia="zh-CN"/>
              </w:rPr>
            </w:pPr>
            <w:r>
              <w:rPr>
                <w:rFonts w:hint="eastAsia"/>
                <w:color w:val="auto"/>
                <w:lang w:val="en-US" w:eastAsia="zh-CN"/>
              </w:rPr>
              <w:t>废水</w:t>
            </w:r>
          </w:p>
          <w:p>
            <w:pPr>
              <w:pStyle w:val="15"/>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 1 \* GB3 \* MERGEFORMAT </w:instrText>
            </w:r>
            <w:r>
              <w:rPr>
                <w:rFonts w:hint="eastAsia"/>
                <w:color w:val="auto"/>
                <w:lang w:val="en-US" w:eastAsia="zh-CN"/>
              </w:rPr>
              <w:fldChar w:fldCharType="separate"/>
            </w:r>
            <w:r>
              <w:rPr>
                <w:color w:val="auto"/>
              </w:rPr>
              <w:t>①</w:t>
            </w:r>
            <w:r>
              <w:rPr>
                <w:rFonts w:hint="eastAsia"/>
                <w:color w:val="auto"/>
                <w:lang w:val="en-US" w:eastAsia="zh-CN"/>
              </w:rPr>
              <w:fldChar w:fldCharType="end"/>
            </w:r>
            <w:r>
              <w:rPr>
                <w:rFonts w:hint="eastAsia"/>
                <w:color w:val="auto"/>
                <w:lang w:val="en-US" w:eastAsia="zh-CN"/>
              </w:rPr>
              <w:t>本次环评提出新建1个60m</w:t>
            </w:r>
            <w:r>
              <w:rPr>
                <w:rFonts w:hint="eastAsia"/>
                <w:color w:val="auto"/>
                <w:vertAlign w:val="superscript"/>
                <w:lang w:val="en-US" w:eastAsia="zh-CN"/>
              </w:rPr>
              <w:t>3</w:t>
            </w:r>
            <w:r>
              <w:rPr>
                <w:rFonts w:hint="eastAsia"/>
                <w:color w:val="auto"/>
                <w:lang w:val="en-US" w:eastAsia="zh-CN"/>
              </w:rPr>
              <w:t>的初期雨水沉淀池并整改雨水沟确保初期雨水全部进入雨水沉淀池，雨水经雨水沉淀池沉淀后回用于生产。</w:t>
            </w:r>
          </w:p>
          <w:p>
            <w:pPr>
              <w:pStyle w:val="15"/>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color w:val="auto"/>
                <w:lang w:val="en-US" w:eastAsia="zh-CN"/>
              </w:rPr>
            </w:pPr>
            <w:r>
              <w:rPr>
                <w:rFonts w:hint="eastAsia"/>
                <w:color w:val="auto"/>
                <w:lang w:val="en-US" w:eastAsia="zh-CN"/>
              </w:rPr>
              <w:fldChar w:fldCharType="begin"/>
            </w:r>
            <w:r>
              <w:rPr>
                <w:rFonts w:hint="eastAsia"/>
                <w:color w:val="auto"/>
                <w:lang w:val="en-US" w:eastAsia="zh-CN"/>
              </w:rPr>
              <w:instrText xml:space="preserve"> = 2 \* GB3 \* MERGEFORMAT </w:instrText>
            </w:r>
            <w:r>
              <w:rPr>
                <w:rFonts w:hint="eastAsia"/>
                <w:color w:val="auto"/>
                <w:lang w:val="en-US" w:eastAsia="zh-CN"/>
              </w:rPr>
              <w:fldChar w:fldCharType="separate"/>
            </w:r>
            <w:r>
              <w:rPr>
                <w:color w:val="auto"/>
              </w:rPr>
              <w:t>②</w:t>
            </w:r>
            <w:r>
              <w:rPr>
                <w:rFonts w:hint="eastAsia"/>
                <w:color w:val="auto"/>
                <w:lang w:val="en-US" w:eastAsia="zh-CN"/>
              </w:rPr>
              <w:fldChar w:fldCharType="end"/>
            </w:r>
            <w:r>
              <w:rPr>
                <w:rFonts w:hint="eastAsia"/>
                <w:color w:val="auto"/>
                <w:lang w:val="en-US" w:eastAsia="zh-CN"/>
              </w:rPr>
              <w:t>项目厨房废水未经处理直接用于厂区洒水沉降。本次环评提出新设1个0.5m</w:t>
            </w:r>
            <w:r>
              <w:rPr>
                <w:rFonts w:hint="eastAsia"/>
                <w:color w:val="auto"/>
                <w:vertAlign w:val="superscript"/>
                <w:lang w:val="en-US" w:eastAsia="zh-CN"/>
              </w:rPr>
              <w:t>3</w:t>
            </w:r>
            <w:r>
              <w:rPr>
                <w:rFonts w:hint="eastAsia"/>
                <w:color w:val="auto"/>
                <w:lang w:val="en-US" w:eastAsia="zh-CN"/>
              </w:rPr>
              <w:t>的隔油池，厨房废水经隔油池处理后与员工清洗废水经生产废水沉淀池沉淀后回用于原有生产。</w:t>
            </w:r>
          </w:p>
          <w:p>
            <w:pPr>
              <w:pStyle w:val="15"/>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color w:val="auto"/>
                <w:lang w:val="en-US" w:eastAsia="zh-CN"/>
              </w:rPr>
            </w:pPr>
            <w:r>
              <w:rPr>
                <w:rFonts w:hint="eastAsia"/>
                <w:color w:val="auto"/>
                <w:lang w:val="en-US" w:eastAsia="zh-CN"/>
              </w:rPr>
              <w:t>废气</w:t>
            </w:r>
          </w:p>
          <w:p>
            <w:pPr>
              <w:pStyle w:val="9"/>
              <w:bidi w:val="0"/>
              <w:rPr>
                <w:rFonts w:hint="eastAsia"/>
                <w:color w:val="auto"/>
                <w:lang w:val="en-US" w:eastAsia="zh-CN"/>
              </w:rPr>
            </w:pPr>
            <w:r>
              <w:rPr>
                <w:rFonts w:hint="eastAsia"/>
                <w:color w:val="auto"/>
                <w:lang w:val="en-US" w:eastAsia="zh-CN"/>
              </w:rPr>
              <w:t>本次环评提出在厨房灶头上方安装1个油烟净化器加排气筒，厨房油烟经油烟净化器处理后经排气筒排放。</w:t>
            </w:r>
          </w:p>
          <w:p>
            <w:pPr>
              <w:pStyle w:val="9"/>
              <w:bidi w:val="0"/>
              <w:rPr>
                <w:rFonts w:hint="eastAsia" w:eastAsia="宋体"/>
                <w:b w:val="0"/>
                <w:bCs/>
                <w:color w:val="auto"/>
                <w:sz w:val="24"/>
                <w:lang w:val="en-US" w:eastAsia="zh-CN"/>
              </w:rPr>
            </w:pPr>
            <w:r>
              <w:rPr>
                <w:rFonts w:hint="eastAsia"/>
                <w:color w:val="auto"/>
                <w:sz w:val="24"/>
                <w:lang w:val="en-US" w:eastAsia="zh-CN"/>
              </w:rPr>
              <w:t>（3）</w:t>
            </w:r>
            <w:r>
              <w:rPr>
                <w:rFonts w:hint="eastAsia"/>
                <w:b w:val="0"/>
                <w:bCs/>
                <w:color w:val="auto"/>
                <w:sz w:val="24"/>
                <w:lang w:val="en-US" w:eastAsia="zh-CN"/>
              </w:rPr>
              <w:t>固体废物</w:t>
            </w:r>
          </w:p>
          <w:p>
            <w:pPr>
              <w:adjustRightInd w:val="0"/>
              <w:snapToGrid w:val="0"/>
              <w:ind w:firstLine="480"/>
            </w:pPr>
            <w:r>
              <w:rPr>
                <w:rFonts w:hint="eastAsia"/>
                <w:color w:val="auto"/>
                <w:sz w:val="24"/>
                <w:lang w:eastAsia="zh-CN"/>
              </w:rPr>
              <w:t>本次环评提出将</w:t>
            </w:r>
            <w:r>
              <w:rPr>
                <w:rFonts w:hint="eastAsia"/>
                <w:color w:val="auto"/>
                <w:sz w:val="24"/>
              </w:rPr>
              <w:t>废机油</w:t>
            </w:r>
            <w:r>
              <w:rPr>
                <w:rFonts w:hint="eastAsia"/>
                <w:color w:val="auto"/>
                <w:sz w:val="24"/>
                <w:lang w:eastAsia="zh-CN"/>
              </w:rPr>
              <w:t>由</w:t>
            </w:r>
            <w:r>
              <w:rPr>
                <w:rFonts w:hint="eastAsia"/>
                <w:color w:val="auto"/>
                <w:sz w:val="24"/>
              </w:rPr>
              <w:t>2个容积为50L的废机油桶收集，</w:t>
            </w:r>
            <w:r>
              <w:rPr>
                <w:rFonts w:hint="eastAsia"/>
                <w:color w:val="auto"/>
                <w:sz w:val="24"/>
                <w:lang w:eastAsia="zh-CN"/>
              </w:rPr>
              <w:t>设有一间</w:t>
            </w:r>
            <w:r>
              <w:rPr>
                <w:rFonts w:hint="eastAsia"/>
                <w:color w:val="auto"/>
                <w:sz w:val="24"/>
                <w:lang w:val="en-US" w:eastAsia="zh-CN"/>
              </w:rPr>
              <w:t>10m</w:t>
            </w:r>
            <w:r>
              <w:rPr>
                <w:rFonts w:hint="eastAsia"/>
                <w:color w:val="auto"/>
                <w:sz w:val="24"/>
                <w:vertAlign w:val="superscript"/>
                <w:lang w:val="en-US" w:eastAsia="zh-CN"/>
              </w:rPr>
              <w:t>2</w:t>
            </w:r>
            <w:r>
              <w:rPr>
                <w:rFonts w:hint="eastAsia"/>
                <w:color w:val="auto"/>
                <w:sz w:val="24"/>
                <w:lang w:val="en-US" w:eastAsia="zh-CN"/>
              </w:rPr>
              <w:t>的</w:t>
            </w:r>
            <w:r>
              <w:rPr>
                <w:rFonts w:hint="eastAsia"/>
                <w:color w:val="auto"/>
                <w:sz w:val="24"/>
                <w:lang w:eastAsia="zh-CN"/>
              </w:rPr>
              <w:t>危险废物暂存间，废机油经收集后</w:t>
            </w:r>
            <w:r>
              <w:rPr>
                <w:rFonts w:hint="eastAsia"/>
                <w:color w:val="auto"/>
                <w:sz w:val="24"/>
              </w:rPr>
              <w:t>暂存于危废暂存间，并委托有资质的单位进行清运处置。危废暂存间地面采用</w:t>
            </w:r>
            <w:r>
              <w:rPr>
                <w:rFonts w:hint="eastAsia"/>
                <w:color w:val="auto"/>
                <w:kern w:val="0"/>
                <w:sz w:val="24"/>
              </w:rPr>
              <w:t>抗渗系数为P8的混凝土浇筑，并在混凝土地面上方刷一层2mm的环氧树脂进行防渗</w:t>
            </w:r>
            <w:r>
              <w:rPr>
                <w:color w:val="auto"/>
                <w:kern w:val="0"/>
                <w:sz w:val="24"/>
              </w:rPr>
              <w:t>，渗透系数</w:t>
            </w:r>
            <w:r>
              <w:rPr>
                <w:color w:val="auto"/>
                <w:sz w:val="24"/>
              </w:rPr>
              <w:t>K≤1.0×10</w:t>
            </w:r>
            <w:r>
              <w:rPr>
                <w:color w:val="auto"/>
                <w:sz w:val="24"/>
                <w:vertAlign w:val="superscript"/>
              </w:rPr>
              <w:t>-</w:t>
            </w:r>
            <w:r>
              <w:rPr>
                <w:rFonts w:hint="eastAsia"/>
                <w:color w:val="auto"/>
                <w:sz w:val="24"/>
                <w:vertAlign w:val="superscript"/>
              </w:rPr>
              <w:t>10</w:t>
            </w:r>
            <w:r>
              <w:rPr>
                <w:color w:val="auto"/>
                <w:sz w:val="24"/>
              </w:rPr>
              <w:t>cm/s，</w:t>
            </w:r>
            <w:r>
              <w:rPr>
                <w:color w:val="auto"/>
                <w:kern w:val="0"/>
                <w:sz w:val="24"/>
              </w:rPr>
              <w:t>并设明显标识。</w:t>
            </w:r>
          </w:p>
        </w:tc>
      </w:tr>
    </w:tbl>
    <w:p>
      <w:pPr>
        <w:ind w:firstLine="480"/>
      </w:pPr>
      <w:r>
        <w:br w:type="page"/>
      </w:r>
    </w:p>
    <w:p>
      <w:pPr>
        <w:pStyle w:val="4"/>
        <w:adjustRightInd w:val="0"/>
        <w:snapToGrid w:val="0"/>
        <w:spacing w:line="360" w:lineRule="auto"/>
        <w:ind w:firstLine="0" w:firstLineChars="0"/>
        <w:rPr>
          <w:bCs/>
          <w:color w:val="000000" w:themeColor="text1"/>
          <w:sz w:val="30"/>
          <w:szCs w:val="30"/>
        </w:rPr>
      </w:pPr>
      <w:bookmarkStart w:id="16" w:name="_Toc426044920"/>
      <w:bookmarkStart w:id="17" w:name="_Toc31697"/>
      <w:bookmarkStart w:id="18" w:name="_Toc226442863"/>
      <w:r>
        <w:rPr>
          <w:bCs/>
          <w:color w:val="000000" w:themeColor="text1"/>
          <w:sz w:val="30"/>
          <w:szCs w:val="30"/>
        </w:rPr>
        <w:t>表</w:t>
      </w:r>
      <w:r>
        <w:rPr>
          <w:rFonts w:hint="eastAsia"/>
          <w:bCs/>
          <w:color w:val="000000" w:themeColor="text1"/>
          <w:sz w:val="30"/>
          <w:szCs w:val="30"/>
        </w:rPr>
        <w:t>二、</w:t>
      </w:r>
      <w:r>
        <w:rPr>
          <w:bCs/>
          <w:color w:val="000000" w:themeColor="text1"/>
          <w:sz w:val="30"/>
          <w:szCs w:val="30"/>
        </w:rPr>
        <w:t>建设项目所在地自然环境简况</w:t>
      </w:r>
      <w:bookmarkEnd w:id="16"/>
      <w:bookmarkEnd w:id="17"/>
      <w:bookmarkEnd w:id="18"/>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ind w:firstLine="480"/>
              <w:jc w:val="left"/>
            </w:pPr>
            <w:r>
              <w:rPr>
                <w:rFonts w:hint="eastAsia"/>
              </w:rPr>
              <w:t xml:space="preserve">自然环境简况（地形、地貌、地质、气候、气象、水文、植被、生物多样性等）： </w:t>
            </w:r>
          </w:p>
          <w:p>
            <w:pPr>
              <w:widowControl/>
              <w:ind w:firstLine="480"/>
              <w:jc w:val="left"/>
            </w:pPr>
            <w:r>
              <w:t>1</w:t>
            </w:r>
            <w:r>
              <w:rPr>
                <w:rFonts w:hint="eastAsia"/>
              </w:rPr>
              <w:t xml:space="preserve">、地理位置 </w:t>
            </w:r>
          </w:p>
          <w:p>
            <w:pPr>
              <w:widowControl/>
              <w:ind w:firstLine="480"/>
              <w:jc w:val="left"/>
            </w:pPr>
            <w:r>
              <w:rPr>
                <w:rFonts w:hint="eastAsia"/>
              </w:rPr>
              <w:t>宜良县地处云南中部、昆明市东南部，属昆明市近郊县，位于北纬</w:t>
            </w:r>
            <w:r>
              <w:t>24°30′36″</w:t>
            </w:r>
            <w:r>
              <w:rPr>
                <w:rFonts w:hint="eastAsia"/>
              </w:rPr>
              <w:t>～</w:t>
            </w:r>
            <w:r>
              <w:t>25°17′2″</w:t>
            </w:r>
            <w:r>
              <w:rPr>
                <w:rFonts w:hint="eastAsia"/>
              </w:rPr>
              <w:t>、 东经</w:t>
            </w:r>
            <w:r>
              <w:t>102°58′22″</w:t>
            </w:r>
            <w:r>
              <w:rPr>
                <w:rFonts w:hint="eastAsia"/>
              </w:rPr>
              <w:t>～</w:t>
            </w:r>
            <w:r>
              <w:t>103°28′</w:t>
            </w:r>
            <w:r>
              <w:rPr>
                <w:rFonts w:hint="eastAsia"/>
              </w:rPr>
              <w:t>5</w:t>
            </w:r>
            <w:r>
              <w:t>″</w:t>
            </w:r>
            <w:r>
              <w:rPr>
                <w:rFonts w:hint="eastAsia"/>
              </w:rPr>
              <w:t>之间，是现代新昆明城市布局规划的卫星城和次级城市。宜良县北与嵩明县、曲靖市马龙县交界；东邻石林县、曲靖市陆良县；南连红河州弥勒县、玉溪市华宁县；西与阳宗海管委会接壤。宜良县县城位于匡远街道办事处，位于县境中部，海拔</w:t>
            </w:r>
            <w:r>
              <w:t>1536m</w:t>
            </w:r>
            <w:r>
              <w:rPr>
                <w:rFonts w:hint="eastAsia"/>
              </w:rPr>
              <w:t>，西北距昆明市主城中心区</w:t>
            </w:r>
            <w:r>
              <w:t>54km</w:t>
            </w:r>
            <w:r>
              <w:rPr>
                <w:rFonts w:hint="eastAsia"/>
              </w:rPr>
              <w:t xml:space="preserve">，交通便利，经济繁荣，教育、科技、文化、体育、 卫生设施较全，是全县政治、经济、文化中心。 </w:t>
            </w:r>
          </w:p>
          <w:p>
            <w:pPr>
              <w:widowControl/>
              <w:ind w:firstLine="480"/>
              <w:jc w:val="left"/>
            </w:pPr>
            <w:r>
              <w:rPr>
                <w:rFonts w:hint="eastAsia"/>
              </w:rPr>
              <w:t>项目地理位置：项目位于云南省昆明市宜良县匡远镇瑞星村委会麦冲村，中心地理坐标为：东经</w:t>
            </w:r>
            <w:r>
              <w:t>103°</w:t>
            </w:r>
            <w:r>
              <w:rPr>
                <w:rFonts w:hint="eastAsia"/>
              </w:rPr>
              <w:t>13</w:t>
            </w:r>
            <w:r>
              <w:t>′</w:t>
            </w:r>
            <w:r>
              <w:rPr>
                <w:rFonts w:hint="eastAsia"/>
              </w:rPr>
              <w:t>8.58</w:t>
            </w:r>
            <w:r>
              <w:t>″</w:t>
            </w:r>
            <w:r>
              <w:rPr>
                <w:rFonts w:hint="eastAsia"/>
              </w:rPr>
              <w:t xml:space="preserve">，北纬 </w:t>
            </w:r>
            <w:r>
              <w:t>25°</w:t>
            </w:r>
            <w:r>
              <w:rPr>
                <w:rFonts w:hint="eastAsia"/>
              </w:rPr>
              <w:t>51</w:t>
            </w:r>
            <w:r>
              <w:t>′</w:t>
            </w:r>
            <w:r>
              <w:rPr>
                <w:rFonts w:hint="eastAsia"/>
              </w:rPr>
              <w:t>18.94</w:t>
            </w:r>
            <w:r>
              <w:t>″</w:t>
            </w:r>
            <w:r>
              <w:rPr>
                <w:rFonts w:hint="eastAsia"/>
              </w:rPr>
              <w:t xml:space="preserve">。建设项目具体位置见附图 </w:t>
            </w:r>
            <w:r>
              <w:t xml:space="preserve">1 </w:t>
            </w:r>
            <w:r>
              <w:rPr>
                <w:rFonts w:hint="eastAsia"/>
              </w:rPr>
              <w:t>项目地理位置图。</w:t>
            </w:r>
          </w:p>
          <w:p>
            <w:pPr>
              <w:widowControl/>
              <w:ind w:firstLine="480"/>
              <w:jc w:val="left"/>
            </w:pPr>
            <w:r>
              <w:t>2</w:t>
            </w:r>
            <w:r>
              <w:rPr>
                <w:rFonts w:hint="eastAsia"/>
              </w:rPr>
              <w:t xml:space="preserve">、地形、地貌 </w:t>
            </w:r>
          </w:p>
          <w:p>
            <w:pPr>
              <w:widowControl/>
              <w:ind w:firstLine="480"/>
              <w:jc w:val="left"/>
            </w:pPr>
            <w:r>
              <w:rPr>
                <w:rFonts w:hint="eastAsia"/>
              </w:rPr>
              <w:t xml:space="preserve">宜良县的地势可称为“带水环山，平畴广野”，地貌以山地为主，盆地、谷地、 湖泊地貌次之，山地与小盆地相间为总的地貌特点。东北部为牛头山系西坡南延， 其中九乡磨盘山为最高点，海拔为 </w:t>
            </w:r>
            <w:r>
              <w:t>2262m</w:t>
            </w:r>
            <w:r>
              <w:rPr>
                <w:rFonts w:hint="eastAsia"/>
              </w:rPr>
              <w:t>；西部为梁王山系，以汤池老爷山主峰为最高点，海拔</w:t>
            </w:r>
            <w:r>
              <w:t>2730m</w:t>
            </w:r>
            <w:r>
              <w:rPr>
                <w:rFonts w:hint="eastAsia"/>
              </w:rPr>
              <w:t xml:space="preserve">，为全县的最高点；南部以竹山总山神为最高点，海拔为 </w:t>
            </w:r>
            <w:r>
              <w:t>2584m</w:t>
            </w:r>
            <w:r>
              <w:rPr>
                <w:rFonts w:hint="eastAsia"/>
              </w:rPr>
              <w:t>；南部的南盘江与巴江汇合处的老熊箐尾巴，海拔</w:t>
            </w:r>
            <w:r>
              <w:t>1270m</w:t>
            </w:r>
            <w:r>
              <w:rPr>
                <w:rFonts w:hint="eastAsia"/>
              </w:rPr>
              <w:t xml:space="preserve">，为全县的最低点。 宜良县县城海拔 </w:t>
            </w:r>
            <w:r>
              <w:t>1536m</w:t>
            </w:r>
            <w:r>
              <w:rPr>
                <w:rFonts w:hint="eastAsia"/>
              </w:rPr>
              <w:t xml:space="preserve">，全县海拔一般为 </w:t>
            </w:r>
            <w:r>
              <w:t>1500</w:t>
            </w:r>
            <w:r>
              <w:rPr>
                <w:rFonts w:hint="eastAsia"/>
              </w:rPr>
              <w:t>～</w:t>
            </w:r>
            <w:r>
              <w:t>1800m</w:t>
            </w:r>
            <w:r>
              <w:rPr>
                <w:rFonts w:hint="eastAsia"/>
              </w:rPr>
              <w:t>，最高点与最低点的高差为</w:t>
            </w:r>
            <w:r>
              <w:t>1460m</w:t>
            </w:r>
            <w:r>
              <w:rPr>
                <w:rFonts w:hint="eastAsia"/>
              </w:rPr>
              <w:t>。较大的坝子有宜良、汤池、马街、草甸四个，与四周山脉丘陵错落相间，全县坝子面积占总面积的</w:t>
            </w:r>
            <w:r>
              <w:t>11%</w:t>
            </w:r>
            <w:r>
              <w:rPr>
                <w:rFonts w:hint="eastAsia"/>
              </w:rPr>
              <w:t>；较宽的谷</w:t>
            </w:r>
            <w:r>
              <w:t>地有北羊街、耿家营、竹山三个。据第三次土地普查结果，全县山地面积占总土地面积的88％，坝区（盆地）面积仅占 11</w:t>
            </w:r>
            <w:r>
              <w:rPr>
                <w:rFonts w:hint="eastAsia"/>
              </w:rPr>
              <w:t>%</w:t>
            </w:r>
            <w:r>
              <w:t>，水域占 1</w:t>
            </w:r>
            <w:r>
              <w:rPr>
                <w:rFonts w:hint="eastAsia"/>
              </w:rPr>
              <w:t>%</w:t>
            </w:r>
            <w:r>
              <w:t>。</w:t>
            </w:r>
            <w:r>
              <w:rPr>
                <w:rFonts w:hint="eastAsia"/>
              </w:rPr>
              <w:t xml:space="preserve"> </w:t>
            </w:r>
          </w:p>
          <w:p>
            <w:pPr>
              <w:widowControl/>
              <w:ind w:firstLine="480"/>
              <w:jc w:val="left"/>
            </w:pPr>
            <w:r>
              <w:rPr>
                <w:rFonts w:hint="eastAsia"/>
              </w:rPr>
              <w:t>本项目利用厂区原有场地，地势较平缓，海拔约为2001</w:t>
            </w:r>
            <w:r>
              <w:t>m</w:t>
            </w:r>
            <w:r>
              <w:rPr>
                <w:rFonts w:hint="eastAsia"/>
              </w:rPr>
              <w:t xml:space="preserve">。 </w:t>
            </w:r>
          </w:p>
          <w:p>
            <w:pPr>
              <w:widowControl/>
              <w:ind w:firstLine="480"/>
              <w:jc w:val="left"/>
            </w:pPr>
            <w:r>
              <w:t>3</w:t>
            </w:r>
            <w:r>
              <w:rPr>
                <w:rFonts w:hint="eastAsia"/>
              </w:rPr>
              <w:t>、地质</w:t>
            </w:r>
          </w:p>
          <w:p>
            <w:pPr>
              <w:widowControl/>
              <w:ind w:firstLine="480"/>
              <w:jc w:val="left"/>
            </w:pPr>
            <w:r>
              <w:rPr>
                <w:rFonts w:hint="eastAsia"/>
              </w:rPr>
              <w:t>依据《宜良县地质灾害防治规划（</w:t>
            </w:r>
            <w:r>
              <w:t>2006-2020</w:t>
            </w:r>
            <w:r>
              <w:rPr>
                <w:rFonts w:hint="eastAsia"/>
              </w:rPr>
              <w:t>）》（以下称防治规划），宜良县域地质灾害防治区划分为地质灾害极易发区、易发区和较易发区</w:t>
            </w:r>
            <w:r>
              <w:t>3</w:t>
            </w:r>
            <w:r>
              <w:rPr>
                <w:rFonts w:hint="eastAsia"/>
              </w:rPr>
              <w:t xml:space="preserve">个区。结合本次规划范围，其中农产品加工业片区和东山工业区处于地质灾害较易发区，北古城工业园处于地质灾害易发区和地质灾害较易发区交界范围。同时，按防治规划，全县地质灾害防治区划分为重点防治区、次重点防治区和一般防治区三类，其中农产品加工业处于地质灾害一般防治区，北古城工业园处于地质灾害次重点防治区和地 质灾害一般防治区交界区域。 </w:t>
            </w:r>
          </w:p>
          <w:p>
            <w:pPr>
              <w:pStyle w:val="3"/>
              <w:numPr>
                <w:ilvl w:val="0"/>
                <w:numId w:val="2"/>
              </w:numPr>
              <w:ind w:firstLine="480"/>
            </w:pPr>
            <w:r>
              <w:rPr>
                <w:rFonts w:hint="eastAsia"/>
              </w:rPr>
              <w:t xml:space="preserve">气候、气象 </w:t>
            </w:r>
          </w:p>
          <w:p>
            <w:pPr>
              <w:pStyle w:val="3"/>
              <w:ind w:firstLine="480"/>
            </w:pPr>
            <w:r>
              <w:rPr>
                <w:rFonts w:hint="eastAsia"/>
              </w:rPr>
              <w:t>宜良县内气候温和，气候属中亚热带高原季风型气候，具有冬无严寒、夏无酷暑、四季如春、干湿季节分明的气候特点。每年旱季为11月至次年4月，雨季为5～10 月，气温年差较小，日差较大。年平均温度16.3℃，年极端最高气温33.9℃， 最低气温-6.2℃；最热月平均气温21.7℃，最冷月平均气温8.1℃。全年主导风向为南风和西南风，年平均风速2.2m/s，最大风速20.4m/s，全年静风频率31%。 每年冬季11月至次年4月，因受南亚大陆偏西干暖气流控制，天气晴朗，空气干燥形成旱季，5～10月受孟加拉湾海洋西南季风影响，空气潮湿温暖，形成雨季，雨量显著增加，降雨占全年总降雨量的80～85%。降雨量最大的7、8月，极端月高达300余mm。年平均降雨量937mm，极端降雨量最高为1384.7mm，最低为526.9mm。年平均相对湿度75%，极端最低相对湿度47%，极端最高相对湿度89%。</w:t>
            </w:r>
          </w:p>
          <w:p>
            <w:pPr>
              <w:pStyle w:val="3"/>
              <w:numPr>
                <w:ilvl w:val="0"/>
                <w:numId w:val="2"/>
              </w:numPr>
              <w:ind w:firstLine="480"/>
            </w:pPr>
            <w:r>
              <w:rPr>
                <w:rFonts w:hint="eastAsia"/>
              </w:rPr>
              <w:t xml:space="preserve">水文、水系 </w:t>
            </w:r>
          </w:p>
          <w:p>
            <w:pPr>
              <w:widowControl/>
              <w:ind w:firstLine="480"/>
              <w:jc w:val="left"/>
            </w:pPr>
            <w:r>
              <w:rPr>
                <w:rFonts w:hint="eastAsia"/>
              </w:rPr>
              <w:t>宜良县水资源丰富。全县年产水5.73亿立方，其中地表水4.68亿立方，地下水1.05亿立方，年入境窖水19.96亿立方，年水资源总重量达25.64亿立方。县境内有大小河流36条，属珠江流域水系，径流面积在100平方公里以上的南盘江、贾龙河、麦田河、獐子坝河，摆衣河、巴江等。水能蕴藏量达25.2万千瓦，可开发利用约10万千瓦。境内还有丰富的地下热水资源。另有天然湖泊阳宗海，总面积31.9平方公里，蓄水6亿多立方米；塘坝水库500多个，年蓄水5 亿立方米；南盘江龙头水库——柴石滩水库可蓄水5亿立方米。</w:t>
            </w:r>
            <w:r>
              <w:rPr>
                <w:rFonts w:hint="eastAsia"/>
                <w:color w:val="000000" w:themeColor="text1"/>
                <w:szCs w:val="20"/>
              </w:rPr>
              <w:t>项目区周围3km范围内无常年地表河流，</w:t>
            </w:r>
            <w:r>
              <w:rPr>
                <w:rFonts w:hint="eastAsia"/>
              </w:rPr>
              <w:t>距离项目区域最近的地表河流为南盘江，距离项目5.7km，属珠江流域。南盘江是珠江的源头河段，发源于云南省曲靖市乌蒙山余脉马雄山东麓。南盘江出源头后，由北往南流经云南省沾益、曲靖、至陆良上折西流，至宜良上折南流，至开远折东北流，至八大河（清水江口）南岸进入广西境，至三江口（黄泥河汇口）北岸进入贵州后折东南流，至仓梗折东北流，至天生桥复折东南流，至百口折东北流，至贵州省望谟县蔗香村双江口纳入北盘江，称红水河。在宜良境内长约120km。</w:t>
            </w:r>
          </w:p>
          <w:p>
            <w:pPr>
              <w:widowControl/>
              <w:ind w:firstLine="482"/>
              <w:jc w:val="left"/>
              <w:rPr>
                <w:b/>
                <w:bCs/>
                <w:u w:val="single"/>
              </w:rPr>
            </w:pPr>
            <w:r>
              <w:rPr>
                <w:rFonts w:hint="eastAsia" w:ascii="宋体" w:hAnsi="宋体" w:cs="宋体"/>
                <w:b/>
                <w:bCs/>
                <w:color w:val="000000"/>
                <w:kern w:val="0"/>
                <w:u w:val="single"/>
              </w:rPr>
              <w:t xml:space="preserve">项目区域水系分布见附图 </w:t>
            </w:r>
            <w:r>
              <w:rPr>
                <w:rFonts w:hint="eastAsia"/>
                <w:b/>
                <w:bCs/>
                <w:color w:val="000000"/>
                <w:kern w:val="0"/>
                <w:u w:val="single"/>
              </w:rPr>
              <w:t>2</w:t>
            </w:r>
            <w:r>
              <w:rPr>
                <w:rFonts w:hint="eastAsia" w:ascii="宋体" w:hAnsi="宋体" w:cs="宋体"/>
                <w:b/>
                <w:bCs/>
                <w:color w:val="000000"/>
                <w:kern w:val="0"/>
                <w:u w:val="single"/>
              </w:rPr>
              <w:t xml:space="preserve">。 </w:t>
            </w:r>
          </w:p>
          <w:p>
            <w:pPr>
              <w:numPr>
                <w:ilvl w:val="0"/>
                <w:numId w:val="2"/>
              </w:numPr>
              <w:ind w:firstLine="480"/>
            </w:pPr>
            <w:r>
              <w:rPr>
                <w:rFonts w:hint="eastAsia"/>
              </w:rPr>
              <w:t xml:space="preserve">土壤及植被 </w:t>
            </w:r>
          </w:p>
          <w:p>
            <w:pPr>
              <w:pStyle w:val="3"/>
              <w:ind w:firstLine="480"/>
            </w:pPr>
            <w:r>
              <w:rPr>
                <w:rFonts w:hint="eastAsia"/>
              </w:rPr>
              <w:t xml:space="preserve">全县土壤类型有红壤、黄棕壤、紫色土、冲积土、水稻土5个土类，以红壤为主，占土壤总面积的85.1%。作物宜种性广。 </w:t>
            </w:r>
          </w:p>
          <w:p>
            <w:pPr>
              <w:pStyle w:val="3"/>
              <w:ind w:firstLine="480"/>
            </w:pPr>
            <w:r>
              <w:rPr>
                <w:rFonts w:hint="eastAsia"/>
              </w:rPr>
              <w:t>宜良属云贵高原亚热带植被区，境内森林植被类型为半湿性常绿阔叶林与针叶林。近代自然植被遭到破坏，动植物种群减少。目前，森林类型多为次生云南松和栎类阔叶林组成的混交林。主要植被类型有：①分布在海拔1600～2300m 地带的次生云南松和华山松林；②河谷灌丛和中山、低中山灌丛；③禾本科为主的荒草地； ④粮食和经济作物为主的农耕地。现有树木主要有云南松、华山松、栎类、桤木、油杉等，灌木主要有楠烛、乌饭、杜鹃、野山茶、山刺槐等。全县森林覆盖率46%。项目所在地土壤为红壤、黄棕壤；项目用地无任何植被。</w:t>
            </w:r>
          </w:p>
        </w:tc>
      </w:tr>
    </w:tbl>
    <w:p>
      <w:pPr>
        <w:ind w:firstLine="480"/>
        <w:rPr>
          <w:color w:val="000000" w:themeColor="text1"/>
          <w:sz w:val="30"/>
          <w:szCs w:val="30"/>
        </w:rPr>
      </w:pPr>
      <w:r>
        <w:br w:type="page"/>
      </w:r>
    </w:p>
    <w:p>
      <w:pPr>
        <w:pStyle w:val="4"/>
        <w:spacing w:before="30" w:line="360" w:lineRule="auto"/>
        <w:ind w:firstLine="0" w:firstLineChars="0"/>
        <w:rPr>
          <w:color w:val="000000" w:themeColor="text1"/>
          <w:sz w:val="30"/>
          <w:szCs w:val="30"/>
        </w:rPr>
      </w:pPr>
      <w:bookmarkStart w:id="19" w:name="_Toc8347"/>
      <w:r>
        <w:rPr>
          <w:rFonts w:hint="eastAsia"/>
          <w:color w:val="000000" w:themeColor="text1"/>
          <w:sz w:val="30"/>
          <w:szCs w:val="30"/>
        </w:rPr>
        <w:t>表</w:t>
      </w:r>
      <w:r>
        <w:rPr>
          <w:color w:val="000000" w:themeColor="text1"/>
          <w:sz w:val="30"/>
          <w:szCs w:val="30"/>
        </w:rPr>
        <w:t>三、环境质量状况</w:t>
      </w:r>
      <w:bookmarkEnd w:id="19"/>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
              <w:numPr>
                <w:ilvl w:val="0"/>
                <w:numId w:val="3"/>
              </w:numPr>
              <w:ind w:firstLine="480"/>
              <w:rPr>
                <w:color w:val="auto"/>
              </w:rPr>
            </w:pPr>
            <w:r>
              <w:rPr>
                <w:rFonts w:hint="eastAsia"/>
                <w:color w:val="auto"/>
              </w:rPr>
              <w:t>环境空气质量现状</w:t>
            </w:r>
          </w:p>
          <w:p>
            <w:pPr>
              <w:ind w:firstLine="480"/>
              <w:rPr>
                <w:color w:val="auto"/>
              </w:rPr>
            </w:pPr>
            <w:r>
              <w:rPr>
                <w:rFonts w:hint="eastAsia"/>
                <w:color w:val="auto"/>
              </w:rPr>
              <w:t xml:space="preserve">本项目位于云南省昆明市宜良县匡远镇瑞星村委会麦冲村，所在区域属于大气环境质量二类功能区，环境空气质量执行《环境空气质量标准》（GB3095-2012）二级标准。 </w:t>
            </w:r>
          </w:p>
          <w:p>
            <w:pPr>
              <w:snapToGrid w:val="0"/>
              <w:ind w:firstLine="480"/>
              <w:rPr>
                <w:bCs/>
                <w:color w:val="auto"/>
              </w:rPr>
            </w:pPr>
            <w:r>
              <w:rPr>
                <w:rFonts w:hint="eastAsia"/>
                <w:bCs/>
                <w:color w:val="auto"/>
              </w:rPr>
              <w:t>根据《环境影响评价技术导则 大气环境》（HJ2.2-2018）5.5评价基准年的筛选，本项目选择最近的2019年作为评价基准年。</w:t>
            </w:r>
          </w:p>
          <w:p>
            <w:pPr>
              <w:snapToGrid w:val="0"/>
              <w:ind w:firstLine="480"/>
              <w:rPr>
                <w:color w:val="auto"/>
              </w:rPr>
            </w:pPr>
            <w:r>
              <w:rPr>
                <w:rFonts w:hint="eastAsia"/>
                <w:color w:val="auto"/>
              </w:rPr>
              <w:t>根据昆明市生态环境局发布的《2019 年度昆明市生态环境状况公报》所述， 阳宗海、东川区、晋宁区、安宁市、嵩明县、石林县、富民县、宜良县、禄劝县、 寻甸县共建有空气自动监测站 11 个），按《环境空气质量标准》（GB3095-2012） 评价，2019 年昆明市所辖 10 个县（市）区：二氧化硫（SO</w:t>
            </w:r>
            <w:r>
              <w:rPr>
                <w:rFonts w:hint="eastAsia"/>
                <w:color w:val="auto"/>
                <w:vertAlign w:val="subscript"/>
              </w:rPr>
              <w:t>2</w:t>
            </w:r>
            <w:r>
              <w:rPr>
                <w:rFonts w:hint="eastAsia"/>
                <w:color w:val="auto"/>
              </w:rPr>
              <w:t>）、二氧化氮（NO</w:t>
            </w:r>
            <w:r>
              <w:rPr>
                <w:rFonts w:hint="eastAsia"/>
                <w:color w:val="auto"/>
                <w:vertAlign w:val="subscript"/>
              </w:rPr>
              <w:t>2</w:t>
            </w:r>
            <w:r>
              <w:rPr>
                <w:rFonts w:hint="eastAsia"/>
                <w:color w:val="auto"/>
              </w:rPr>
              <w:t>）、 可吸入颗粒物（PM</w:t>
            </w:r>
            <w:r>
              <w:rPr>
                <w:rFonts w:hint="eastAsia"/>
                <w:color w:val="auto"/>
                <w:vertAlign w:val="subscript"/>
              </w:rPr>
              <w:t>10</w:t>
            </w:r>
            <w:r>
              <w:rPr>
                <w:rFonts w:hint="eastAsia"/>
                <w:color w:val="auto"/>
              </w:rPr>
              <w:t>）、细颗粒物（PM</w:t>
            </w:r>
            <w:r>
              <w:rPr>
                <w:rFonts w:hint="eastAsia"/>
                <w:color w:val="auto"/>
                <w:vertAlign w:val="subscript"/>
              </w:rPr>
              <w:t>2.5</w:t>
            </w:r>
            <w:r>
              <w:rPr>
                <w:rFonts w:hint="eastAsia"/>
                <w:color w:val="auto"/>
              </w:rPr>
              <w:t>）年平均浓度均达二级标准，环境空气质量总体保持稳定。宜良县为环境空气达标区。</w:t>
            </w:r>
          </w:p>
          <w:p>
            <w:pPr>
              <w:widowControl/>
              <w:ind w:firstLine="480"/>
              <w:jc w:val="left"/>
              <w:rPr>
                <w:bCs/>
                <w:color w:val="auto"/>
              </w:rPr>
            </w:pPr>
            <w:r>
              <w:rPr>
                <w:rFonts w:hint="eastAsia"/>
                <w:bCs/>
                <w:color w:val="auto"/>
              </w:rPr>
              <w:t>本项目废石料破碎过程中特征污染物为颗粒物，项目破碎车间为封闭式，且建设单位拟安装布袋除尘器，粉尘产生量极少。结合下文分析，本项目大气环境影响评价等级为三级，根据《环境影响评价技术导则 大气环境》（HJ2.2-2018），本次环评不再对项目特征污染物（颗粒物）进行监测。</w:t>
            </w:r>
          </w:p>
          <w:p>
            <w:pPr>
              <w:pStyle w:val="9"/>
              <w:adjustRightInd w:val="0"/>
              <w:snapToGrid w:val="0"/>
              <w:ind w:firstLine="458" w:firstLineChars="190"/>
              <w:outlineLvl w:val="0"/>
              <w:rPr>
                <w:b/>
                <w:bCs/>
                <w:color w:val="auto"/>
              </w:rPr>
            </w:pPr>
            <w:bookmarkStart w:id="20" w:name="_Toc426044923"/>
            <w:bookmarkStart w:id="21" w:name="_Toc425156272"/>
            <w:bookmarkStart w:id="22" w:name="_Toc25855"/>
            <w:r>
              <w:rPr>
                <w:rFonts w:hint="eastAsia"/>
                <w:b/>
                <w:bCs/>
                <w:color w:val="auto"/>
              </w:rPr>
              <w:t>2</w:t>
            </w:r>
            <w:r>
              <w:rPr>
                <w:b/>
                <w:bCs/>
                <w:color w:val="auto"/>
              </w:rPr>
              <w:t>、地表水环境质量现状</w:t>
            </w:r>
            <w:bookmarkEnd w:id="20"/>
            <w:bookmarkEnd w:id="21"/>
            <w:bookmarkEnd w:id="22"/>
          </w:p>
          <w:p>
            <w:pPr>
              <w:pStyle w:val="8"/>
              <w:ind w:firstLine="480"/>
              <w:rPr>
                <w:color w:val="auto"/>
              </w:rPr>
            </w:pPr>
            <w:r>
              <w:rPr>
                <w:rFonts w:hint="eastAsia"/>
                <w:color w:val="auto"/>
              </w:rPr>
              <w:t>项目周边3km范围内无常年地表河流，经调查，距离项目最近</w:t>
            </w:r>
            <w:r>
              <w:rPr>
                <w:color w:val="auto"/>
              </w:rPr>
              <w:t>的地表水系</w:t>
            </w:r>
            <w:r>
              <w:rPr>
                <w:rFonts w:hint="eastAsia"/>
                <w:color w:val="auto"/>
              </w:rPr>
              <w:t>为南盘江（柴石滩水库出口-狗街段），位于</w:t>
            </w:r>
            <w:r>
              <w:rPr>
                <w:color w:val="auto"/>
              </w:rPr>
              <w:t>项目</w:t>
            </w:r>
            <w:r>
              <w:rPr>
                <w:rFonts w:hint="eastAsia"/>
                <w:color w:val="auto"/>
              </w:rPr>
              <w:t>西侧5.7km处</w:t>
            </w:r>
            <w:r>
              <w:rPr>
                <w:color w:val="auto"/>
              </w:rPr>
              <w:t>，</w:t>
            </w:r>
            <w:r>
              <w:rPr>
                <w:rFonts w:hint="eastAsia"/>
                <w:color w:val="auto"/>
              </w:rPr>
              <w:t>属珠江流域。根据</w:t>
            </w:r>
            <w:r>
              <w:rPr>
                <w:color w:val="auto"/>
              </w:rPr>
              <w:t>《云南省地表水水环境功能区划（2010-2020年）》</w:t>
            </w:r>
            <w:r>
              <w:rPr>
                <w:rFonts w:hint="eastAsia"/>
                <w:color w:val="auto"/>
              </w:rPr>
              <w:t>本项目涉及的南盘江河段</w:t>
            </w:r>
            <w:r>
              <w:rPr>
                <w:rFonts w:hint="eastAsia" w:ascii="宋体" w:hAnsi="宋体" w:cs="宋体"/>
                <w:color w:val="auto"/>
                <w:kern w:val="0"/>
              </w:rPr>
              <w:t>属柴石滩水库出口</w:t>
            </w:r>
            <w:r>
              <w:rPr>
                <w:color w:val="auto"/>
                <w:kern w:val="0"/>
              </w:rPr>
              <w:t>-</w:t>
            </w:r>
            <w:r>
              <w:rPr>
                <w:rFonts w:hint="eastAsia" w:ascii="宋体" w:hAnsi="宋体" w:cs="宋体"/>
                <w:color w:val="auto"/>
                <w:kern w:val="0"/>
              </w:rPr>
              <w:t>狗街河段，主要功能为工业用水、农业用水，属</w:t>
            </w:r>
            <w:r>
              <w:rPr>
                <w:color w:val="auto"/>
                <w:kern w:val="0"/>
              </w:rPr>
              <w:t>Ⅳ</w:t>
            </w:r>
            <w:r>
              <w:rPr>
                <w:rFonts w:hint="eastAsia" w:ascii="宋体" w:hAnsi="宋体" w:cs="宋体"/>
                <w:color w:val="auto"/>
                <w:kern w:val="0"/>
              </w:rPr>
              <w:t>类水体。</w:t>
            </w:r>
          </w:p>
          <w:p>
            <w:pPr>
              <w:pStyle w:val="3"/>
              <w:ind w:firstLine="480"/>
              <w:rPr>
                <w:b/>
                <w:bCs/>
                <w:color w:val="auto"/>
              </w:rPr>
            </w:pPr>
            <w:r>
              <w:rPr>
                <w:rFonts w:hint="eastAsia"/>
                <w:color w:val="auto"/>
              </w:rPr>
              <w:t>根据昆明市生态环境局发布的《2019 年度昆明市生态环境状况公报》所述，</w:t>
            </w:r>
            <w:r>
              <w:rPr>
                <w:rFonts w:hint="eastAsia"/>
                <w:color w:val="auto"/>
                <w:lang w:eastAsia="zh-CN"/>
              </w:rPr>
              <w:t>南盘江</w:t>
            </w:r>
            <w:r>
              <w:rPr>
                <w:rFonts w:hint="eastAsia"/>
                <w:color w:val="auto"/>
              </w:rPr>
              <w:t>柴石滩断面水质类别为</w:t>
            </w:r>
            <w:r>
              <w:rPr>
                <w:rFonts w:hint="eastAsia"/>
                <w:color w:val="auto"/>
              </w:rPr>
              <w:fldChar w:fldCharType="begin"/>
            </w:r>
            <w:r>
              <w:rPr>
                <w:rFonts w:hint="eastAsia"/>
                <w:color w:val="auto"/>
              </w:rPr>
              <w:instrText xml:space="preserve"> = 2 \* ROMAN \* MERGEFORMAT </w:instrText>
            </w:r>
            <w:r>
              <w:rPr>
                <w:rFonts w:hint="eastAsia"/>
                <w:color w:val="auto"/>
              </w:rPr>
              <w:fldChar w:fldCharType="separate"/>
            </w:r>
            <w:r>
              <w:rPr>
                <w:color w:val="auto"/>
              </w:rPr>
              <w:t>II</w:t>
            </w:r>
            <w:r>
              <w:rPr>
                <w:rFonts w:hint="eastAsia"/>
                <w:color w:val="auto"/>
              </w:rPr>
              <w:fldChar w:fldCharType="end"/>
            </w:r>
            <w:r>
              <w:rPr>
                <w:rFonts w:hint="eastAsia"/>
                <w:color w:val="auto"/>
              </w:rPr>
              <w:t>类，南盘</w:t>
            </w:r>
            <w:r>
              <w:rPr>
                <w:color w:val="auto"/>
              </w:rPr>
              <w:t>江狗街断面水质为</w:t>
            </w:r>
            <w:r>
              <w:rPr>
                <w:color w:val="auto"/>
                <w:kern w:val="0"/>
              </w:rPr>
              <w:t>Ⅳ类，2个断面均达到水质阶段目标。</w:t>
            </w:r>
          </w:p>
          <w:p>
            <w:pPr>
              <w:pStyle w:val="3"/>
              <w:ind w:left="480" w:leftChars="200" w:firstLine="0" w:firstLineChars="0"/>
              <w:rPr>
                <w:b/>
                <w:bCs/>
                <w:color w:val="auto"/>
              </w:rPr>
            </w:pPr>
            <w:r>
              <w:rPr>
                <w:b/>
                <w:bCs/>
                <w:color w:val="auto"/>
              </w:rPr>
              <w:t>3、区域环境噪声现状</w:t>
            </w:r>
          </w:p>
          <w:p>
            <w:pPr>
              <w:adjustRightInd w:val="0"/>
              <w:snapToGrid w:val="0"/>
              <w:ind w:firstLine="480"/>
              <w:rPr>
                <w:color w:val="auto"/>
              </w:rPr>
            </w:pPr>
            <w:r>
              <w:rPr>
                <w:color w:val="auto"/>
              </w:rPr>
              <w:t>项目位于</w:t>
            </w:r>
            <w:r>
              <w:rPr>
                <w:rFonts w:hint="eastAsia"/>
                <w:color w:val="auto"/>
              </w:rPr>
              <w:t>云南省昆明市宜良县匡远镇瑞星村委会麦冲村，项目所在区域声环境执行《声环境质量标准》（GB3096-2008）2类标准。</w:t>
            </w:r>
          </w:p>
          <w:p>
            <w:pPr>
              <w:ind w:firstLine="480"/>
              <w:rPr>
                <w:color w:val="auto"/>
                <w:szCs w:val="32"/>
              </w:rPr>
            </w:pPr>
            <w:r>
              <w:rPr>
                <w:rFonts w:hint="eastAsia"/>
                <w:color w:val="auto"/>
                <w:szCs w:val="32"/>
              </w:rPr>
              <w:t>根据现场调查，项目区产生的噪声主要来源于石材厂石材加工设备及进出厂区车辆产生的噪声，</w:t>
            </w:r>
            <w:r>
              <w:rPr>
                <w:rFonts w:hint="eastAsia"/>
                <w:bCs/>
                <w:color w:val="auto"/>
                <w:kern w:val="0"/>
              </w:rPr>
              <w:t>石材厂生产设备经采用安装减震垫及厂房隔声措施后，生产噪声源强较小，进出车辆噪声属间歇性排放</w:t>
            </w:r>
            <w:r>
              <w:rPr>
                <w:rFonts w:hint="eastAsia"/>
                <w:color w:val="auto"/>
                <w:szCs w:val="32"/>
              </w:rPr>
              <w:t>，</w:t>
            </w:r>
            <w:r>
              <w:rPr>
                <w:rFonts w:hint="eastAsia"/>
                <w:color w:val="auto"/>
                <w:szCs w:val="32"/>
                <w:lang w:eastAsia="zh-CN"/>
              </w:rPr>
              <w:t>故</w:t>
            </w:r>
            <w:r>
              <w:rPr>
                <w:color w:val="auto"/>
                <w:szCs w:val="32"/>
              </w:rPr>
              <w:t>项目所在地声环境质量现状能达到GB3096-2008《声环境质量标准》</w:t>
            </w:r>
            <w:r>
              <w:rPr>
                <w:rFonts w:hint="eastAsia"/>
                <w:color w:val="auto"/>
                <w:szCs w:val="32"/>
              </w:rPr>
              <w:t>2</w:t>
            </w:r>
            <w:r>
              <w:rPr>
                <w:color w:val="auto"/>
                <w:szCs w:val="32"/>
              </w:rPr>
              <w:t>类标准要求。</w:t>
            </w:r>
          </w:p>
          <w:p>
            <w:pPr>
              <w:adjustRightInd w:val="0"/>
              <w:snapToGrid w:val="0"/>
              <w:ind w:firstLine="482"/>
              <w:rPr>
                <w:b/>
                <w:color w:val="auto"/>
                <w:kern w:val="0"/>
              </w:rPr>
            </w:pPr>
            <w:r>
              <w:rPr>
                <w:rFonts w:hint="eastAsia"/>
                <w:b/>
                <w:color w:val="auto"/>
                <w:kern w:val="0"/>
              </w:rPr>
              <w:t>4</w:t>
            </w:r>
            <w:r>
              <w:rPr>
                <w:b/>
                <w:color w:val="auto"/>
                <w:kern w:val="0"/>
              </w:rPr>
              <w:t>、</w:t>
            </w:r>
            <w:r>
              <w:rPr>
                <w:rFonts w:hint="eastAsia"/>
                <w:b/>
                <w:color w:val="auto"/>
                <w:kern w:val="0"/>
              </w:rPr>
              <w:t>地下水环境质量</w:t>
            </w:r>
            <w:r>
              <w:rPr>
                <w:b/>
                <w:color w:val="auto"/>
                <w:kern w:val="0"/>
              </w:rPr>
              <w:t>现状</w:t>
            </w:r>
          </w:p>
          <w:p>
            <w:pPr>
              <w:adjustRightInd w:val="0"/>
              <w:snapToGrid w:val="0"/>
              <w:ind w:firstLine="480"/>
              <w:rPr>
                <w:color w:val="auto"/>
                <w:kern w:val="0"/>
              </w:rPr>
            </w:pPr>
            <w:r>
              <w:rPr>
                <w:rFonts w:hint="eastAsia"/>
                <w:color w:val="auto"/>
              </w:rPr>
              <w:t>根据影响分析，本项目为石材加工项目。根据</w:t>
            </w:r>
            <w:r>
              <w:rPr>
                <w:rFonts w:hAnsi="宋体"/>
                <w:color w:val="auto"/>
                <w:kern w:val="0"/>
              </w:rPr>
              <w:t>《环境影响评价技术导则</w:t>
            </w:r>
            <w:r>
              <w:rPr>
                <w:rFonts w:hint="eastAsia" w:hAnsi="宋体"/>
                <w:color w:val="auto"/>
                <w:kern w:val="0"/>
              </w:rPr>
              <w:t xml:space="preserve"> </w:t>
            </w:r>
            <w:r>
              <w:rPr>
                <w:rFonts w:hAnsi="宋体"/>
                <w:color w:val="auto"/>
                <w:kern w:val="0"/>
              </w:rPr>
              <w:t>地下水环境》（</w:t>
            </w:r>
            <w:r>
              <w:rPr>
                <w:color w:val="auto"/>
                <w:kern w:val="0"/>
              </w:rPr>
              <w:t>HJ610-2016</w:t>
            </w:r>
            <w:r>
              <w:rPr>
                <w:rFonts w:hAnsi="宋体"/>
                <w:color w:val="auto"/>
                <w:kern w:val="0"/>
              </w:rPr>
              <w:t>）附录</w:t>
            </w:r>
            <w:r>
              <w:rPr>
                <w:color w:val="auto"/>
                <w:kern w:val="0"/>
              </w:rPr>
              <w:t>A</w:t>
            </w:r>
            <w:r>
              <w:rPr>
                <w:rFonts w:hint="eastAsia"/>
                <w:color w:val="auto"/>
                <w:kern w:val="0"/>
              </w:rPr>
              <w:t>中规定，本项目参照“J非金属矿采选及制品制造”中“6</w:t>
            </w:r>
            <w:r>
              <w:rPr>
                <w:rFonts w:hint="eastAsia"/>
                <w:color w:val="auto"/>
                <w:kern w:val="0"/>
                <w:lang w:val="en-US" w:eastAsia="zh-CN"/>
              </w:rPr>
              <w:t>2</w:t>
            </w:r>
            <w:r>
              <w:rPr>
                <w:rFonts w:hint="eastAsia"/>
                <w:color w:val="auto"/>
                <w:kern w:val="0"/>
                <w:lang w:eastAsia="zh-CN"/>
              </w:rPr>
              <w:t>石材加工</w:t>
            </w:r>
            <w:r>
              <w:rPr>
                <w:rFonts w:hint="eastAsia"/>
                <w:color w:val="auto"/>
                <w:kern w:val="0"/>
              </w:rPr>
              <w:t>”，项目属IV类项目，本次环评不再对地下水环境质量现状进行评价。</w:t>
            </w:r>
          </w:p>
          <w:p>
            <w:pPr>
              <w:adjustRightInd w:val="0"/>
              <w:snapToGrid w:val="0"/>
              <w:ind w:firstLine="482"/>
              <w:rPr>
                <w:b/>
                <w:color w:val="auto"/>
                <w:kern w:val="0"/>
              </w:rPr>
            </w:pPr>
            <w:r>
              <w:rPr>
                <w:rFonts w:hint="eastAsia"/>
                <w:b/>
                <w:color w:val="auto"/>
                <w:kern w:val="0"/>
              </w:rPr>
              <w:t>5</w:t>
            </w:r>
            <w:r>
              <w:rPr>
                <w:b/>
                <w:color w:val="auto"/>
                <w:kern w:val="0"/>
              </w:rPr>
              <w:t>、</w:t>
            </w:r>
            <w:r>
              <w:rPr>
                <w:rFonts w:hint="eastAsia"/>
                <w:b/>
                <w:color w:val="auto"/>
                <w:kern w:val="0"/>
              </w:rPr>
              <w:t>土壤环境质量</w:t>
            </w:r>
            <w:r>
              <w:rPr>
                <w:b/>
                <w:color w:val="auto"/>
                <w:kern w:val="0"/>
              </w:rPr>
              <w:t>现状</w:t>
            </w:r>
          </w:p>
          <w:p>
            <w:pPr>
              <w:adjustRightInd w:val="0"/>
              <w:snapToGrid w:val="0"/>
              <w:ind w:firstLine="480"/>
              <w:rPr>
                <w:color w:val="auto"/>
              </w:rPr>
            </w:pPr>
            <w:r>
              <w:rPr>
                <w:rFonts w:hint="eastAsia"/>
                <w:color w:val="auto"/>
              </w:rPr>
              <w:t>根据HJ964-2018《环境影响评价技术导则 土壤环境（试行）》，本项目为石材加工企业，属“导则”附录A“表A.1土壤环境影响评价项目类别”中的制造业-金属冶炼和压延加工及非金属矿物制品-其他，为Ⅲ类项目。项目属污染影响型项目。</w:t>
            </w:r>
          </w:p>
          <w:p>
            <w:pPr>
              <w:adjustRightInd w:val="0"/>
              <w:snapToGrid w:val="0"/>
              <w:ind w:firstLine="480"/>
              <w:rPr>
                <w:color w:val="auto"/>
              </w:rPr>
            </w:pPr>
            <w:r>
              <w:rPr>
                <w:rFonts w:hint="eastAsia"/>
                <w:color w:val="auto"/>
                <w:highlight w:val="none"/>
                <w:lang w:eastAsia="zh-CN"/>
              </w:rPr>
              <w:t>根据影响分析可知，</w:t>
            </w:r>
            <w:r>
              <w:rPr>
                <w:rFonts w:hint="eastAsia"/>
                <w:color w:val="auto"/>
                <w:highlight w:val="none"/>
              </w:rPr>
              <w:t>项目</w:t>
            </w:r>
            <w:r>
              <w:rPr>
                <w:rFonts w:hint="eastAsia"/>
                <w:color w:val="auto"/>
              </w:rPr>
              <w:t>工程占地均为永久占地，占地面积为2150m</w:t>
            </w:r>
            <w:r>
              <w:rPr>
                <w:rFonts w:hint="eastAsia"/>
                <w:color w:val="auto"/>
                <w:vertAlign w:val="superscript"/>
              </w:rPr>
              <w:t>2</w:t>
            </w:r>
            <w:r>
              <w:rPr>
                <w:rFonts w:hint="eastAsia"/>
                <w:color w:val="auto"/>
              </w:rPr>
              <w:t>，占地规模小于5hm</w:t>
            </w:r>
            <w:r>
              <w:rPr>
                <w:rFonts w:hint="eastAsia"/>
                <w:color w:val="auto"/>
                <w:vertAlign w:val="superscript"/>
              </w:rPr>
              <w:t>2</w:t>
            </w:r>
            <w:r>
              <w:rPr>
                <w:rFonts w:hint="eastAsia"/>
                <w:color w:val="auto"/>
              </w:rPr>
              <w:t>，属小型。此外，项目区周边均为林地，周边土壤属于“不敏感”，故本项目不开展土壤环境影响评价。因此，本次环评不再对土壤环境质量现状进行叙述。</w:t>
            </w:r>
          </w:p>
          <w:p>
            <w:pPr>
              <w:adjustRightInd w:val="0"/>
              <w:snapToGrid w:val="0"/>
              <w:ind w:firstLine="482"/>
              <w:rPr>
                <w:b/>
                <w:color w:val="auto"/>
                <w:kern w:val="0"/>
              </w:rPr>
            </w:pPr>
            <w:r>
              <w:rPr>
                <w:rFonts w:hint="eastAsia"/>
                <w:b/>
                <w:color w:val="auto"/>
                <w:kern w:val="0"/>
              </w:rPr>
              <w:t>6</w:t>
            </w:r>
            <w:r>
              <w:rPr>
                <w:b/>
                <w:color w:val="auto"/>
                <w:kern w:val="0"/>
              </w:rPr>
              <w:t>、生态环境现状</w:t>
            </w:r>
          </w:p>
          <w:p>
            <w:pPr>
              <w:pStyle w:val="3"/>
              <w:ind w:firstLine="480"/>
              <w:rPr>
                <w:rFonts w:hint="eastAsia"/>
                <w:color w:val="auto"/>
                <w:lang w:val="en-US" w:eastAsia="zh-CN"/>
              </w:rPr>
            </w:pPr>
            <w:r>
              <w:rPr>
                <w:rFonts w:hint="eastAsia"/>
                <w:color w:val="auto"/>
              </w:rPr>
              <w:t>根据HJ</w:t>
            </w:r>
            <w:r>
              <w:rPr>
                <w:rFonts w:hint="eastAsia"/>
                <w:color w:val="auto"/>
                <w:lang w:val="en-US" w:eastAsia="zh-CN"/>
              </w:rPr>
              <w:t>19</w:t>
            </w:r>
            <w:r>
              <w:rPr>
                <w:rFonts w:hint="eastAsia"/>
                <w:color w:val="auto"/>
              </w:rPr>
              <w:t>-20</w:t>
            </w:r>
            <w:r>
              <w:rPr>
                <w:rFonts w:hint="eastAsia"/>
                <w:color w:val="auto"/>
                <w:lang w:val="en-US" w:eastAsia="zh-CN"/>
              </w:rPr>
              <w:t>11</w:t>
            </w:r>
            <w:r>
              <w:rPr>
                <w:rFonts w:hint="eastAsia"/>
                <w:color w:val="auto"/>
              </w:rPr>
              <w:t xml:space="preserve">《环境影响评价技术导则 </w:t>
            </w:r>
            <w:r>
              <w:rPr>
                <w:rFonts w:hint="eastAsia"/>
                <w:color w:val="auto"/>
                <w:lang w:eastAsia="zh-CN"/>
              </w:rPr>
              <w:t>生态</w:t>
            </w:r>
            <w:r>
              <w:rPr>
                <w:rFonts w:hint="eastAsia"/>
                <w:color w:val="auto"/>
              </w:rPr>
              <w:t>环境》</w:t>
            </w:r>
            <w:r>
              <w:rPr>
                <w:rFonts w:hint="eastAsia"/>
                <w:color w:val="auto"/>
                <w:lang w:eastAsia="zh-CN"/>
              </w:rPr>
              <w:t>，项目不属于特殊生态敏感区和重要生态敏感区，属于一般区域，项目不新增占地，利用石材厂预留用地，预留用地</w:t>
            </w:r>
            <w:r>
              <w:rPr>
                <w:rFonts w:hint="eastAsia"/>
                <w:color w:val="auto"/>
              </w:rPr>
              <w:t>面积为2150m</w:t>
            </w:r>
            <w:r>
              <w:rPr>
                <w:rFonts w:hint="eastAsia"/>
                <w:color w:val="auto"/>
                <w:vertAlign w:val="superscript"/>
              </w:rPr>
              <w:t>2</w:t>
            </w:r>
            <w:r>
              <w:rPr>
                <w:rFonts w:hint="eastAsia"/>
                <w:color w:val="auto"/>
              </w:rPr>
              <w:t>，占地规模小于</w:t>
            </w:r>
            <w:r>
              <w:rPr>
                <w:rFonts w:hint="eastAsia"/>
                <w:color w:val="auto"/>
                <w:lang w:val="en-US" w:eastAsia="zh-CN"/>
              </w:rPr>
              <w:t>2</w:t>
            </w:r>
            <w:r>
              <w:rPr>
                <w:rFonts w:hint="eastAsia"/>
                <w:color w:val="auto"/>
              </w:rPr>
              <w:t>hm</w:t>
            </w:r>
            <w:r>
              <w:rPr>
                <w:rFonts w:hint="eastAsia"/>
                <w:color w:val="auto"/>
                <w:vertAlign w:val="superscript"/>
              </w:rPr>
              <w:t>2</w:t>
            </w:r>
            <w:r>
              <w:rPr>
                <w:rFonts w:hint="eastAsia"/>
                <w:color w:val="auto"/>
                <w:lang w:eastAsia="zh-CN"/>
              </w:rPr>
              <w:t>，由导则中表</w:t>
            </w:r>
            <w:r>
              <w:rPr>
                <w:rFonts w:hint="eastAsia"/>
                <w:color w:val="auto"/>
                <w:lang w:val="en-US" w:eastAsia="zh-CN"/>
              </w:rPr>
              <w:t>1“生态影响评价工作等级划分”</w:t>
            </w:r>
            <w:r>
              <w:rPr>
                <w:rFonts w:hint="eastAsia"/>
                <w:color w:val="auto"/>
              </w:rPr>
              <w:t>，</w:t>
            </w:r>
            <w:r>
              <w:rPr>
                <w:rFonts w:hint="eastAsia"/>
                <w:color w:val="auto"/>
                <w:lang w:eastAsia="zh-CN"/>
              </w:rPr>
              <w:t>可知项目生态影响评价等级为</w:t>
            </w:r>
            <w:r>
              <w:rPr>
                <w:rFonts w:hint="eastAsia"/>
                <w:color w:val="auto"/>
                <w:lang w:val="en-US" w:eastAsia="zh-CN"/>
              </w:rPr>
              <w:t>三级，三级评价可充分借鉴已有资料进行说明。</w:t>
            </w:r>
          </w:p>
          <w:p>
            <w:pPr>
              <w:pStyle w:val="3"/>
              <w:ind w:firstLine="480"/>
              <w:rPr>
                <w:rFonts w:ascii="宋体" w:hAnsi="宋体" w:cs="宋体"/>
                <w:b/>
                <w:bCs/>
                <w:color w:val="auto"/>
              </w:rPr>
            </w:pPr>
            <w:r>
              <w:rPr>
                <w:rFonts w:hint="eastAsia"/>
                <w:color w:val="auto"/>
                <w:highlight w:val="none"/>
                <w:lang w:eastAsia="zh-CN"/>
              </w:rPr>
              <w:t>根据现场踏勘及相关资料，</w:t>
            </w:r>
            <w:r>
              <w:rPr>
                <w:rFonts w:hint="eastAsia"/>
                <w:color w:val="auto"/>
                <w:highlight w:val="none"/>
              </w:rPr>
              <w:t>项目建设用地为石材厂的预留用地，</w:t>
            </w:r>
            <w:r>
              <w:rPr>
                <w:rFonts w:hint="eastAsia"/>
                <w:color w:val="auto"/>
                <w:highlight w:val="none"/>
                <w:lang w:eastAsia="zh-CN"/>
              </w:rPr>
              <w:t>不新增占地，</w:t>
            </w:r>
            <w:r>
              <w:rPr>
                <w:rFonts w:hint="eastAsia"/>
                <w:color w:val="auto"/>
                <w:highlight w:val="none"/>
              </w:rPr>
              <w:t>石</w:t>
            </w:r>
            <w:r>
              <w:rPr>
                <w:rFonts w:hint="eastAsia"/>
                <w:color w:val="auto"/>
              </w:rPr>
              <w:t>材厂已建成多年，所在区域受人为活动影响较为明显，区内没有野生动物栖息生存场所，区内野生动物的种类和数量均不丰富，多为常见种</w:t>
            </w:r>
            <w:r>
              <w:rPr>
                <w:rFonts w:hint="eastAsia" w:hAnsi="宋体"/>
                <w:color w:val="auto"/>
                <w:lang w:val="zh-CN"/>
              </w:rPr>
              <w:t>。</w:t>
            </w:r>
            <w:r>
              <w:rPr>
                <w:rFonts w:hint="eastAsia" w:hAnsi="宋体"/>
                <w:color w:val="auto"/>
              </w:rPr>
              <w:t>评价区未见有国家和省级重点保护野生动物分布，也未发现有狭域特有种分布。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ind w:firstLine="482"/>
              <w:rPr>
                <w:b/>
                <w:color w:val="auto"/>
                <w:kern w:val="0"/>
              </w:rPr>
            </w:pPr>
            <w:r>
              <w:rPr>
                <w:b/>
                <w:color w:val="auto"/>
                <w:kern w:val="0"/>
              </w:rPr>
              <w:t>主要环境保护目标</w:t>
            </w:r>
          </w:p>
          <w:p>
            <w:pPr>
              <w:adjustRightInd w:val="0"/>
              <w:snapToGrid w:val="0"/>
              <w:ind w:firstLine="480"/>
              <w:rPr>
                <w:color w:val="auto"/>
                <w:kern w:val="0"/>
              </w:rPr>
            </w:pPr>
            <w:r>
              <w:rPr>
                <w:rFonts w:hint="eastAsia" w:ascii="宋体" w:cs="宋体"/>
                <w:color w:val="auto"/>
                <w:kern w:val="0"/>
              </w:rPr>
              <w:t>根据现场踏勘和环境现状调查，本项目主要环境保护目标如下：</w:t>
            </w:r>
          </w:p>
          <w:p>
            <w:pPr>
              <w:adjustRightInd w:val="0"/>
              <w:snapToGrid w:val="0"/>
              <w:ind w:firstLine="482"/>
              <w:rPr>
                <w:b/>
                <w:color w:val="auto"/>
                <w:kern w:val="0"/>
              </w:rPr>
            </w:pPr>
            <w:r>
              <w:rPr>
                <w:rFonts w:hint="eastAsia"/>
                <w:b/>
                <w:color w:val="auto"/>
                <w:kern w:val="0"/>
              </w:rPr>
              <w:t>（1）环境空气保护目标</w:t>
            </w:r>
          </w:p>
          <w:p>
            <w:pPr>
              <w:adjustRightInd w:val="0"/>
              <w:snapToGrid w:val="0"/>
              <w:ind w:firstLine="480"/>
              <w:rPr>
                <w:color w:val="auto"/>
                <w:kern w:val="0"/>
              </w:rPr>
            </w:pPr>
            <w:r>
              <w:rPr>
                <w:rFonts w:hint="eastAsia"/>
                <w:color w:val="auto"/>
                <w:kern w:val="0"/>
              </w:rPr>
              <w:t>根据“大气环境影响分析”，本项目大气环境评价等级为三级。结合</w:t>
            </w:r>
            <w:r>
              <w:rPr>
                <w:color w:val="auto"/>
              </w:rPr>
              <w:t>《环境影响评价技术导则</w:t>
            </w:r>
            <w:r>
              <w:rPr>
                <w:rFonts w:hint="eastAsia"/>
                <w:color w:val="auto"/>
              </w:rPr>
              <w:t xml:space="preserve"> </w:t>
            </w:r>
            <w:r>
              <w:rPr>
                <w:color w:val="auto"/>
              </w:rPr>
              <w:t>大气环境》（HJ2.2-2018）</w:t>
            </w:r>
            <w:r>
              <w:rPr>
                <w:rFonts w:hint="eastAsia"/>
                <w:color w:val="auto"/>
              </w:rPr>
              <w:t>，三级评价不需设置大气环境评价范围。结合项目特点，</w:t>
            </w:r>
            <w:r>
              <w:rPr>
                <w:rFonts w:hint="eastAsia"/>
                <w:color w:val="auto"/>
                <w:kern w:val="0"/>
              </w:rPr>
              <w:t>本项目环境保护目标主要考虑项目区周围1km范围内的居民点，评价范围以厂区中心为原点，中心坐标为（0,0）。本项目环境空气保护目标见表3-</w:t>
            </w:r>
            <w:r>
              <w:rPr>
                <w:rFonts w:hint="eastAsia"/>
                <w:color w:val="auto"/>
                <w:kern w:val="0"/>
                <w:lang w:val="en-US" w:eastAsia="zh-CN"/>
              </w:rPr>
              <w:t>1</w:t>
            </w:r>
            <w:r>
              <w:rPr>
                <w:rFonts w:hint="eastAsia"/>
                <w:color w:val="auto"/>
                <w:kern w:val="0"/>
              </w:rPr>
              <w:t>。</w:t>
            </w:r>
          </w:p>
          <w:p>
            <w:pPr>
              <w:adjustRightInd w:val="0"/>
              <w:snapToGrid w:val="0"/>
              <w:ind w:firstLine="482"/>
              <w:jc w:val="center"/>
              <w:rPr>
                <w:b/>
                <w:bCs/>
                <w:color w:val="auto"/>
                <w:szCs w:val="21"/>
              </w:rPr>
            </w:pPr>
            <w:r>
              <w:rPr>
                <w:rFonts w:hint="eastAsia"/>
                <w:b/>
                <w:bCs/>
                <w:color w:val="auto"/>
                <w:szCs w:val="21"/>
              </w:rPr>
              <w:t>表3-</w:t>
            </w:r>
            <w:r>
              <w:rPr>
                <w:rFonts w:hint="eastAsia"/>
                <w:b/>
                <w:bCs/>
                <w:color w:val="auto"/>
                <w:szCs w:val="21"/>
                <w:lang w:val="en-US" w:eastAsia="zh-CN"/>
              </w:rPr>
              <w:t>1</w:t>
            </w:r>
            <w:r>
              <w:rPr>
                <w:rFonts w:hint="eastAsia"/>
                <w:b/>
                <w:bCs/>
                <w:color w:val="auto"/>
                <w:szCs w:val="21"/>
              </w:rPr>
              <w:t xml:space="preserve">    环境空气保护目标一览表</w:t>
            </w:r>
          </w:p>
          <w:tbl>
            <w:tblPr>
              <w:tblStyle w:val="22"/>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859"/>
              <w:gridCol w:w="945"/>
              <w:gridCol w:w="1245"/>
              <w:gridCol w:w="1200"/>
              <w:gridCol w:w="919"/>
              <w:gridCol w:w="996"/>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25" w:type="dxa"/>
                  <w:vMerge w:val="restart"/>
                  <w:shd w:val="clear" w:color="auto" w:fill="auto"/>
                  <w:vAlign w:val="center"/>
                </w:tcPr>
                <w:p>
                  <w:pPr>
                    <w:adjustRightInd w:val="0"/>
                    <w:spacing w:line="240" w:lineRule="auto"/>
                    <w:ind w:firstLine="0" w:firstLineChars="0"/>
                    <w:jc w:val="center"/>
                    <w:rPr>
                      <w:b/>
                      <w:bCs/>
                      <w:color w:val="auto"/>
                      <w:sz w:val="21"/>
                      <w:szCs w:val="21"/>
                    </w:rPr>
                  </w:pPr>
                  <w:r>
                    <w:rPr>
                      <w:rFonts w:hint="eastAsia"/>
                      <w:b/>
                      <w:bCs/>
                      <w:color w:val="auto"/>
                      <w:sz w:val="21"/>
                      <w:szCs w:val="21"/>
                    </w:rPr>
                    <w:t>名称</w:t>
                  </w:r>
                </w:p>
              </w:tc>
              <w:tc>
                <w:tcPr>
                  <w:tcW w:w="1804" w:type="dxa"/>
                  <w:gridSpan w:val="2"/>
                  <w:shd w:val="clear" w:color="auto" w:fill="auto"/>
                  <w:vAlign w:val="center"/>
                </w:tcPr>
                <w:p>
                  <w:pPr>
                    <w:adjustRightInd w:val="0"/>
                    <w:spacing w:line="240" w:lineRule="auto"/>
                    <w:ind w:firstLine="0" w:firstLineChars="0"/>
                    <w:jc w:val="center"/>
                    <w:rPr>
                      <w:b/>
                      <w:bCs/>
                      <w:color w:val="auto"/>
                      <w:sz w:val="21"/>
                      <w:szCs w:val="21"/>
                    </w:rPr>
                  </w:pPr>
                  <w:r>
                    <w:rPr>
                      <w:rFonts w:hint="eastAsia"/>
                      <w:b/>
                      <w:bCs/>
                      <w:color w:val="auto"/>
                      <w:sz w:val="21"/>
                      <w:szCs w:val="21"/>
                    </w:rPr>
                    <w:t>坐标/m</w:t>
                  </w:r>
                </w:p>
              </w:tc>
              <w:tc>
                <w:tcPr>
                  <w:tcW w:w="1245" w:type="dxa"/>
                  <w:vMerge w:val="restart"/>
                  <w:shd w:val="clear" w:color="auto" w:fill="auto"/>
                  <w:vAlign w:val="center"/>
                </w:tcPr>
                <w:p>
                  <w:pPr>
                    <w:adjustRightInd w:val="0"/>
                    <w:spacing w:line="240" w:lineRule="auto"/>
                    <w:ind w:firstLine="0" w:firstLineChars="0"/>
                    <w:jc w:val="center"/>
                    <w:rPr>
                      <w:b/>
                      <w:bCs/>
                      <w:color w:val="auto"/>
                      <w:sz w:val="21"/>
                      <w:szCs w:val="21"/>
                    </w:rPr>
                  </w:pPr>
                  <w:r>
                    <w:rPr>
                      <w:rFonts w:hint="eastAsia"/>
                      <w:b/>
                      <w:bCs/>
                      <w:color w:val="auto"/>
                      <w:sz w:val="21"/>
                      <w:szCs w:val="21"/>
                    </w:rPr>
                    <w:t>保护对象</w:t>
                  </w:r>
                </w:p>
              </w:tc>
              <w:tc>
                <w:tcPr>
                  <w:tcW w:w="1200" w:type="dxa"/>
                  <w:vMerge w:val="restart"/>
                  <w:shd w:val="clear" w:color="auto" w:fill="auto"/>
                  <w:vAlign w:val="center"/>
                </w:tcPr>
                <w:p>
                  <w:pPr>
                    <w:adjustRightInd w:val="0"/>
                    <w:spacing w:line="240" w:lineRule="auto"/>
                    <w:ind w:firstLine="0" w:firstLineChars="0"/>
                    <w:jc w:val="center"/>
                    <w:rPr>
                      <w:b/>
                      <w:bCs/>
                      <w:color w:val="auto"/>
                      <w:sz w:val="21"/>
                      <w:szCs w:val="21"/>
                    </w:rPr>
                  </w:pPr>
                  <w:r>
                    <w:rPr>
                      <w:rFonts w:hint="eastAsia"/>
                      <w:b/>
                      <w:bCs/>
                      <w:color w:val="auto"/>
                      <w:sz w:val="21"/>
                      <w:szCs w:val="21"/>
                    </w:rPr>
                    <w:t>保护内容</w:t>
                  </w:r>
                </w:p>
              </w:tc>
              <w:tc>
                <w:tcPr>
                  <w:tcW w:w="919" w:type="dxa"/>
                  <w:vMerge w:val="restart"/>
                  <w:shd w:val="clear" w:color="auto" w:fill="auto"/>
                  <w:vAlign w:val="center"/>
                </w:tcPr>
                <w:p>
                  <w:pPr>
                    <w:adjustRightInd w:val="0"/>
                    <w:spacing w:line="240" w:lineRule="auto"/>
                    <w:ind w:firstLine="0" w:firstLineChars="0"/>
                    <w:jc w:val="center"/>
                    <w:rPr>
                      <w:b/>
                      <w:bCs/>
                      <w:color w:val="auto"/>
                      <w:sz w:val="21"/>
                      <w:szCs w:val="21"/>
                    </w:rPr>
                  </w:pPr>
                  <w:r>
                    <w:rPr>
                      <w:rFonts w:hint="eastAsia"/>
                      <w:b/>
                      <w:bCs/>
                      <w:color w:val="auto"/>
                      <w:sz w:val="21"/>
                      <w:szCs w:val="21"/>
                    </w:rPr>
                    <w:t>环境功能区</w:t>
                  </w:r>
                </w:p>
              </w:tc>
              <w:tc>
                <w:tcPr>
                  <w:tcW w:w="996" w:type="dxa"/>
                  <w:vMerge w:val="restart"/>
                  <w:shd w:val="clear" w:color="auto" w:fill="auto"/>
                  <w:vAlign w:val="center"/>
                </w:tcPr>
                <w:p>
                  <w:pPr>
                    <w:adjustRightInd w:val="0"/>
                    <w:spacing w:line="240" w:lineRule="auto"/>
                    <w:ind w:firstLine="0" w:firstLineChars="0"/>
                    <w:jc w:val="center"/>
                    <w:rPr>
                      <w:b/>
                      <w:bCs/>
                      <w:color w:val="auto"/>
                      <w:sz w:val="21"/>
                      <w:szCs w:val="21"/>
                    </w:rPr>
                  </w:pPr>
                  <w:r>
                    <w:rPr>
                      <w:rFonts w:hint="eastAsia"/>
                      <w:b/>
                      <w:bCs/>
                      <w:color w:val="auto"/>
                      <w:sz w:val="21"/>
                      <w:szCs w:val="21"/>
                    </w:rPr>
                    <w:t>相对场址方位</w:t>
                  </w:r>
                </w:p>
              </w:tc>
              <w:tc>
                <w:tcPr>
                  <w:tcW w:w="1048" w:type="dxa"/>
                  <w:vMerge w:val="restart"/>
                  <w:shd w:val="clear" w:color="auto" w:fill="auto"/>
                  <w:vAlign w:val="center"/>
                </w:tcPr>
                <w:p>
                  <w:pPr>
                    <w:adjustRightInd w:val="0"/>
                    <w:spacing w:line="240" w:lineRule="auto"/>
                    <w:ind w:firstLine="0" w:firstLineChars="0"/>
                    <w:jc w:val="center"/>
                    <w:rPr>
                      <w:b/>
                      <w:bCs/>
                      <w:color w:val="auto"/>
                      <w:sz w:val="21"/>
                      <w:szCs w:val="21"/>
                    </w:rPr>
                  </w:pPr>
                  <w:r>
                    <w:rPr>
                      <w:rFonts w:hint="eastAsia"/>
                      <w:b/>
                      <w:bCs/>
                      <w:color w:val="auto"/>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25" w:type="dxa"/>
                  <w:vMerge w:val="continue"/>
                  <w:shd w:val="clear" w:color="auto" w:fill="auto"/>
                  <w:vAlign w:val="center"/>
                </w:tcPr>
                <w:p>
                  <w:pPr>
                    <w:adjustRightInd w:val="0"/>
                    <w:spacing w:line="240" w:lineRule="auto"/>
                    <w:ind w:firstLine="0" w:firstLineChars="0"/>
                    <w:jc w:val="center"/>
                    <w:rPr>
                      <w:b/>
                      <w:bCs/>
                      <w:color w:val="auto"/>
                      <w:sz w:val="21"/>
                      <w:szCs w:val="21"/>
                    </w:rPr>
                  </w:pPr>
                </w:p>
              </w:tc>
              <w:tc>
                <w:tcPr>
                  <w:tcW w:w="859" w:type="dxa"/>
                  <w:shd w:val="clear" w:color="auto" w:fill="auto"/>
                  <w:vAlign w:val="center"/>
                </w:tcPr>
                <w:p>
                  <w:pPr>
                    <w:adjustRightInd w:val="0"/>
                    <w:spacing w:line="240" w:lineRule="auto"/>
                    <w:ind w:firstLine="0" w:firstLineChars="0"/>
                    <w:jc w:val="center"/>
                    <w:rPr>
                      <w:b/>
                      <w:bCs/>
                      <w:color w:val="auto"/>
                      <w:sz w:val="21"/>
                      <w:szCs w:val="21"/>
                    </w:rPr>
                  </w:pPr>
                  <w:r>
                    <w:rPr>
                      <w:rFonts w:hint="eastAsia"/>
                      <w:b/>
                      <w:bCs/>
                      <w:color w:val="auto"/>
                      <w:sz w:val="21"/>
                      <w:szCs w:val="21"/>
                    </w:rPr>
                    <w:t>X</w:t>
                  </w:r>
                </w:p>
              </w:tc>
              <w:tc>
                <w:tcPr>
                  <w:tcW w:w="945" w:type="dxa"/>
                  <w:shd w:val="clear" w:color="auto" w:fill="auto"/>
                  <w:vAlign w:val="center"/>
                </w:tcPr>
                <w:p>
                  <w:pPr>
                    <w:adjustRightInd w:val="0"/>
                    <w:spacing w:line="240" w:lineRule="auto"/>
                    <w:ind w:firstLine="0" w:firstLineChars="0"/>
                    <w:jc w:val="center"/>
                    <w:rPr>
                      <w:b/>
                      <w:bCs/>
                      <w:color w:val="auto"/>
                      <w:sz w:val="21"/>
                      <w:szCs w:val="21"/>
                    </w:rPr>
                  </w:pPr>
                  <w:r>
                    <w:rPr>
                      <w:rFonts w:hint="eastAsia"/>
                      <w:b/>
                      <w:bCs/>
                      <w:color w:val="auto"/>
                      <w:sz w:val="21"/>
                      <w:szCs w:val="21"/>
                    </w:rPr>
                    <w:t>Y</w:t>
                  </w:r>
                </w:p>
              </w:tc>
              <w:tc>
                <w:tcPr>
                  <w:tcW w:w="1245" w:type="dxa"/>
                  <w:vMerge w:val="continue"/>
                  <w:shd w:val="clear" w:color="auto" w:fill="auto"/>
                  <w:vAlign w:val="center"/>
                </w:tcPr>
                <w:p>
                  <w:pPr>
                    <w:adjustRightInd w:val="0"/>
                    <w:spacing w:line="240" w:lineRule="auto"/>
                    <w:ind w:firstLine="0" w:firstLineChars="0"/>
                    <w:jc w:val="center"/>
                    <w:rPr>
                      <w:b/>
                      <w:bCs/>
                      <w:color w:val="auto"/>
                      <w:sz w:val="21"/>
                      <w:szCs w:val="21"/>
                    </w:rPr>
                  </w:pPr>
                </w:p>
              </w:tc>
              <w:tc>
                <w:tcPr>
                  <w:tcW w:w="1200" w:type="dxa"/>
                  <w:vMerge w:val="continue"/>
                  <w:shd w:val="clear" w:color="auto" w:fill="auto"/>
                  <w:vAlign w:val="center"/>
                </w:tcPr>
                <w:p>
                  <w:pPr>
                    <w:adjustRightInd w:val="0"/>
                    <w:spacing w:line="240" w:lineRule="auto"/>
                    <w:ind w:firstLine="0" w:firstLineChars="0"/>
                    <w:jc w:val="center"/>
                    <w:rPr>
                      <w:b/>
                      <w:bCs/>
                      <w:color w:val="auto"/>
                      <w:sz w:val="21"/>
                      <w:szCs w:val="21"/>
                    </w:rPr>
                  </w:pPr>
                </w:p>
              </w:tc>
              <w:tc>
                <w:tcPr>
                  <w:tcW w:w="919" w:type="dxa"/>
                  <w:vMerge w:val="continue"/>
                  <w:shd w:val="clear" w:color="auto" w:fill="auto"/>
                  <w:vAlign w:val="center"/>
                </w:tcPr>
                <w:p>
                  <w:pPr>
                    <w:adjustRightInd w:val="0"/>
                    <w:spacing w:line="240" w:lineRule="auto"/>
                    <w:ind w:firstLine="0" w:firstLineChars="0"/>
                    <w:jc w:val="center"/>
                    <w:rPr>
                      <w:b/>
                      <w:bCs/>
                      <w:color w:val="auto"/>
                      <w:sz w:val="21"/>
                      <w:szCs w:val="21"/>
                    </w:rPr>
                  </w:pPr>
                </w:p>
              </w:tc>
              <w:tc>
                <w:tcPr>
                  <w:tcW w:w="996" w:type="dxa"/>
                  <w:vMerge w:val="continue"/>
                  <w:shd w:val="clear" w:color="auto" w:fill="auto"/>
                  <w:vAlign w:val="center"/>
                </w:tcPr>
                <w:p>
                  <w:pPr>
                    <w:adjustRightInd w:val="0"/>
                    <w:spacing w:line="240" w:lineRule="auto"/>
                    <w:ind w:firstLine="0" w:firstLineChars="0"/>
                    <w:jc w:val="center"/>
                    <w:rPr>
                      <w:b/>
                      <w:bCs/>
                      <w:color w:val="auto"/>
                      <w:sz w:val="21"/>
                      <w:szCs w:val="21"/>
                    </w:rPr>
                  </w:pPr>
                </w:p>
              </w:tc>
              <w:tc>
                <w:tcPr>
                  <w:tcW w:w="1048" w:type="dxa"/>
                  <w:vMerge w:val="continue"/>
                  <w:shd w:val="clear" w:color="auto" w:fill="auto"/>
                  <w:vAlign w:val="center"/>
                </w:tcPr>
                <w:p>
                  <w:pPr>
                    <w:adjustRightInd w:val="0"/>
                    <w:spacing w:line="240" w:lineRule="auto"/>
                    <w:ind w:firstLine="0" w:firstLineChars="0"/>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5"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麦冲村</w:t>
                  </w:r>
                </w:p>
              </w:tc>
              <w:tc>
                <w:tcPr>
                  <w:tcW w:w="859" w:type="dxa"/>
                  <w:shd w:val="clear" w:color="auto" w:fill="auto"/>
                  <w:vAlign w:val="center"/>
                </w:tcPr>
                <w:p>
                  <w:pPr>
                    <w:spacing w:line="240" w:lineRule="auto"/>
                    <w:ind w:firstLine="0" w:firstLineChars="0"/>
                    <w:jc w:val="center"/>
                    <w:rPr>
                      <w:color w:val="auto"/>
                      <w:sz w:val="21"/>
                      <w:szCs w:val="21"/>
                    </w:rPr>
                  </w:pPr>
                  <w:r>
                    <w:rPr>
                      <w:rFonts w:hint="eastAsia"/>
                      <w:color w:val="auto"/>
                      <w:sz w:val="21"/>
                      <w:szCs w:val="21"/>
                    </w:rPr>
                    <w:t>-82</w:t>
                  </w:r>
                </w:p>
              </w:tc>
              <w:tc>
                <w:tcPr>
                  <w:tcW w:w="945" w:type="dxa"/>
                  <w:shd w:val="clear" w:color="auto" w:fill="auto"/>
                  <w:vAlign w:val="center"/>
                </w:tcPr>
                <w:p>
                  <w:pPr>
                    <w:spacing w:line="240" w:lineRule="auto"/>
                    <w:ind w:firstLine="0" w:firstLineChars="0"/>
                    <w:jc w:val="center"/>
                    <w:rPr>
                      <w:color w:val="auto"/>
                      <w:sz w:val="21"/>
                      <w:szCs w:val="21"/>
                    </w:rPr>
                  </w:pPr>
                  <w:r>
                    <w:rPr>
                      <w:rFonts w:hint="eastAsia"/>
                      <w:color w:val="auto"/>
                      <w:sz w:val="21"/>
                      <w:szCs w:val="21"/>
                    </w:rPr>
                    <w:t>240</w:t>
                  </w:r>
                </w:p>
              </w:tc>
              <w:tc>
                <w:tcPr>
                  <w:tcW w:w="1245" w:type="dxa"/>
                  <w:shd w:val="clear" w:color="auto" w:fill="auto"/>
                  <w:vAlign w:val="center"/>
                </w:tcPr>
                <w:p>
                  <w:pPr>
                    <w:adjustRightInd w:val="0"/>
                    <w:spacing w:line="240" w:lineRule="auto"/>
                    <w:ind w:firstLine="0" w:firstLineChars="0"/>
                    <w:jc w:val="center"/>
                    <w:rPr>
                      <w:bCs/>
                      <w:color w:val="auto"/>
                      <w:sz w:val="21"/>
                      <w:szCs w:val="21"/>
                    </w:rPr>
                  </w:pPr>
                  <w:r>
                    <w:rPr>
                      <w:rFonts w:hint="eastAsia"/>
                      <w:color w:val="auto"/>
                      <w:sz w:val="21"/>
                      <w:szCs w:val="21"/>
                    </w:rPr>
                    <w:t>1047人</w:t>
                  </w:r>
                </w:p>
              </w:tc>
              <w:tc>
                <w:tcPr>
                  <w:tcW w:w="1200"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环境空气质量达标</w:t>
                  </w:r>
                </w:p>
              </w:tc>
              <w:tc>
                <w:tcPr>
                  <w:tcW w:w="919"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二类区</w:t>
                  </w:r>
                </w:p>
              </w:tc>
              <w:tc>
                <w:tcPr>
                  <w:tcW w:w="996"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西北侧</w:t>
                  </w:r>
                </w:p>
              </w:tc>
              <w:tc>
                <w:tcPr>
                  <w:tcW w:w="1048"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25"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西岳庙</w:t>
                  </w:r>
                </w:p>
              </w:tc>
              <w:tc>
                <w:tcPr>
                  <w:tcW w:w="859" w:type="dxa"/>
                  <w:shd w:val="clear" w:color="auto" w:fill="auto"/>
                  <w:vAlign w:val="center"/>
                </w:tcPr>
                <w:p>
                  <w:pPr>
                    <w:spacing w:line="240" w:lineRule="auto"/>
                    <w:ind w:firstLine="0" w:firstLineChars="0"/>
                    <w:jc w:val="center"/>
                    <w:rPr>
                      <w:color w:val="auto"/>
                      <w:sz w:val="21"/>
                      <w:szCs w:val="21"/>
                    </w:rPr>
                  </w:pPr>
                  <w:r>
                    <w:rPr>
                      <w:rFonts w:hint="eastAsia"/>
                      <w:color w:val="auto"/>
                      <w:sz w:val="21"/>
                      <w:szCs w:val="21"/>
                    </w:rPr>
                    <w:t>357</w:t>
                  </w:r>
                </w:p>
              </w:tc>
              <w:tc>
                <w:tcPr>
                  <w:tcW w:w="945" w:type="dxa"/>
                  <w:shd w:val="clear" w:color="auto" w:fill="auto"/>
                  <w:vAlign w:val="center"/>
                </w:tcPr>
                <w:p>
                  <w:pPr>
                    <w:spacing w:line="240" w:lineRule="auto"/>
                    <w:ind w:firstLine="0" w:firstLineChars="0"/>
                    <w:jc w:val="center"/>
                    <w:rPr>
                      <w:color w:val="auto"/>
                      <w:sz w:val="21"/>
                      <w:szCs w:val="21"/>
                    </w:rPr>
                  </w:pPr>
                  <w:r>
                    <w:rPr>
                      <w:rFonts w:hint="eastAsia"/>
                      <w:color w:val="auto"/>
                      <w:sz w:val="21"/>
                      <w:szCs w:val="21"/>
                    </w:rPr>
                    <w:t>680</w:t>
                  </w:r>
                </w:p>
              </w:tc>
              <w:tc>
                <w:tcPr>
                  <w:tcW w:w="1245" w:type="dxa"/>
                  <w:shd w:val="clear" w:color="auto" w:fill="auto"/>
                  <w:vAlign w:val="center"/>
                </w:tcPr>
                <w:p>
                  <w:pPr>
                    <w:adjustRightInd w:val="0"/>
                    <w:spacing w:line="240" w:lineRule="auto"/>
                    <w:ind w:firstLine="0" w:firstLineChars="0"/>
                    <w:jc w:val="center"/>
                    <w:rPr>
                      <w:color w:val="auto"/>
                      <w:sz w:val="21"/>
                      <w:szCs w:val="21"/>
                    </w:rPr>
                  </w:pPr>
                  <w:r>
                    <w:rPr>
                      <w:rFonts w:hint="eastAsia"/>
                      <w:color w:val="auto"/>
                      <w:sz w:val="21"/>
                      <w:szCs w:val="21"/>
                    </w:rPr>
                    <w:t>225人</w:t>
                  </w:r>
                </w:p>
              </w:tc>
              <w:tc>
                <w:tcPr>
                  <w:tcW w:w="1200"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环境空气质量达标</w:t>
                  </w:r>
                </w:p>
              </w:tc>
              <w:tc>
                <w:tcPr>
                  <w:tcW w:w="919"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二类区</w:t>
                  </w:r>
                </w:p>
              </w:tc>
              <w:tc>
                <w:tcPr>
                  <w:tcW w:w="996"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东北侧</w:t>
                  </w:r>
                </w:p>
              </w:tc>
              <w:tc>
                <w:tcPr>
                  <w:tcW w:w="1048" w:type="dxa"/>
                  <w:shd w:val="clear" w:color="auto" w:fill="auto"/>
                  <w:vAlign w:val="center"/>
                </w:tcPr>
                <w:p>
                  <w:pPr>
                    <w:adjustRightInd w:val="0"/>
                    <w:spacing w:line="240" w:lineRule="auto"/>
                    <w:ind w:firstLine="0" w:firstLineChars="0"/>
                    <w:jc w:val="center"/>
                    <w:rPr>
                      <w:bCs/>
                      <w:color w:val="auto"/>
                      <w:sz w:val="21"/>
                      <w:szCs w:val="21"/>
                    </w:rPr>
                  </w:pPr>
                  <w:r>
                    <w:rPr>
                      <w:rFonts w:hint="eastAsia"/>
                      <w:bCs/>
                      <w:color w:val="auto"/>
                      <w:sz w:val="21"/>
                      <w:szCs w:val="21"/>
                    </w:rPr>
                    <w:t>767</w:t>
                  </w:r>
                </w:p>
              </w:tc>
            </w:tr>
          </w:tbl>
          <w:p>
            <w:pPr>
              <w:adjustRightInd w:val="0"/>
              <w:snapToGrid w:val="0"/>
              <w:spacing w:before="156" w:beforeLines="50"/>
              <w:ind w:firstLine="482"/>
              <w:rPr>
                <w:b/>
                <w:color w:val="auto"/>
                <w:kern w:val="0"/>
              </w:rPr>
            </w:pPr>
            <w:r>
              <w:rPr>
                <w:rFonts w:hint="eastAsia"/>
                <w:b/>
                <w:color w:val="auto"/>
                <w:kern w:val="0"/>
              </w:rPr>
              <w:t>（2）声环境保护目标</w:t>
            </w:r>
          </w:p>
          <w:p>
            <w:pPr>
              <w:adjustRightInd w:val="0"/>
              <w:snapToGrid w:val="0"/>
              <w:ind w:firstLine="480"/>
              <w:rPr>
                <w:color w:val="auto"/>
                <w:kern w:val="0"/>
              </w:rPr>
            </w:pPr>
            <w:r>
              <w:rPr>
                <w:rFonts w:hint="eastAsia"/>
                <w:color w:val="auto"/>
                <w:kern w:val="0"/>
              </w:rPr>
              <w:t>项目区厂界200m范围内无居民点，故无声环境保护目标。</w:t>
            </w:r>
          </w:p>
          <w:p>
            <w:pPr>
              <w:adjustRightInd w:val="0"/>
              <w:snapToGrid w:val="0"/>
              <w:ind w:firstLine="482"/>
              <w:rPr>
                <w:b/>
                <w:color w:val="auto"/>
                <w:kern w:val="0"/>
              </w:rPr>
            </w:pPr>
            <w:r>
              <w:rPr>
                <w:rFonts w:hint="eastAsia"/>
                <w:b/>
                <w:color w:val="auto"/>
                <w:kern w:val="0"/>
              </w:rPr>
              <w:t>（3）地表水环境保护目标</w:t>
            </w:r>
          </w:p>
          <w:p>
            <w:pPr>
              <w:snapToGrid w:val="0"/>
              <w:ind w:firstLine="480"/>
              <w:rPr>
                <w:rFonts w:hAnsi="宋体"/>
                <w:color w:val="auto"/>
                <w:szCs w:val="28"/>
              </w:rPr>
            </w:pPr>
            <w:r>
              <w:rPr>
                <w:rFonts w:hint="eastAsia"/>
                <w:color w:val="auto"/>
              </w:rPr>
              <w:t>根据</w:t>
            </w:r>
            <w:r>
              <w:rPr>
                <w:rFonts w:hint="eastAsia" w:hAnsi="宋体"/>
                <w:color w:val="auto"/>
                <w:szCs w:val="28"/>
              </w:rPr>
              <w:t>HJ2.3-2018《环境影响评价技术导则 地表水环境》中规定，水环境保护目标主要为：</w:t>
            </w:r>
            <w:r>
              <w:rPr>
                <w:rFonts w:hint="eastAsia" w:ascii="宋体" w:hAnsi="宋体"/>
                <w:color w:val="auto"/>
                <w:szCs w:val="28"/>
              </w:rPr>
              <w:t>饮用水水源保护区、饮用水取水口；涉水的自然保护区、风景名胜区；重要湿地、重点保护与珍稀水生生物的栖息地、重要水生生物的自然产卵场及索饵场、越冬场和洄游通道；然渔场等渔业水体；水产种质资源保护区等。</w:t>
            </w:r>
          </w:p>
          <w:p>
            <w:pPr>
              <w:adjustRightInd w:val="0"/>
              <w:snapToGrid w:val="0"/>
              <w:ind w:firstLine="480"/>
              <w:rPr>
                <w:color w:val="auto"/>
              </w:rPr>
            </w:pPr>
            <w:r>
              <w:rPr>
                <w:rFonts w:hint="eastAsia"/>
                <w:color w:val="auto"/>
              </w:rPr>
              <w:t>经现场调查</w:t>
            </w:r>
            <w:r>
              <w:rPr>
                <w:rFonts w:hint="eastAsia"/>
                <w:color w:val="auto"/>
                <w:highlight w:val="none"/>
              </w:rPr>
              <w:t>，项目区周围</w:t>
            </w:r>
            <w:r>
              <w:rPr>
                <w:rFonts w:hint="eastAsia"/>
                <w:color w:val="auto"/>
                <w:highlight w:val="none"/>
                <w:lang w:val="en-US" w:eastAsia="zh-CN"/>
              </w:rPr>
              <w:t>3km内</w:t>
            </w:r>
            <w:r>
              <w:rPr>
                <w:rFonts w:hint="eastAsia"/>
                <w:color w:val="auto"/>
                <w:highlight w:val="none"/>
                <w:lang w:eastAsia="zh-CN"/>
              </w:rPr>
              <w:t>无地表水体，邻近项目</w:t>
            </w:r>
            <w:r>
              <w:rPr>
                <w:rFonts w:hint="eastAsia"/>
                <w:color w:val="auto"/>
                <w:highlight w:val="none"/>
              </w:rPr>
              <w:t>有2个水塘，</w:t>
            </w:r>
            <w:r>
              <w:rPr>
                <w:rFonts w:hint="eastAsia"/>
                <w:color w:val="auto"/>
                <w:highlight w:val="none"/>
                <w:lang w:eastAsia="zh-CN"/>
              </w:rPr>
              <w:t>分别位于项目南侧及东侧，均为雨水收集水塘，</w:t>
            </w:r>
            <w:r>
              <w:rPr>
                <w:rFonts w:hint="eastAsia"/>
                <w:color w:val="auto"/>
                <w:highlight w:val="none"/>
              </w:rPr>
              <w:t>主要功能为</w:t>
            </w:r>
            <w:r>
              <w:rPr>
                <w:rFonts w:hint="eastAsia"/>
                <w:color w:val="auto"/>
              </w:rPr>
              <w:t>供周围村民盥洗衣物，非饮用水，且项目生产过程中</w:t>
            </w:r>
            <w:r>
              <w:rPr>
                <w:rFonts w:hint="eastAsia"/>
                <w:color w:val="auto"/>
                <w:lang w:eastAsia="zh-CN"/>
              </w:rPr>
              <w:t>仅盈余雨水排入东侧水塘，</w:t>
            </w:r>
            <w:r>
              <w:rPr>
                <w:rFonts w:hint="eastAsia"/>
                <w:color w:val="auto"/>
              </w:rPr>
              <w:t>生产废水及生活污水均不外排。因此，本项目</w:t>
            </w:r>
            <w:r>
              <w:rPr>
                <w:rFonts w:hint="eastAsia" w:hAnsi="宋体"/>
                <w:color w:val="auto"/>
                <w:szCs w:val="28"/>
              </w:rPr>
              <w:t>不设置地表水环境保护目标。</w:t>
            </w:r>
          </w:p>
          <w:p>
            <w:pPr>
              <w:adjustRightInd w:val="0"/>
              <w:snapToGrid w:val="0"/>
              <w:ind w:firstLine="482"/>
              <w:rPr>
                <w:b/>
                <w:color w:val="auto"/>
                <w:kern w:val="0"/>
              </w:rPr>
            </w:pPr>
            <w:r>
              <w:rPr>
                <w:rFonts w:hint="eastAsia"/>
                <w:b/>
                <w:color w:val="auto"/>
                <w:kern w:val="0"/>
              </w:rPr>
              <w:t>（4）生态环境保护目标</w:t>
            </w:r>
          </w:p>
          <w:p>
            <w:pPr>
              <w:adjustRightInd w:val="0"/>
              <w:snapToGrid w:val="0"/>
              <w:ind w:firstLine="480"/>
              <w:rPr>
                <w:b/>
                <w:color w:val="auto"/>
                <w:kern w:val="0"/>
              </w:rPr>
            </w:pPr>
            <w:r>
              <w:rPr>
                <w:rFonts w:hint="eastAsia"/>
                <w:color w:val="auto"/>
                <w:kern w:val="0"/>
              </w:rPr>
              <w:t>项目生态环境保护目标为：保护项目区周边200m范围内的生态环境，防止水土流失，避免项目建设及运行对周边植被及土壤造成破坏，不改变周边生态环境原有功能。</w:t>
            </w:r>
          </w:p>
          <w:p>
            <w:pPr>
              <w:adjustRightInd w:val="0"/>
              <w:snapToGrid w:val="0"/>
              <w:ind w:firstLine="482"/>
              <w:rPr>
                <w:b/>
                <w:color w:val="auto"/>
                <w:kern w:val="0"/>
              </w:rPr>
            </w:pPr>
            <w:r>
              <w:rPr>
                <w:rFonts w:hint="eastAsia"/>
                <w:b/>
                <w:color w:val="auto"/>
                <w:kern w:val="0"/>
              </w:rPr>
              <w:t>（5）土壤</w:t>
            </w:r>
            <w:r>
              <w:rPr>
                <w:b/>
                <w:color w:val="auto"/>
                <w:kern w:val="0"/>
              </w:rPr>
              <w:t>环境</w:t>
            </w:r>
            <w:r>
              <w:rPr>
                <w:rFonts w:hint="eastAsia"/>
                <w:b/>
                <w:color w:val="auto"/>
                <w:kern w:val="0"/>
              </w:rPr>
              <w:t>保护目标</w:t>
            </w:r>
          </w:p>
          <w:p>
            <w:pPr>
              <w:adjustRightInd w:val="0"/>
              <w:snapToGrid w:val="0"/>
              <w:ind w:firstLine="480"/>
              <w:rPr>
                <w:color w:val="auto"/>
                <w:kern w:val="0"/>
              </w:rPr>
            </w:pPr>
            <w:r>
              <w:rPr>
                <w:rFonts w:hint="eastAsia"/>
                <w:color w:val="auto"/>
                <w:kern w:val="0"/>
              </w:rPr>
              <w:t>结合前文可知，本项目不开展土壤环境影响评价。项目不再设置土壤环境保护目标。</w:t>
            </w:r>
          </w:p>
          <w:p>
            <w:pPr>
              <w:adjustRightInd w:val="0"/>
              <w:snapToGrid w:val="0"/>
              <w:ind w:firstLine="482"/>
              <w:rPr>
                <w:b/>
                <w:color w:val="auto"/>
                <w:kern w:val="0"/>
              </w:rPr>
            </w:pPr>
            <w:r>
              <w:rPr>
                <w:rFonts w:hint="eastAsia"/>
                <w:b/>
                <w:color w:val="auto"/>
                <w:kern w:val="0"/>
              </w:rPr>
              <w:t>（6）地下水</w:t>
            </w:r>
            <w:r>
              <w:rPr>
                <w:b/>
                <w:color w:val="auto"/>
                <w:kern w:val="0"/>
              </w:rPr>
              <w:t>环境</w:t>
            </w:r>
            <w:r>
              <w:rPr>
                <w:rFonts w:hint="eastAsia"/>
                <w:b/>
                <w:color w:val="auto"/>
                <w:kern w:val="0"/>
              </w:rPr>
              <w:t>保护目标</w:t>
            </w:r>
          </w:p>
          <w:p>
            <w:pPr>
              <w:adjustRightInd w:val="0"/>
              <w:snapToGrid w:val="0"/>
              <w:ind w:firstLine="480"/>
              <w:rPr>
                <w:rFonts w:ascii="宋体" w:hAnsi="宋体" w:cs="宋体"/>
                <w:b/>
                <w:bCs/>
                <w:color w:val="auto"/>
              </w:rPr>
            </w:pPr>
            <w:r>
              <w:rPr>
                <w:rFonts w:hint="eastAsia"/>
                <w:color w:val="auto"/>
                <w:kern w:val="0"/>
              </w:rPr>
              <w:t>结合前文可知，本项目不开展地下水环境影响评价。项目不再设置地下水环境保护目标。</w:t>
            </w:r>
          </w:p>
        </w:tc>
      </w:tr>
    </w:tbl>
    <w:p>
      <w:pPr>
        <w:ind w:firstLine="602"/>
        <w:rPr>
          <w:b/>
          <w:color w:val="000000" w:themeColor="text1"/>
          <w:sz w:val="30"/>
          <w:szCs w:val="30"/>
        </w:rPr>
      </w:pPr>
      <w:bookmarkStart w:id="23" w:name="_Toc21193"/>
      <w:r>
        <w:rPr>
          <w:rFonts w:hint="eastAsia"/>
          <w:b/>
          <w:color w:val="000000" w:themeColor="text1"/>
          <w:sz w:val="30"/>
          <w:szCs w:val="30"/>
        </w:rPr>
        <w:br w:type="page"/>
      </w:r>
    </w:p>
    <w:p>
      <w:pPr>
        <w:pStyle w:val="4"/>
        <w:spacing w:before="30" w:line="360" w:lineRule="auto"/>
        <w:ind w:firstLine="0" w:firstLineChars="0"/>
        <w:rPr>
          <w:color w:val="000000" w:themeColor="text1"/>
          <w:sz w:val="30"/>
          <w:szCs w:val="30"/>
        </w:rPr>
      </w:pPr>
      <w:bookmarkStart w:id="24" w:name="_Toc6649"/>
      <w:r>
        <w:rPr>
          <w:rFonts w:hint="eastAsia"/>
          <w:color w:val="000000" w:themeColor="text1"/>
          <w:sz w:val="30"/>
          <w:szCs w:val="30"/>
        </w:rPr>
        <w:t>表</w:t>
      </w:r>
      <w:r>
        <w:rPr>
          <w:color w:val="000000" w:themeColor="text1"/>
          <w:sz w:val="30"/>
          <w:szCs w:val="30"/>
        </w:rPr>
        <w:t>四、评价适用标准</w:t>
      </w:r>
      <w:bookmarkEnd w:id="23"/>
      <w:bookmarkEnd w:id="24"/>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3"/>
              <w:spacing w:line="240" w:lineRule="auto"/>
              <w:ind w:firstLine="0" w:firstLineChars="0"/>
              <w:jc w:val="center"/>
            </w:pPr>
            <w:r>
              <w:rPr>
                <w:rFonts w:eastAsiaTheme="minorEastAsia"/>
                <w:color w:val="000000" w:themeColor="text1"/>
                <w:szCs w:val="24"/>
              </w:rPr>
              <w:t>环境质量标准</w:t>
            </w:r>
          </w:p>
        </w:tc>
        <w:tc>
          <w:tcPr>
            <w:tcW w:w="7936" w:type="dxa"/>
          </w:tcPr>
          <w:p>
            <w:pPr>
              <w:adjustRightInd w:val="0"/>
              <w:snapToGrid w:val="0"/>
              <w:ind w:firstLine="482"/>
              <w:rPr>
                <w:b/>
                <w:color w:val="000000" w:themeColor="text1"/>
              </w:rPr>
            </w:pPr>
            <w:r>
              <w:rPr>
                <w:b/>
                <w:color w:val="000000" w:themeColor="text1"/>
              </w:rPr>
              <w:t>一、环境空气质量标准</w:t>
            </w:r>
          </w:p>
          <w:p>
            <w:pPr>
              <w:adjustRightInd w:val="0"/>
              <w:snapToGrid w:val="0"/>
              <w:ind w:firstLine="480"/>
              <w:rPr>
                <w:color w:val="000000" w:themeColor="text1"/>
              </w:rPr>
            </w:pPr>
            <w:r>
              <w:rPr>
                <w:rFonts w:hint="eastAsia"/>
                <w:color w:val="000000" w:themeColor="text1"/>
              </w:rPr>
              <w:t>项目所在区域为</w:t>
            </w:r>
            <w:r>
              <w:rPr>
                <w:color w:val="000000" w:themeColor="text1"/>
              </w:rPr>
              <w:t>《环境空气质量标准》</w:t>
            </w:r>
            <w:r>
              <w:rPr>
                <w:rFonts w:hint="eastAsia"/>
                <w:color w:val="000000" w:themeColor="text1"/>
              </w:rPr>
              <w:t>（GB3095-2012）二类区，环境空气执行</w:t>
            </w:r>
            <w:r>
              <w:rPr>
                <w:color w:val="000000" w:themeColor="text1"/>
              </w:rPr>
              <w:t>《环境空气质量标准》</w:t>
            </w:r>
            <w:r>
              <w:rPr>
                <w:rFonts w:hint="eastAsia"/>
                <w:color w:val="000000" w:themeColor="text1"/>
              </w:rPr>
              <w:t>（GB3095-2012）二级标准及修改单要求。</w:t>
            </w:r>
            <w:r>
              <w:rPr>
                <w:color w:val="000000" w:themeColor="text1"/>
              </w:rPr>
              <w:t>标准值见表4-1。</w:t>
            </w:r>
          </w:p>
          <w:p>
            <w:pPr>
              <w:adjustRightInd w:val="0"/>
              <w:snapToGrid w:val="0"/>
              <w:ind w:firstLine="482"/>
              <w:jc w:val="center"/>
              <w:rPr>
                <w:b/>
                <w:color w:val="000000" w:themeColor="text1"/>
                <w:szCs w:val="21"/>
                <w:vertAlign w:val="superscript"/>
              </w:rPr>
            </w:pPr>
            <w:r>
              <w:rPr>
                <w:b/>
                <w:color w:val="000000" w:themeColor="text1"/>
                <w:szCs w:val="21"/>
              </w:rPr>
              <w:t xml:space="preserve">表4-1  </w:t>
            </w:r>
            <w:r>
              <w:rPr>
                <w:rFonts w:hint="eastAsia"/>
                <w:b/>
                <w:color w:val="000000" w:themeColor="text1"/>
                <w:szCs w:val="21"/>
              </w:rPr>
              <w:t xml:space="preserve">   </w:t>
            </w:r>
            <w:r>
              <w:rPr>
                <w:b/>
                <w:color w:val="000000" w:themeColor="text1"/>
                <w:szCs w:val="21"/>
              </w:rPr>
              <w:t>环境空气质量标准</w:t>
            </w:r>
          </w:p>
          <w:tbl>
            <w:tblPr>
              <w:tblStyle w:val="22"/>
              <w:tblW w:w="779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104"/>
              <w:gridCol w:w="1638"/>
              <w:gridCol w:w="1631"/>
              <w:gridCol w:w="148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36" w:type="dxa"/>
                  <w:vAlign w:val="center"/>
                </w:tcPr>
                <w:p>
                  <w:pPr>
                    <w:snapToGrid w:val="0"/>
                    <w:spacing w:line="240" w:lineRule="auto"/>
                    <w:ind w:firstLine="0" w:firstLineChars="0"/>
                    <w:jc w:val="center"/>
                    <w:rPr>
                      <w:b/>
                      <w:color w:val="000000" w:themeColor="text1"/>
                      <w:sz w:val="21"/>
                      <w:szCs w:val="21"/>
                    </w:rPr>
                  </w:pPr>
                  <w:r>
                    <w:rPr>
                      <w:b/>
                      <w:color w:val="000000" w:themeColor="text1"/>
                      <w:sz w:val="21"/>
                      <w:szCs w:val="21"/>
                    </w:rPr>
                    <w:t>序号</w:t>
                  </w:r>
                </w:p>
              </w:tc>
              <w:tc>
                <w:tcPr>
                  <w:tcW w:w="2104" w:type="dxa"/>
                  <w:vAlign w:val="center"/>
                </w:tcPr>
                <w:p>
                  <w:pPr>
                    <w:snapToGrid w:val="0"/>
                    <w:spacing w:line="240" w:lineRule="auto"/>
                    <w:ind w:firstLine="0" w:firstLineChars="0"/>
                    <w:jc w:val="center"/>
                    <w:rPr>
                      <w:b/>
                      <w:color w:val="000000" w:themeColor="text1"/>
                      <w:sz w:val="21"/>
                      <w:szCs w:val="21"/>
                    </w:rPr>
                  </w:pPr>
                  <w:r>
                    <w:rPr>
                      <w:b/>
                      <w:color w:val="000000" w:themeColor="text1"/>
                      <w:sz w:val="21"/>
                      <w:szCs w:val="21"/>
                    </w:rPr>
                    <w:t>污染物项目</w:t>
                  </w:r>
                </w:p>
              </w:tc>
              <w:tc>
                <w:tcPr>
                  <w:tcW w:w="1638" w:type="dxa"/>
                  <w:vAlign w:val="center"/>
                </w:tcPr>
                <w:p>
                  <w:pPr>
                    <w:snapToGrid w:val="0"/>
                    <w:spacing w:line="240" w:lineRule="auto"/>
                    <w:ind w:firstLine="0" w:firstLineChars="0"/>
                    <w:jc w:val="center"/>
                    <w:rPr>
                      <w:b/>
                      <w:color w:val="000000" w:themeColor="text1"/>
                      <w:sz w:val="21"/>
                      <w:szCs w:val="21"/>
                    </w:rPr>
                  </w:pPr>
                  <w:r>
                    <w:rPr>
                      <w:b/>
                      <w:color w:val="000000" w:themeColor="text1"/>
                      <w:sz w:val="21"/>
                      <w:szCs w:val="21"/>
                    </w:rPr>
                    <w:t>平均时间</w:t>
                  </w:r>
                </w:p>
              </w:tc>
              <w:tc>
                <w:tcPr>
                  <w:tcW w:w="1631" w:type="dxa"/>
                  <w:vAlign w:val="center"/>
                </w:tcPr>
                <w:p>
                  <w:pPr>
                    <w:snapToGrid w:val="0"/>
                    <w:spacing w:line="240" w:lineRule="auto"/>
                    <w:ind w:firstLine="0" w:firstLineChars="0"/>
                    <w:jc w:val="center"/>
                    <w:rPr>
                      <w:b/>
                      <w:color w:val="000000" w:themeColor="text1"/>
                      <w:sz w:val="21"/>
                      <w:szCs w:val="21"/>
                    </w:rPr>
                  </w:pPr>
                  <w:r>
                    <w:rPr>
                      <w:b/>
                      <w:color w:val="000000" w:themeColor="text1"/>
                      <w:sz w:val="21"/>
                      <w:szCs w:val="21"/>
                    </w:rPr>
                    <w:t>浓度限值</w:t>
                  </w:r>
                </w:p>
              </w:tc>
              <w:tc>
                <w:tcPr>
                  <w:tcW w:w="1489" w:type="dxa"/>
                </w:tcPr>
                <w:p>
                  <w:pPr>
                    <w:snapToGrid w:val="0"/>
                    <w:spacing w:line="240" w:lineRule="auto"/>
                    <w:ind w:firstLine="0" w:firstLineChars="0"/>
                    <w:jc w:val="center"/>
                    <w:rPr>
                      <w:b/>
                      <w:color w:val="000000" w:themeColor="text1"/>
                      <w:sz w:val="21"/>
                      <w:szCs w:val="21"/>
                    </w:rPr>
                  </w:pPr>
                  <w:r>
                    <w:rPr>
                      <w:rFonts w:hint="eastAsia"/>
                      <w:b/>
                      <w:color w:val="000000" w:themeColor="text1"/>
                      <w:sz w:val="21"/>
                      <w:szCs w:val="21"/>
                    </w:rPr>
                    <w:t>单位</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restart"/>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1</w:t>
                  </w:r>
                </w:p>
              </w:tc>
              <w:tc>
                <w:tcPr>
                  <w:tcW w:w="2104" w:type="dxa"/>
                  <w:vMerge w:val="restart"/>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二氧化硫（SO</w:t>
                  </w:r>
                  <w:r>
                    <w:rPr>
                      <w:color w:val="000000" w:themeColor="text1"/>
                      <w:sz w:val="21"/>
                      <w:szCs w:val="21"/>
                      <w:vertAlign w:val="subscript"/>
                    </w:rPr>
                    <w:t>2</w:t>
                  </w:r>
                  <w:r>
                    <w:rPr>
                      <w:color w:val="000000" w:themeColor="text1"/>
                      <w:sz w:val="21"/>
                      <w:szCs w:val="21"/>
                    </w:rPr>
                    <w:t>）</w:t>
                  </w:r>
                </w:p>
              </w:tc>
              <w:tc>
                <w:tcPr>
                  <w:tcW w:w="1638"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年平均</w:t>
                  </w:r>
                </w:p>
              </w:tc>
              <w:tc>
                <w:tcPr>
                  <w:tcW w:w="1631"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60</w:t>
                  </w:r>
                </w:p>
              </w:tc>
              <w:tc>
                <w:tcPr>
                  <w:tcW w:w="1489" w:type="dxa"/>
                  <w:vMerge w:val="restart"/>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μg/m</w:t>
                  </w:r>
                  <w:r>
                    <w:rPr>
                      <w:color w:val="000000" w:themeColor="text1"/>
                      <w:sz w:val="21"/>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continue"/>
                  <w:vAlign w:val="center"/>
                </w:tcPr>
                <w:p>
                  <w:pPr>
                    <w:snapToGrid w:val="0"/>
                    <w:spacing w:line="240" w:lineRule="auto"/>
                    <w:ind w:firstLine="0" w:firstLineChars="0"/>
                    <w:jc w:val="center"/>
                    <w:rPr>
                      <w:color w:val="000000" w:themeColor="text1"/>
                      <w:sz w:val="21"/>
                      <w:szCs w:val="21"/>
                    </w:rPr>
                  </w:pPr>
                </w:p>
              </w:tc>
              <w:tc>
                <w:tcPr>
                  <w:tcW w:w="2104" w:type="dxa"/>
                  <w:vMerge w:val="continue"/>
                  <w:vAlign w:val="center"/>
                </w:tcPr>
                <w:p>
                  <w:pPr>
                    <w:snapToGrid w:val="0"/>
                    <w:spacing w:line="240" w:lineRule="auto"/>
                    <w:ind w:firstLine="0" w:firstLineChars="0"/>
                    <w:jc w:val="center"/>
                    <w:rPr>
                      <w:color w:val="000000" w:themeColor="text1"/>
                      <w:sz w:val="21"/>
                      <w:szCs w:val="21"/>
                    </w:rPr>
                  </w:pP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24小时平均</w:t>
                  </w:r>
                </w:p>
              </w:tc>
              <w:tc>
                <w:tcPr>
                  <w:tcW w:w="1631"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150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continue"/>
                  <w:vAlign w:val="center"/>
                </w:tcPr>
                <w:p>
                  <w:pPr>
                    <w:snapToGrid w:val="0"/>
                    <w:spacing w:line="240" w:lineRule="auto"/>
                    <w:ind w:firstLine="0" w:firstLineChars="0"/>
                    <w:jc w:val="center"/>
                    <w:rPr>
                      <w:color w:val="000000" w:themeColor="text1"/>
                      <w:sz w:val="21"/>
                      <w:szCs w:val="21"/>
                    </w:rPr>
                  </w:pPr>
                </w:p>
              </w:tc>
              <w:tc>
                <w:tcPr>
                  <w:tcW w:w="2104" w:type="dxa"/>
                  <w:vMerge w:val="continue"/>
                  <w:vAlign w:val="center"/>
                </w:tcPr>
                <w:p>
                  <w:pPr>
                    <w:snapToGrid w:val="0"/>
                    <w:spacing w:line="240" w:lineRule="auto"/>
                    <w:ind w:firstLine="0" w:firstLineChars="0"/>
                    <w:jc w:val="center"/>
                    <w:rPr>
                      <w:color w:val="000000" w:themeColor="text1"/>
                      <w:sz w:val="21"/>
                      <w:szCs w:val="21"/>
                    </w:rPr>
                  </w:pP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1小时平均</w:t>
                  </w:r>
                </w:p>
              </w:tc>
              <w:tc>
                <w:tcPr>
                  <w:tcW w:w="1631"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500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2</w:t>
                  </w:r>
                </w:p>
              </w:tc>
              <w:tc>
                <w:tcPr>
                  <w:tcW w:w="2104" w:type="dxa"/>
                  <w:vMerge w:val="restart"/>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二氧</w:t>
                  </w:r>
                  <w:r>
                    <w:rPr>
                      <w:rFonts w:hint="eastAsia"/>
                      <w:color w:val="000000" w:themeColor="text1"/>
                      <w:sz w:val="21"/>
                      <w:szCs w:val="21"/>
                    </w:rPr>
                    <w:t>化氮</w:t>
                  </w:r>
                  <w:r>
                    <w:rPr>
                      <w:color w:val="000000" w:themeColor="text1"/>
                      <w:sz w:val="21"/>
                      <w:szCs w:val="21"/>
                    </w:rPr>
                    <w:t>（</w:t>
                  </w:r>
                  <w:r>
                    <w:rPr>
                      <w:rFonts w:hint="eastAsia"/>
                      <w:color w:val="000000" w:themeColor="text1"/>
                      <w:sz w:val="21"/>
                      <w:szCs w:val="21"/>
                    </w:rPr>
                    <w:t>NO</w:t>
                  </w:r>
                  <w:r>
                    <w:rPr>
                      <w:rFonts w:hint="eastAsia"/>
                      <w:color w:val="000000" w:themeColor="text1"/>
                      <w:sz w:val="21"/>
                      <w:szCs w:val="21"/>
                      <w:vertAlign w:val="subscript"/>
                    </w:rPr>
                    <w:t>2</w:t>
                  </w:r>
                  <w:r>
                    <w:rPr>
                      <w:color w:val="000000" w:themeColor="text1"/>
                      <w:sz w:val="21"/>
                      <w:szCs w:val="21"/>
                    </w:rPr>
                    <w:t>）</w:t>
                  </w: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年平均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40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continue"/>
                  <w:vAlign w:val="center"/>
                </w:tcPr>
                <w:p>
                  <w:pPr>
                    <w:snapToGrid w:val="0"/>
                    <w:spacing w:line="240" w:lineRule="auto"/>
                    <w:ind w:firstLine="0" w:firstLineChars="0"/>
                    <w:jc w:val="center"/>
                    <w:rPr>
                      <w:color w:val="000000" w:themeColor="text1"/>
                      <w:sz w:val="21"/>
                      <w:szCs w:val="21"/>
                    </w:rPr>
                  </w:pPr>
                </w:p>
              </w:tc>
              <w:tc>
                <w:tcPr>
                  <w:tcW w:w="2104" w:type="dxa"/>
                  <w:vMerge w:val="continue"/>
                  <w:vAlign w:val="center"/>
                </w:tcPr>
                <w:p>
                  <w:pPr>
                    <w:snapToGrid w:val="0"/>
                    <w:spacing w:line="240" w:lineRule="auto"/>
                    <w:ind w:firstLine="0" w:firstLineChars="0"/>
                    <w:jc w:val="center"/>
                    <w:rPr>
                      <w:color w:val="000000" w:themeColor="text1"/>
                      <w:sz w:val="21"/>
                      <w:szCs w:val="21"/>
                    </w:rPr>
                  </w:pP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24小时平均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80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continue"/>
                  <w:vAlign w:val="center"/>
                </w:tcPr>
                <w:p>
                  <w:pPr>
                    <w:snapToGrid w:val="0"/>
                    <w:spacing w:line="240" w:lineRule="auto"/>
                    <w:ind w:firstLine="0" w:firstLineChars="0"/>
                    <w:jc w:val="center"/>
                    <w:rPr>
                      <w:color w:val="000000" w:themeColor="text1"/>
                      <w:sz w:val="21"/>
                      <w:szCs w:val="21"/>
                    </w:rPr>
                  </w:pPr>
                </w:p>
              </w:tc>
              <w:tc>
                <w:tcPr>
                  <w:tcW w:w="2104" w:type="dxa"/>
                  <w:vMerge w:val="continue"/>
                  <w:vAlign w:val="center"/>
                </w:tcPr>
                <w:p>
                  <w:pPr>
                    <w:snapToGrid w:val="0"/>
                    <w:spacing w:line="240" w:lineRule="auto"/>
                    <w:ind w:firstLine="0" w:firstLineChars="0"/>
                    <w:jc w:val="center"/>
                    <w:rPr>
                      <w:color w:val="000000" w:themeColor="text1"/>
                      <w:sz w:val="21"/>
                      <w:szCs w:val="21"/>
                    </w:rPr>
                  </w:pP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1小时平均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200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3</w:t>
                  </w:r>
                </w:p>
              </w:tc>
              <w:tc>
                <w:tcPr>
                  <w:tcW w:w="2104"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总悬浮</w:t>
                  </w:r>
                  <w:r>
                    <w:rPr>
                      <w:color w:val="000000" w:themeColor="text1"/>
                      <w:sz w:val="21"/>
                      <w:szCs w:val="21"/>
                    </w:rPr>
                    <w:t>颗粒物（</w:t>
                  </w:r>
                  <w:r>
                    <w:rPr>
                      <w:rFonts w:hint="eastAsia"/>
                      <w:color w:val="000000" w:themeColor="text1"/>
                      <w:sz w:val="21"/>
                      <w:szCs w:val="21"/>
                    </w:rPr>
                    <w:t>TSP</w:t>
                  </w:r>
                  <w:r>
                    <w:rPr>
                      <w:color w:val="000000" w:themeColor="text1"/>
                      <w:sz w:val="21"/>
                      <w:szCs w:val="21"/>
                    </w:rPr>
                    <w:t>）</w:t>
                  </w: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年平均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200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continue"/>
                  <w:vAlign w:val="center"/>
                </w:tcPr>
                <w:p>
                  <w:pPr>
                    <w:snapToGrid w:val="0"/>
                    <w:spacing w:line="240" w:lineRule="auto"/>
                    <w:ind w:firstLine="0" w:firstLineChars="0"/>
                    <w:jc w:val="center"/>
                    <w:rPr>
                      <w:color w:val="000000" w:themeColor="text1"/>
                      <w:sz w:val="21"/>
                      <w:szCs w:val="21"/>
                    </w:rPr>
                  </w:pPr>
                </w:p>
              </w:tc>
              <w:tc>
                <w:tcPr>
                  <w:tcW w:w="2104" w:type="dxa"/>
                  <w:vMerge w:val="continue"/>
                  <w:vAlign w:val="center"/>
                </w:tcPr>
                <w:p>
                  <w:pPr>
                    <w:snapToGrid w:val="0"/>
                    <w:spacing w:line="240" w:lineRule="auto"/>
                    <w:ind w:firstLine="0" w:firstLineChars="0"/>
                    <w:jc w:val="center"/>
                    <w:rPr>
                      <w:color w:val="000000" w:themeColor="text1"/>
                      <w:sz w:val="21"/>
                      <w:szCs w:val="21"/>
                    </w:rPr>
                  </w:pP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24小时平均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300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36"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4</w:t>
                  </w:r>
                </w:p>
              </w:tc>
              <w:tc>
                <w:tcPr>
                  <w:tcW w:w="2104" w:type="dxa"/>
                  <w:vMerge w:val="restart"/>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颗粒物（</w:t>
                  </w:r>
                  <w:r>
                    <w:rPr>
                      <w:rFonts w:hint="eastAsia"/>
                      <w:color w:val="000000" w:themeColor="text1"/>
                      <w:sz w:val="21"/>
                      <w:szCs w:val="21"/>
                    </w:rPr>
                    <w:t>PM</w:t>
                  </w:r>
                  <w:r>
                    <w:rPr>
                      <w:rFonts w:hint="eastAsia"/>
                      <w:color w:val="000000" w:themeColor="text1"/>
                      <w:sz w:val="21"/>
                      <w:szCs w:val="21"/>
                      <w:vertAlign w:val="subscript"/>
                    </w:rPr>
                    <w:t>2.5</w:t>
                  </w:r>
                  <w:r>
                    <w:rPr>
                      <w:color w:val="000000" w:themeColor="text1"/>
                      <w:sz w:val="21"/>
                      <w:szCs w:val="21"/>
                    </w:rPr>
                    <w:t>）</w:t>
                  </w: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年平均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35</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continue"/>
                  <w:vAlign w:val="center"/>
                </w:tcPr>
                <w:p>
                  <w:pPr>
                    <w:snapToGrid w:val="0"/>
                    <w:spacing w:line="240" w:lineRule="auto"/>
                    <w:ind w:firstLine="0" w:firstLineChars="0"/>
                    <w:jc w:val="center"/>
                    <w:rPr>
                      <w:color w:val="000000" w:themeColor="text1"/>
                      <w:sz w:val="21"/>
                      <w:szCs w:val="21"/>
                    </w:rPr>
                  </w:pPr>
                </w:p>
              </w:tc>
              <w:tc>
                <w:tcPr>
                  <w:tcW w:w="2104" w:type="dxa"/>
                  <w:vMerge w:val="continue"/>
                  <w:vAlign w:val="center"/>
                </w:tcPr>
                <w:p>
                  <w:pPr>
                    <w:snapToGrid w:val="0"/>
                    <w:spacing w:line="240" w:lineRule="auto"/>
                    <w:ind w:firstLine="0" w:firstLineChars="0"/>
                    <w:jc w:val="center"/>
                    <w:rPr>
                      <w:color w:val="000000" w:themeColor="text1"/>
                      <w:sz w:val="21"/>
                      <w:szCs w:val="21"/>
                    </w:rPr>
                  </w:pP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24小时平均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75</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5</w:t>
                  </w:r>
                </w:p>
              </w:tc>
              <w:tc>
                <w:tcPr>
                  <w:tcW w:w="2104" w:type="dxa"/>
                  <w:vMerge w:val="restart"/>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颗粒物（</w:t>
                  </w:r>
                  <w:r>
                    <w:rPr>
                      <w:rFonts w:hint="eastAsia"/>
                      <w:color w:val="000000" w:themeColor="text1"/>
                      <w:sz w:val="21"/>
                      <w:szCs w:val="21"/>
                    </w:rPr>
                    <w:t>PM</w:t>
                  </w:r>
                  <w:r>
                    <w:rPr>
                      <w:color w:val="000000" w:themeColor="text1"/>
                      <w:sz w:val="21"/>
                      <w:szCs w:val="21"/>
                      <w:vertAlign w:val="subscript"/>
                    </w:rPr>
                    <w:t>10</w:t>
                  </w:r>
                  <w:r>
                    <w:rPr>
                      <w:color w:val="000000" w:themeColor="text1"/>
                      <w:sz w:val="21"/>
                      <w:szCs w:val="21"/>
                    </w:rPr>
                    <w:t>）</w:t>
                  </w: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年平均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70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continue"/>
                  <w:vAlign w:val="center"/>
                </w:tcPr>
                <w:p>
                  <w:pPr>
                    <w:snapToGrid w:val="0"/>
                    <w:spacing w:line="240" w:lineRule="auto"/>
                    <w:ind w:firstLine="0" w:firstLineChars="0"/>
                    <w:jc w:val="center"/>
                    <w:rPr>
                      <w:color w:val="000000" w:themeColor="text1"/>
                      <w:sz w:val="21"/>
                      <w:szCs w:val="21"/>
                    </w:rPr>
                  </w:pPr>
                </w:p>
              </w:tc>
              <w:tc>
                <w:tcPr>
                  <w:tcW w:w="2104" w:type="dxa"/>
                  <w:vMerge w:val="continue"/>
                  <w:vAlign w:val="center"/>
                </w:tcPr>
                <w:p>
                  <w:pPr>
                    <w:snapToGrid w:val="0"/>
                    <w:spacing w:line="240" w:lineRule="auto"/>
                    <w:ind w:firstLine="0" w:firstLineChars="0"/>
                    <w:jc w:val="center"/>
                    <w:rPr>
                      <w:color w:val="000000" w:themeColor="text1"/>
                      <w:sz w:val="21"/>
                      <w:szCs w:val="21"/>
                    </w:rPr>
                  </w:pP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24小时平均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15</w:t>
                  </w:r>
                  <w:r>
                    <w:rPr>
                      <w:color w:val="000000" w:themeColor="text1"/>
                      <w:sz w:val="21"/>
                      <w:szCs w:val="21"/>
                    </w:rPr>
                    <w:t>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6</w:t>
                  </w:r>
                </w:p>
              </w:tc>
              <w:tc>
                <w:tcPr>
                  <w:tcW w:w="2104"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一氧化碳（CO）</w:t>
                  </w:r>
                </w:p>
              </w:tc>
              <w:tc>
                <w:tcPr>
                  <w:tcW w:w="1638"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24小时平均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4</w:t>
                  </w:r>
                </w:p>
              </w:tc>
              <w:tc>
                <w:tcPr>
                  <w:tcW w:w="1489"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mg/m</w:t>
                  </w:r>
                  <w:r>
                    <w:rPr>
                      <w:rFonts w:hint="eastAsia"/>
                      <w:color w:val="000000" w:themeColor="text1"/>
                      <w:sz w:val="21"/>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continue"/>
                  <w:vAlign w:val="center"/>
                </w:tcPr>
                <w:p>
                  <w:pPr>
                    <w:snapToGrid w:val="0"/>
                    <w:spacing w:line="240" w:lineRule="auto"/>
                    <w:ind w:firstLine="0" w:firstLineChars="0"/>
                    <w:jc w:val="center"/>
                    <w:rPr>
                      <w:color w:val="000000" w:themeColor="text1"/>
                      <w:sz w:val="21"/>
                      <w:szCs w:val="21"/>
                    </w:rPr>
                  </w:pPr>
                </w:p>
              </w:tc>
              <w:tc>
                <w:tcPr>
                  <w:tcW w:w="2104" w:type="dxa"/>
                  <w:vMerge w:val="continue"/>
                  <w:vAlign w:val="center"/>
                </w:tcPr>
                <w:p>
                  <w:pPr>
                    <w:snapToGrid w:val="0"/>
                    <w:spacing w:line="240" w:lineRule="auto"/>
                    <w:ind w:firstLine="0" w:firstLineChars="0"/>
                    <w:jc w:val="center"/>
                    <w:rPr>
                      <w:color w:val="000000" w:themeColor="text1"/>
                      <w:sz w:val="21"/>
                      <w:szCs w:val="21"/>
                    </w:rPr>
                  </w:pP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1小时平均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10</w:t>
                  </w:r>
                </w:p>
              </w:tc>
              <w:tc>
                <w:tcPr>
                  <w:tcW w:w="1489" w:type="dxa"/>
                  <w:vMerge w:val="continue"/>
                  <w:vAlign w:val="center"/>
                </w:tcPr>
                <w:p>
                  <w:pPr>
                    <w:snapToGrid w:val="0"/>
                    <w:spacing w:line="240" w:lineRule="auto"/>
                    <w:ind w:firstLine="0" w:firstLineChars="0"/>
                    <w:jc w:val="center"/>
                    <w:rPr>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6"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7</w:t>
                  </w:r>
                </w:p>
              </w:tc>
              <w:tc>
                <w:tcPr>
                  <w:tcW w:w="2104" w:type="dxa"/>
                  <w:vMerge w:val="restart"/>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臭氧（O</w:t>
                  </w:r>
                  <w:r>
                    <w:rPr>
                      <w:rFonts w:hint="eastAsia"/>
                      <w:color w:val="000000" w:themeColor="text1"/>
                      <w:sz w:val="21"/>
                      <w:szCs w:val="21"/>
                      <w:vertAlign w:val="subscript"/>
                    </w:rPr>
                    <w:t>3</w:t>
                  </w:r>
                  <w:r>
                    <w:rPr>
                      <w:rFonts w:hint="eastAsia"/>
                      <w:color w:val="000000" w:themeColor="text1"/>
                      <w:sz w:val="21"/>
                      <w:szCs w:val="21"/>
                    </w:rPr>
                    <w:t>）</w:t>
                  </w:r>
                </w:p>
              </w:tc>
              <w:tc>
                <w:tcPr>
                  <w:tcW w:w="1638"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24小时平均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160（日最大8h平均）</w:t>
                  </w:r>
                </w:p>
              </w:tc>
              <w:tc>
                <w:tcPr>
                  <w:tcW w:w="1489" w:type="dxa"/>
                  <w:vMerge w:val="restart"/>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μg/m</w:t>
                  </w:r>
                  <w:r>
                    <w:rPr>
                      <w:color w:val="000000" w:themeColor="text1"/>
                      <w:sz w:val="21"/>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36" w:type="dxa"/>
                  <w:vMerge w:val="continue"/>
                  <w:vAlign w:val="center"/>
                </w:tcPr>
                <w:p>
                  <w:pPr>
                    <w:snapToGrid w:val="0"/>
                    <w:spacing w:line="240" w:lineRule="auto"/>
                    <w:ind w:firstLine="0" w:firstLineChars="0"/>
                    <w:jc w:val="center"/>
                    <w:rPr>
                      <w:color w:val="000000" w:themeColor="text1"/>
                      <w:sz w:val="21"/>
                      <w:szCs w:val="21"/>
                    </w:rPr>
                  </w:pPr>
                </w:p>
              </w:tc>
              <w:tc>
                <w:tcPr>
                  <w:tcW w:w="2104" w:type="dxa"/>
                  <w:vMerge w:val="continue"/>
                  <w:vAlign w:val="center"/>
                </w:tcPr>
                <w:p>
                  <w:pPr>
                    <w:snapToGrid w:val="0"/>
                    <w:spacing w:line="240" w:lineRule="auto"/>
                    <w:ind w:firstLine="0" w:firstLineChars="0"/>
                    <w:jc w:val="center"/>
                    <w:rPr>
                      <w:color w:val="000000" w:themeColor="text1"/>
                      <w:sz w:val="21"/>
                      <w:szCs w:val="21"/>
                    </w:rPr>
                  </w:pPr>
                </w:p>
              </w:tc>
              <w:tc>
                <w:tcPr>
                  <w:tcW w:w="1638" w:type="dxa"/>
                  <w:vAlign w:val="center"/>
                </w:tcPr>
                <w:p>
                  <w:pPr>
                    <w:snapToGrid w:val="0"/>
                    <w:spacing w:line="240" w:lineRule="auto"/>
                    <w:ind w:firstLine="0" w:firstLineChars="0"/>
                    <w:jc w:val="center"/>
                    <w:rPr>
                      <w:color w:val="000000" w:themeColor="text1"/>
                      <w:sz w:val="21"/>
                      <w:szCs w:val="21"/>
                    </w:rPr>
                  </w:pPr>
                  <w:r>
                    <w:rPr>
                      <w:color w:val="000000" w:themeColor="text1"/>
                      <w:sz w:val="21"/>
                      <w:szCs w:val="21"/>
                    </w:rPr>
                    <w:t>1小时平均</w:t>
                  </w:r>
                </w:p>
              </w:tc>
              <w:tc>
                <w:tcPr>
                  <w:tcW w:w="1631" w:type="dxa"/>
                  <w:vAlign w:val="center"/>
                </w:tcPr>
                <w:p>
                  <w:pPr>
                    <w:snapToGrid w:val="0"/>
                    <w:spacing w:line="240" w:lineRule="auto"/>
                    <w:ind w:firstLine="0" w:firstLineChars="0"/>
                    <w:jc w:val="center"/>
                    <w:rPr>
                      <w:color w:val="000000" w:themeColor="text1"/>
                      <w:sz w:val="21"/>
                      <w:szCs w:val="21"/>
                    </w:rPr>
                  </w:pPr>
                  <w:r>
                    <w:rPr>
                      <w:rFonts w:hint="eastAsia"/>
                      <w:color w:val="000000" w:themeColor="text1"/>
                      <w:sz w:val="21"/>
                      <w:szCs w:val="21"/>
                    </w:rPr>
                    <w:t>200</w:t>
                  </w:r>
                </w:p>
              </w:tc>
              <w:tc>
                <w:tcPr>
                  <w:tcW w:w="1489" w:type="dxa"/>
                  <w:vMerge w:val="continue"/>
                </w:tcPr>
                <w:p>
                  <w:pPr>
                    <w:snapToGrid w:val="0"/>
                    <w:spacing w:line="240" w:lineRule="auto"/>
                    <w:ind w:firstLine="0" w:firstLineChars="0"/>
                    <w:jc w:val="center"/>
                    <w:rPr>
                      <w:color w:val="000000" w:themeColor="text1"/>
                      <w:sz w:val="21"/>
                      <w:szCs w:val="21"/>
                    </w:rPr>
                  </w:pPr>
                </w:p>
              </w:tc>
            </w:tr>
          </w:tbl>
          <w:p>
            <w:pPr>
              <w:adjustRightInd w:val="0"/>
              <w:snapToGrid w:val="0"/>
              <w:spacing w:before="156" w:beforeLines="50"/>
              <w:ind w:firstLine="482"/>
              <w:rPr>
                <w:b/>
                <w:color w:val="000000" w:themeColor="text1"/>
              </w:rPr>
            </w:pPr>
            <w:r>
              <w:rPr>
                <w:b/>
                <w:color w:val="000000" w:themeColor="text1"/>
              </w:rPr>
              <w:t>二、</w:t>
            </w:r>
            <w:r>
              <w:rPr>
                <w:rFonts w:hint="eastAsia"/>
                <w:b/>
                <w:color w:val="000000" w:themeColor="text1"/>
              </w:rPr>
              <w:t>地表</w:t>
            </w:r>
            <w:r>
              <w:rPr>
                <w:b/>
                <w:color w:val="000000" w:themeColor="text1"/>
              </w:rPr>
              <w:t>水环境质量标准</w:t>
            </w:r>
          </w:p>
          <w:p>
            <w:pPr>
              <w:adjustRightInd w:val="0"/>
              <w:snapToGrid w:val="0"/>
              <w:ind w:firstLine="480"/>
              <w:rPr>
                <w:color w:val="000000" w:themeColor="text1"/>
              </w:rPr>
            </w:pPr>
            <w:r>
              <w:rPr>
                <w:rFonts w:hint="eastAsia"/>
                <w:color w:val="000000" w:themeColor="text1"/>
              </w:rPr>
              <w:t>项目周边3km范围内无常年地表河流，经调查，距离项目最近</w:t>
            </w:r>
            <w:r>
              <w:rPr>
                <w:color w:val="000000" w:themeColor="text1"/>
              </w:rPr>
              <w:t>的地表水系</w:t>
            </w:r>
            <w:r>
              <w:rPr>
                <w:rFonts w:hint="eastAsia"/>
                <w:color w:val="000000" w:themeColor="text1"/>
              </w:rPr>
              <w:t>为南盘江，位于</w:t>
            </w:r>
            <w:r>
              <w:rPr>
                <w:color w:val="000000" w:themeColor="text1"/>
              </w:rPr>
              <w:t>项目</w:t>
            </w:r>
            <w:r>
              <w:rPr>
                <w:rFonts w:hint="eastAsia"/>
                <w:color w:val="000000" w:themeColor="text1"/>
              </w:rPr>
              <w:t>西侧5.7km处</w:t>
            </w:r>
            <w:r>
              <w:rPr>
                <w:color w:val="000000" w:themeColor="text1"/>
              </w:rPr>
              <w:t>，</w:t>
            </w:r>
            <w:r>
              <w:rPr>
                <w:rFonts w:hint="eastAsia"/>
                <w:color w:val="000000" w:themeColor="text1"/>
              </w:rPr>
              <w:t>属珠江流域。</w:t>
            </w:r>
          </w:p>
          <w:p>
            <w:pPr>
              <w:widowControl/>
              <w:ind w:firstLine="480"/>
              <w:jc w:val="left"/>
              <w:rPr>
                <w:color w:val="000000" w:themeColor="text1"/>
              </w:rPr>
            </w:pPr>
            <w:r>
              <w:rPr>
                <w:rFonts w:hint="eastAsia"/>
                <w:color w:val="000000" w:themeColor="text1"/>
              </w:rPr>
              <w:t>根</w:t>
            </w:r>
            <w:r>
              <w:rPr>
                <w:rFonts w:hint="default" w:ascii="Times New Roman" w:hAnsi="Times New Roman" w:cs="Times New Roman"/>
                <w:color w:val="000000" w:themeColor="text1"/>
              </w:rPr>
              <w:t>据《云南省地表水水环境功能区划（2010-2020年）》，南盘江“</w:t>
            </w:r>
            <w:r>
              <w:rPr>
                <w:rFonts w:hint="default" w:ascii="Times New Roman" w:hAnsi="Times New Roman" w:cs="Times New Roman"/>
                <w:color w:val="000000"/>
                <w:kern w:val="0"/>
              </w:rPr>
              <w:t>柴石滩水库出口-狗街</w:t>
            </w:r>
            <w:r>
              <w:rPr>
                <w:rFonts w:hint="default" w:ascii="Times New Roman" w:hAnsi="Times New Roman" w:cs="Times New Roman"/>
                <w:color w:val="000000" w:themeColor="text1"/>
              </w:rPr>
              <w:t>”</w:t>
            </w:r>
            <w:r>
              <w:rPr>
                <w:rFonts w:hint="default" w:ascii="Times New Roman" w:hAnsi="Times New Roman" w:cs="Times New Roman"/>
                <w:color w:val="000000"/>
                <w:kern w:val="0"/>
              </w:rPr>
              <w:t>主要功能为工业用水、农业用水，水体</w:t>
            </w:r>
            <w:r>
              <w:rPr>
                <w:rFonts w:hint="default" w:ascii="Times New Roman" w:hAnsi="Times New Roman" w:cs="Times New Roman"/>
                <w:color w:val="000000" w:themeColor="text1"/>
              </w:rPr>
              <w:t>水质保护目标为《地表水环境质量标准》（GB3838-2002）</w:t>
            </w:r>
            <w:r>
              <w:rPr>
                <w:rFonts w:hint="default" w:ascii="Times New Roman" w:hAnsi="Times New Roman" w:cs="Times New Roman"/>
                <w:color w:val="000000"/>
                <w:kern w:val="0"/>
              </w:rPr>
              <w:t>属Ⅳ类标准</w:t>
            </w:r>
            <w:r>
              <w:rPr>
                <w:rFonts w:hint="default" w:ascii="Times New Roman" w:hAnsi="Times New Roman" w:cs="Times New Roman"/>
                <w:color w:val="000000" w:themeColor="text1"/>
                <w:kern w:val="0"/>
              </w:rPr>
              <w:t>。因此，南盘江水质执行《地表水环境质量标准》（</w:t>
            </w:r>
            <w:r>
              <w:rPr>
                <w:rFonts w:hint="default" w:ascii="Times New Roman" w:hAnsi="Times New Roman" w:eastAsia="TimesNewRomanPSMT" w:cs="Times New Roman"/>
                <w:color w:val="000000" w:themeColor="text1"/>
                <w:kern w:val="0"/>
              </w:rPr>
              <w:t>GB3838-2002</w:t>
            </w:r>
            <w:r>
              <w:rPr>
                <w:rFonts w:hint="default" w:ascii="Times New Roman" w:hAnsi="Times New Roman" w:cs="Times New Roman"/>
                <w:color w:val="000000" w:themeColor="text1"/>
                <w:kern w:val="0"/>
              </w:rPr>
              <w:t>）</w:t>
            </w:r>
            <w:r>
              <w:rPr>
                <w:rFonts w:hint="default" w:ascii="Times New Roman" w:hAnsi="Times New Roman" w:cs="Times New Roman"/>
                <w:color w:val="000000"/>
                <w:kern w:val="0"/>
              </w:rPr>
              <w:t>Ⅳ</w:t>
            </w:r>
            <w:r>
              <w:rPr>
                <w:rFonts w:hint="default" w:ascii="Times New Roman" w:hAnsi="Times New Roman" w:cs="Times New Roman"/>
                <w:color w:val="000000" w:themeColor="text1"/>
                <w:kern w:val="0"/>
              </w:rPr>
              <w:t>类标准。</w:t>
            </w:r>
            <w:r>
              <w:rPr>
                <w:rFonts w:hint="default" w:ascii="Times New Roman" w:hAnsi="Times New Roman" w:cs="Times New Roman"/>
                <w:color w:val="000000" w:themeColor="text1"/>
              </w:rPr>
              <w:t>标准值见表4-2。</w:t>
            </w:r>
          </w:p>
          <w:p>
            <w:pPr>
              <w:adjustRightInd w:val="0"/>
              <w:snapToGrid w:val="0"/>
              <w:ind w:firstLine="482"/>
              <w:jc w:val="center"/>
              <w:rPr>
                <w:b/>
                <w:bCs/>
                <w:color w:val="000000" w:themeColor="text1"/>
                <w:szCs w:val="21"/>
              </w:rPr>
            </w:pPr>
          </w:p>
          <w:p>
            <w:pPr>
              <w:adjustRightInd w:val="0"/>
              <w:snapToGrid w:val="0"/>
              <w:ind w:firstLine="482"/>
              <w:jc w:val="center"/>
              <w:rPr>
                <w:b/>
                <w:bCs/>
                <w:color w:val="000000" w:themeColor="text1"/>
                <w:szCs w:val="21"/>
              </w:rPr>
            </w:pPr>
          </w:p>
          <w:p>
            <w:pPr>
              <w:adjustRightInd w:val="0"/>
              <w:snapToGrid w:val="0"/>
              <w:ind w:firstLine="482"/>
              <w:jc w:val="center"/>
              <w:rPr>
                <w:b/>
                <w:bCs/>
                <w:color w:val="000000" w:themeColor="text1"/>
                <w:szCs w:val="21"/>
              </w:rPr>
            </w:pPr>
            <w:r>
              <w:rPr>
                <w:rFonts w:hint="eastAsia"/>
                <w:b/>
                <w:bCs/>
                <w:color w:val="000000" w:themeColor="text1"/>
                <w:szCs w:val="21"/>
              </w:rPr>
              <w:t>表4-2   地表水环境质量标准    单位：mg/L，pH无量纲</w:t>
            </w:r>
          </w:p>
          <w:tbl>
            <w:tblPr>
              <w:tblStyle w:val="22"/>
              <w:tblW w:w="7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854"/>
              <w:gridCol w:w="1241"/>
              <w:gridCol w:w="1174"/>
              <w:gridCol w:w="1032"/>
              <w:gridCol w:w="94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1171" w:type="dxa"/>
                  <w:shd w:val="clear" w:color="auto" w:fill="auto"/>
                  <w:vAlign w:val="center"/>
                </w:tcPr>
                <w:p>
                  <w:pPr>
                    <w:adjustRightInd w:val="0"/>
                    <w:spacing w:line="240" w:lineRule="auto"/>
                    <w:ind w:firstLine="0" w:firstLineChars="0"/>
                    <w:jc w:val="center"/>
                    <w:rPr>
                      <w:b/>
                      <w:bCs/>
                      <w:color w:val="000000" w:themeColor="text1"/>
                      <w:szCs w:val="21"/>
                    </w:rPr>
                  </w:pPr>
                  <w:r>
                    <w:rPr>
                      <w:b/>
                      <w:bCs/>
                      <w:color w:val="000000" w:themeColor="text1"/>
                      <w:szCs w:val="21"/>
                    </w:rPr>
                    <w:t>项目</w:t>
                  </w:r>
                </w:p>
              </w:tc>
              <w:tc>
                <w:tcPr>
                  <w:tcW w:w="854" w:type="dxa"/>
                  <w:shd w:val="clear" w:color="auto" w:fill="auto"/>
                  <w:vAlign w:val="center"/>
                </w:tcPr>
                <w:p>
                  <w:pPr>
                    <w:adjustRightInd w:val="0"/>
                    <w:spacing w:line="240" w:lineRule="auto"/>
                    <w:ind w:firstLine="0" w:firstLineChars="0"/>
                    <w:jc w:val="center"/>
                    <w:rPr>
                      <w:b/>
                      <w:bCs/>
                      <w:color w:val="000000" w:themeColor="text1"/>
                      <w:szCs w:val="21"/>
                    </w:rPr>
                  </w:pPr>
                  <w:r>
                    <w:rPr>
                      <w:b/>
                      <w:bCs/>
                      <w:color w:val="000000" w:themeColor="text1"/>
                      <w:szCs w:val="21"/>
                    </w:rPr>
                    <w:t>pH</w:t>
                  </w:r>
                </w:p>
              </w:tc>
              <w:tc>
                <w:tcPr>
                  <w:tcW w:w="1241" w:type="dxa"/>
                  <w:shd w:val="clear" w:color="auto" w:fill="auto"/>
                  <w:vAlign w:val="center"/>
                </w:tcPr>
                <w:p>
                  <w:pPr>
                    <w:adjustRightInd w:val="0"/>
                    <w:spacing w:line="240" w:lineRule="auto"/>
                    <w:ind w:firstLine="0" w:firstLineChars="0"/>
                    <w:jc w:val="center"/>
                    <w:rPr>
                      <w:b/>
                      <w:bCs/>
                      <w:color w:val="000000" w:themeColor="text1"/>
                      <w:szCs w:val="21"/>
                    </w:rPr>
                  </w:pPr>
                  <w:r>
                    <w:rPr>
                      <w:b/>
                      <w:bCs/>
                      <w:color w:val="000000" w:themeColor="text1"/>
                      <w:szCs w:val="21"/>
                    </w:rPr>
                    <w:t>COD</w:t>
                  </w:r>
                  <w:r>
                    <w:rPr>
                      <w:b/>
                      <w:bCs/>
                      <w:color w:val="000000" w:themeColor="text1"/>
                      <w:szCs w:val="21"/>
                      <w:vertAlign w:val="subscript"/>
                    </w:rPr>
                    <w:t>cr</w:t>
                  </w:r>
                </w:p>
              </w:tc>
              <w:tc>
                <w:tcPr>
                  <w:tcW w:w="1174" w:type="dxa"/>
                  <w:shd w:val="clear" w:color="auto" w:fill="auto"/>
                  <w:vAlign w:val="center"/>
                </w:tcPr>
                <w:p>
                  <w:pPr>
                    <w:adjustRightInd w:val="0"/>
                    <w:spacing w:line="240" w:lineRule="auto"/>
                    <w:ind w:firstLine="0" w:firstLineChars="0"/>
                    <w:jc w:val="center"/>
                    <w:rPr>
                      <w:b/>
                      <w:bCs/>
                      <w:color w:val="000000" w:themeColor="text1"/>
                      <w:szCs w:val="21"/>
                    </w:rPr>
                  </w:pPr>
                  <w:r>
                    <w:rPr>
                      <w:b/>
                      <w:bCs/>
                      <w:color w:val="000000" w:themeColor="text1"/>
                      <w:szCs w:val="21"/>
                    </w:rPr>
                    <w:t>BOD</w:t>
                  </w:r>
                  <w:r>
                    <w:rPr>
                      <w:b/>
                      <w:bCs/>
                      <w:color w:val="000000" w:themeColor="text1"/>
                      <w:szCs w:val="21"/>
                      <w:vertAlign w:val="subscript"/>
                    </w:rPr>
                    <w:t>5</w:t>
                  </w:r>
                </w:p>
              </w:tc>
              <w:tc>
                <w:tcPr>
                  <w:tcW w:w="1032" w:type="dxa"/>
                  <w:vAlign w:val="center"/>
                </w:tcPr>
                <w:p>
                  <w:pPr>
                    <w:adjustRightInd w:val="0"/>
                    <w:spacing w:line="240" w:lineRule="auto"/>
                    <w:ind w:firstLine="0" w:firstLineChars="0"/>
                    <w:jc w:val="center"/>
                    <w:rPr>
                      <w:b/>
                      <w:bCs/>
                      <w:color w:val="000000" w:themeColor="text1"/>
                      <w:szCs w:val="21"/>
                    </w:rPr>
                  </w:pPr>
                  <w:r>
                    <w:rPr>
                      <w:b/>
                      <w:bCs/>
                      <w:color w:val="000000" w:themeColor="text1"/>
                      <w:szCs w:val="21"/>
                    </w:rPr>
                    <w:t>氨氮</w:t>
                  </w:r>
                </w:p>
              </w:tc>
              <w:tc>
                <w:tcPr>
                  <w:tcW w:w="946" w:type="dxa"/>
                  <w:shd w:val="clear" w:color="auto" w:fill="auto"/>
                  <w:vAlign w:val="center"/>
                </w:tcPr>
                <w:p>
                  <w:pPr>
                    <w:adjustRightInd w:val="0"/>
                    <w:spacing w:line="240" w:lineRule="auto"/>
                    <w:ind w:firstLine="0" w:firstLineChars="0"/>
                    <w:jc w:val="center"/>
                    <w:rPr>
                      <w:b/>
                      <w:bCs/>
                      <w:color w:val="000000" w:themeColor="text1"/>
                      <w:szCs w:val="21"/>
                    </w:rPr>
                  </w:pPr>
                  <w:r>
                    <w:rPr>
                      <w:b/>
                      <w:bCs/>
                      <w:color w:val="000000" w:themeColor="text1"/>
                      <w:szCs w:val="21"/>
                    </w:rPr>
                    <w:t>总磷</w:t>
                  </w:r>
                </w:p>
              </w:tc>
              <w:tc>
                <w:tcPr>
                  <w:tcW w:w="1179" w:type="dxa"/>
                  <w:vAlign w:val="center"/>
                </w:tcPr>
                <w:p>
                  <w:pPr>
                    <w:adjustRightInd w:val="0"/>
                    <w:spacing w:line="240" w:lineRule="auto"/>
                    <w:ind w:firstLine="0" w:firstLineChars="0"/>
                    <w:jc w:val="center"/>
                    <w:rPr>
                      <w:b/>
                      <w:bCs/>
                      <w:color w:val="000000" w:themeColor="text1"/>
                      <w:szCs w:val="21"/>
                    </w:rPr>
                  </w:pPr>
                  <w:r>
                    <w:rPr>
                      <w:b/>
                      <w:bCs/>
                      <w:color w:val="000000" w:themeColor="text1"/>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1" w:type="dxa"/>
                  <w:shd w:val="clear" w:color="auto" w:fill="auto"/>
                  <w:vAlign w:val="center"/>
                </w:tcPr>
                <w:p>
                  <w:pPr>
                    <w:adjustRightInd w:val="0"/>
                    <w:spacing w:line="240" w:lineRule="auto"/>
                    <w:ind w:firstLine="0" w:firstLineChars="0"/>
                    <w:jc w:val="center"/>
                    <w:rPr>
                      <w:bCs/>
                      <w:color w:val="000000" w:themeColor="text1"/>
                      <w:szCs w:val="21"/>
                    </w:rPr>
                  </w:pPr>
                  <w:r>
                    <w:rPr>
                      <w:bCs/>
                      <w:color w:val="000000" w:themeColor="text1"/>
                      <w:szCs w:val="21"/>
                    </w:rPr>
                    <w:t>标准值</w:t>
                  </w:r>
                </w:p>
              </w:tc>
              <w:tc>
                <w:tcPr>
                  <w:tcW w:w="854" w:type="dxa"/>
                  <w:shd w:val="clear" w:color="auto" w:fill="auto"/>
                  <w:vAlign w:val="center"/>
                </w:tcPr>
                <w:p>
                  <w:pPr>
                    <w:adjustRightInd w:val="0"/>
                    <w:spacing w:line="240" w:lineRule="auto"/>
                    <w:ind w:firstLine="0" w:firstLineChars="0"/>
                    <w:jc w:val="center"/>
                    <w:rPr>
                      <w:bCs/>
                      <w:color w:val="000000" w:themeColor="text1"/>
                      <w:szCs w:val="21"/>
                    </w:rPr>
                  </w:pPr>
                  <w:r>
                    <w:rPr>
                      <w:bCs/>
                      <w:color w:val="000000" w:themeColor="text1"/>
                      <w:szCs w:val="21"/>
                    </w:rPr>
                    <w:t>6-9</w:t>
                  </w:r>
                </w:p>
              </w:tc>
              <w:tc>
                <w:tcPr>
                  <w:tcW w:w="1241" w:type="dxa"/>
                  <w:shd w:val="clear" w:color="auto" w:fill="auto"/>
                  <w:vAlign w:val="center"/>
                </w:tcPr>
                <w:p>
                  <w:pPr>
                    <w:adjustRightInd w:val="0"/>
                    <w:spacing w:line="240" w:lineRule="auto"/>
                    <w:ind w:firstLine="0" w:firstLineChars="0"/>
                    <w:jc w:val="center"/>
                    <w:rPr>
                      <w:bCs/>
                      <w:color w:val="000000" w:themeColor="text1"/>
                      <w:szCs w:val="21"/>
                    </w:rPr>
                  </w:pPr>
                  <w:r>
                    <w:rPr>
                      <w:bCs/>
                      <w:color w:val="000000" w:themeColor="text1"/>
                      <w:szCs w:val="21"/>
                    </w:rPr>
                    <w:t>≤</w:t>
                  </w:r>
                  <w:r>
                    <w:rPr>
                      <w:rFonts w:hint="eastAsia"/>
                      <w:bCs/>
                      <w:color w:val="000000" w:themeColor="text1"/>
                      <w:szCs w:val="21"/>
                    </w:rPr>
                    <w:t>30</w:t>
                  </w:r>
                </w:p>
              </w:tc>
              <w:tc>
                <w:tcPr>
                  <w:tcW w:w="1174" w:type="dxa"/>
                  <w:shd w:val="clear" w:color="auto" w:fill="auto"/>
                  <w:vAlign w:val="center"/>
                </w:tcPr>
                <w:p>
                  <w:pPr>
                    <w:adjustRightInd w:val="0"/>
                    <w:spacing w:line="240" w:lineRule="auto"/>
                    <w:ind w:firstLine="0" w:firstLineChars="0"/>
                    <w:jc w:val="center"/>
                    <w:rPr>
                      <w:bCs/>
                      <w:color w:val="000000" w:themeColor="text1"/>
                      <w:szCs w:val="21"/>
                    </w:rPr>
                  </w:pPr>
                  <w:r>
                    <w:rPr>
                      <w:bCs/>
                      <w:color w:val="000000" w:themeColor="text1"/>
                      <w:szCs w:val="21"/>
                    </w:rPr>
                    <w:t>≤</w:t>
                  </w:r>
                  <w:r>
                    <w:rPr>
                      <w:rFonts w:hint="eastAsia"/>
                      <w:bCs/>
                      <w:color w:val="000000" w:themeColor="text1"/>
                      <w:szCs w:val="21"/>
                    </w:rPr>
                    <w:t>6</w:t>
                  </w:r>
                </w:p>
              </w:tc>
              <w:tc>
                <w:tcPr>
                  <w:tcW w:w="1032" w:type="dxa"/>
                  <w:vAlign w:val="center"/>
                </w:tcPr>
                <w:p>
                  <w:pPr>
                    <w:adjustRightInd w:val="0"/>
                    <w:spacing w:line="240" w:lineRule="auto"/>
                    <w:ind w:firstLine="0" w:firstLineChars="0"/>
                    <w:jc w:val="center"/>
                    <w:rPr>
                      <w:bCs/>
                      <w:color w:val="000000" w:themeColor="text1"/>
                      <w:szCs w:val="21"/>
                    </w:rPr>
                  </w:pPr>
                  <w:r>
                    <w:rPr>
                      <w:bCs/>
                      <w:color w:val="000000" w:themeColor="text1"/>
                      <w:szCs w:val="21"/>
                    </w:rPr>
                    <w:t>≤1.</w:t>
                  </w:r>
                  <w:r>
                    <w:rPr>
                      <w:rFonts w:hint="eastAsia"/>
                      <w:bCs/>
                      <w:color w:val="000000" w:themeColor="text1"/>
                      <w:szCs w:val="21"/>
                    </w:rPr>
                    <w:t>5</w:t>
                  </w:r>
                </w:p>
              </w:tc>
              <w:tc>
                <w:tcPr>
                  <w:tcW w:w="946" w:type="dxa"/>
                  <w:shd w:val="clear" w:color="auto" w:fill="auto"/>
                  <w:vAlign w:val="center"/>
                </w:tcPr>
                <w:p>
                  <w:pPr>
                    <w:adjustRightInd w:val="0"/>
                    <w:spacing w:line="240" w:lineRule="auto"/>
                    <w:ind w:firstLine="0" w:firstLineChars="0"/>
                    <w:jc w:val="center"/>
                    <w:rPr>
                      <w:bCs/>
                      <w:color w:val="000000" w:themeColor="text1"/>
                      <w:szCs w:val="21"/>
                    </w:rPr>
                  </w:pPr>
                  <w:r>
                    <w:rPr>
                      <w:bCs/>
                      <w:color w:val="000000" w:themeColor="text1"/>
                      <w:szCs w:val="21"/>
                    </w:rPr>
                    <w:t>≤0.</w:t>
                  </w:r>
                  <w:r>
                    <w:rPr>
                      <w:rFonts w:hint="eastAsia"/>
                      <w:bCs/>
                      <w:color w:val="000000" w:themeColor="text1"/>
                      <w:szCs w:val="21"/>
                    </w:rPr>
                    <w:t>3</w:t>
                  </w:r>
                </w:p>
              </w:tc>
              <w:tc>
                <w:tcPr>
                  <w:tcW w:w="1179" w:type="dxa"/>
                  <w:vAlign w:val="center"/>
                </w:tcPr>
                <w:p>
                  <w:pPr>
                    <w:adjustRightInd w:val="0"/>
                    <w:spacing w:line="240" w:lineRule="auto"/>
                    <w:ind w:firstLine="0" w:firstLineChars="0"/>
                    <w:jc w:val="center"/>
                    <w:rPr>
                      <w:bCs/>
                      <w:color w:val="000000" w:themeColor="text1"/>
                      <w:szCs w:val="21"/>
                    </w:rPr>
                  </w:pPr>
                  <w:r>
                    <w:rPr>
                      <w:bCs/>
                      <w:color w:val="000000" w:themeColor="text1"/>
                      <w:szCs w:val="21"/>
                    </w:rPr>
                    <w:t>≤0.5</w:t>
                  </w:r>
                </w:p>
              </w:tc>
            </w:tr>
          </w:tbl>
          <w:p>
            <w:pPr>
              <w:adjustRightInd w:val="0"/>
              <w:snapToGrid w:val="0"/>
              <w:spacing w:before="156" w:beforeLines="50"/>
              <w:ind w:firstLine="482"/>
              <w:rPr>
                <w:b/>
                <w:color w:val="000000" w:themeColor="text1"/>
              </w:rPr>
            </w:pPr>
            <w:r>
              <w:rPr>
                <w:rFonts w:hint="eastAsia"/>
                <w:b/>
                <w:color w:val="000000" w:themeColor="text1"/>
              </w:rPr>
              <w:t>三</w:t>
            </w:r>
            <w:r>
              <w:rPr>
                <w:b/>
                <w:color w:val="000000" w:themeColor="text1"/>
              </w:rPr>
              <w:t>、声环境质量标准</w:t>
            </w:r>
          </w:p>
          <w:p>
            <w:pPr>
              <w:adjustRightInd w:val="0"/>
              <w:snapToGrid w:val="0"/>
              <w:ind w:firstLine="480"/>
              <w:rPr>
                <w:color w:val="000000" w:themeColor="text1"/>
              </w:rPr>
            </w:pPr>
            <w:r>
              <w:rPr>
                <w:rFonts w:hint="eastAsia"/>
                <w:color w:val="000000" w:themeColor="text1"/>
              </w:rPr>
              <w:t>项目所在区域属《声环境质量标准》（GB3096-2008）</w:t>
            </w:r>
            <w:r>
              <w:rPr>
                <w:color w:val="000000" w:themeColor="text1"/>
              </w:rPr>
              <w:t>2</w:t>
            </w:r>
            <w:r>
              <w:rPr>
                <w:rFonts w:hint="eastAsia"/>
                <w:color w:val="000000" w:themeColor="text1"/>
              </w:rPr>
              <w:t>类区，执行《声环境质量标准》（GB3096-2008）</w:t>
            </w:r>
            <w:r>
              <w:rPr>
                <w:color w:val="000000" w:themeColor="text1"/>
              </w:rPr>
              <w:t>2</w:t>
            </w:r>
            <w:r>
              <w:rPr>
                <w:rFonts w:hint="eastAsia"/>
                <w:color w:val="000000" w:themeColor="text1"/>
              </w:rPr>
              <w:t>类标准。标准值见表4-3。</w:t>
            </w:r>
          </w:p>
          <w:p>
            <w:pPr>
              <w:adjustRightInd w:val="0"/>
              <w:snapToGrid w:val="0"/>
              <w:ind w:firstLine="482"/>
              <w:jc w:val="center"/>
              <w:rPr>
                <w:b/>
                <w:color w:val="000000" w:themeColor="text1"/>
                <w:szCs w:val="21"/>
              </w:rPr>
            </w:pPr>
            <w:r>
              <w:rPr>
                <w:b/>
                <w:color w:val="000000" w:themeColor="text1"/>
                <w:szCs w:val="21"/>
              </w:rPr>
              <w:t>表</w:t>
            </w:r>
            <w:r>
              <w:rPr>
                <w:rFonts w:hint="eastAsia"/>
                <w:b/>
                <w:color w:val="000000" w:themeColor="text1"/>
                <w:szCs w:val="21"/>
              </w:rPr>
              <w:t>4-3</w:t>
            </w:r>
            <w:r>
              <w:rPr>
                <w:b/>
                <w:color w:val="000000" w:themeColor="text1"/>
                <w:szCs w:val="21"/>
              </w:rPr>
              <w:t xml:space="preserve"> </w:t>
            </w:r>
            <w:r>
              <w:rPr>
                <w:rFonts w:hint="eastAsia"/>
                <w:b/>
                <w:color w:val="000000" w:themeColor="text1"/>
                <w:szCs w:val="21"/>
              </w:rPr>
              <w:t xml:space="preserve">  声环境质量标准     </w:t>
            </w:r>
            <w:r>
              <w:rPr>
                <w:b/>
                <w:color w:val="000000" w:themeColor="text1"/>
                <w:szCs w:val="21"/>
              </w:rPr>
              <w:t>单位：dB（A）</w:t>
            </w:r>
          </w:p>
          <w:tbl>
            <w:tblPr>
              <w:tblStyle w:val="22"/>
              <w:tblW w:w="7399"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580"/>
              <w:gridCol w:w="243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89" w:type="dxa"/>
                  <w:vMerge w:val="restart"/>
                  <w:vAlign w:val="center"/>
                </w:tcPr>
                <w:p>
                  <w:pPr>
                    <w:adjustRightInd w:val="0"/>
                    <w:snapToGrid w:val="0"/>
                    <w:spacing w:line="240" w:lineRule="auto"/>
                    <w:ind w:firstLine="0" w:firstLineChars="0"/>
                    <w:jc w:val="center"/>
                    <w:rPr>
                      <w:b/>
                      <w:color w:val="000000" w:themeColor="text1"/>
                      <w:szCs w:val="21"/>
                    </w:rPr>
                  </w:pPr>
                  <w:r>
                    <w:rPr>
                      <w:rFonts w:hint="eastAsia"/>
                      <w:b/>
                      <w:color w:val="000000" w:themeColor="text1"/>
                      <w:szCs w:val="21"/>
                    </w:rPr>
                    <w:t>类别</w:t>
                  </w:r>
                </w:p>
              </w:tc>
              <w:tc>
                <w:tcPr>
                  <w:tcW w:w="5010" w:type="dxa"/>
                  <w:gridSpan w:val="2"/>
                  <w:vAlign w:val="center"/>
                </w:tcPr>
                <w:p>
                  <w:pPr>
                    <w:adjustRightInd w:val="0"/>
                    <w:snapToGrid w:val="0"/>
                    <w:spacing w:line="240" w:lineRule="auto"/>
                    <w:ind w:firstLine="0" w:firstLineChars="0"/>
                    <w:jc w:val="center"/>
                    <w:rPr>
                      <w:b/>
                      <w:color w:val="000000" w:themeColor="text1"/>
                      <w:szCs w:val="21"/>
                    </w:rPr>
                  </w:pPr>
                  <w:r>
                    <w:rPr>
                      <w:rFonts w:hint="eastAsia"/>
                      <w:b/>
                      <w:color w:val="000000" w:themeColor="text1"/>
                      <w:szCs w:val="21"/>
                    </w:rPr>
                    <w:t>标准值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89" w:type="dxa"/>
                  <w:vMerge w:val="continue"/>
                  <w:vAlign w:val="center"/>
                </w:tcPr>
                <w:p>
                  <w:pPr>
                    <w:adjustRightInd w:val="0"/>
                    <w:snapToGrid w:val="0"/>
                    <w:spacing w:line="240" w:lineRule="auto"/>
                    <w:ind w:firstLine="0" w:firstLineChars="0"/>
                    <w:jc w:val="center"/>
                    <w:rPr>
                      <w:b/>
                      <w:color w:val="000000" w:themeColor="text1"/>
                      <w:szCs w:val="21"/>
                    </w:rPr>
                  </w:pPr>
                </w:p>
              </w:tc>
              <w:tc>
                <w:tcPr>
                  <w:tcW w:w="2580" w:type="dxa"/>
                  <w:vAlign w:val="center"/>
                </w:tcPr>
                <w:p>
                  <w:pPr>
                    <w:adjustRightInd w:val="0"/>
                    <w:snapToGrid w:val="0"/>
                    <w:spacing w:line="240" w:lineRule="auto"/>
                    <w:ind w:firstLine="0" w:firstLineChars="0"/>
                    <w:jc w:val="center"/>
                    <w:rPr>
                      <w:b/>
                      <w:color w:val="000000" w:themeColor="text1"/>
                      <w:szCs w:val="21"/>
                    </w:rPr>
                  </w:pPr>
                  <w:r>
                    <w:rPr>
                      <w:b/>
                      <w:color w:val="000000" w:themeColor="text1"/>
                      <w:szCs w:val="21"/>
                    </w:rPr>
                    <w:t>昼间</w:t>
                  </w:r>
                </w:p>
              </w:tc>
              <w:tc>
                <w:tcPr>
                  <w:tcW w:w="2430" w:type="dxa"/>
                  <w:vAlign w:val="center"/>
                </w:tcPr>
                <w:p>
                  <w:pPr>
                    <w:adjustRightInd w:val="0"/>
                    <w:snapToGrid w:val="0"/>
                    <w:spacing w:line="240" w:lineRule="auto"/>
                    <w:ind w:firstLine="0" w:firstLineChars="0"/>
                    <w:jc w:val="center"/>
                    <w:rPr>
                      <w:b/>
                      <w:color w:val="000000" w:themeColor="text1"/>
                      <w:szCs w:val="21"/>
                    </w:rPr>
                  </w:pPr>
                  <w:r>
                    <w:rPr>
                      <w:b/>
                      <w:color w:val="000000" w:themeColor="text1"/>
                      <w:szCs w:val="21"/>
                    </w:rPr>
                    <w:t>夜间</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89" w:type="dxa"/>
                  <w:vAlign w:val="center"/>
                </w:tcPr>
                <w:p>
                  <w:pPr>
                    <w:adjustRightInd w:val="0"/>
                    <w:snapToGrid w:val="0"/>
                    <w:spacing w:line="240" w:lineRule="auto"/>
                    <w:ind w:firstLine="0" w:firstLineChars="0"/>
                    <w:jc w:val="center"/>
                    <w:rPr>
                      <w:color w:val="000000" w:themeColor="text1"/>
                      <w:szCs w:val="21"/>
                    </w:rPr>
                  </w:pPr>
                  <w:r>
                    <w:rPr>
                      <w:rFonts w:hint="eastAsia"/>
                      <w:color w:val="000000" w:themeColor="text1"/>
                      <w:szCs w:val="21"/>
                    </w:rPr>
                    <w:t>2类</w:t>
                  </w:r>
                </w:p>
              </w:tc>
              <w:tc>
                <w:tcPr>
                  <w:tcW w:w="2580" w:type="dxa"/>
                  <w:vAlign w:val="center"/>
                </w:tcPr>
                <w:p>
                  <w:pPr>
                    <w:adjustRightInd w:val="0"/>
                    <w:snapToGrid w:val="0"/>
                    <w:spacing w:line="240" w:lineRule="auto"/>
                    <w:ind w:firstLine="0" w:firstLineChars="0"/>
                    <w:jc w:val="center"/>
                    <w:rPr>
                      <w:color w:val="000000" w:themeColor="text1"/>
                      <w:szCs w:val="21"/>
                    </w:rPr>
                  </w:pPr>
                  <w:r>
                    <w:rPr>
                      <w:rFonts w:hint="eastAsia"/>
                      <w:color w:val="000000" w:themeColor="text1"/>
                      <w:szCs w:val="21"/>
                    </w:rPr>
                    <w:t>60</w:t>
                  </w:r>
                </w:p>
              </w:tc>
              <w:tc>
                <w:tcPr>
                  <w:tcW w:w="2430" w:type="dxa"/>
                  <w:vAlign w:val="center"/>
                </w:tcPr>
                <w:p>
                  <w:pPr>
                    <w:adjustRightInd w:val="0"/>
                    <w:snapToGrid w:val="0"/>
                    <w:spacing w:line="240" w:lineRule="auto"/>
                    <w:ind w:firstLine="0" w:firstLineChars="0"/>
                    <w:jc w:val="center"/>
                    <w:rPr>
                      <w:color w:val="000000" w:themeColor="text1"/>
                      <w:szCs w:val="21"/>
                    </w:rPr>
                  </w:pPr>
                  <w:r>
                    <w:rPr>
                      <w:rFonts w:hint="eastAsia"/>
                      <w:color w:val="000000" w:themeColor="text1"/>
                      <w:szCs w:val="21"/>
                    </w:rPr>
                    <w:t>50</w:t>
                  </w:r>
                </w:p>
              </w:tc>
            </w:tr>
          </w:tbl>
          <w:p>
            <w:pPr>
              <w:pStyle w:val="3"/>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1" w:hRule="atLeast"/>
        </w:trPr>
        <w:tc>
          <w:tcPr>
            <w:tcW w:w="586" w:type="dxa"/>
            <w:vAlign w:val="center"/>
          </w:tcPr>
          <w:p>
            <w:pPr>
              <w:pStyle w:val="3"/>
              <w:spacing w:line="240" w:lineRule="auto"/>
              <w:ind w:firstLine="0" w:firstLineChars="0"/>
              <w:jc w:val="center"/>
              <w:rPr>
                <w:rFonts w:eastAsiaTheme="minorEastAsia"/>
                <w:color w:val="000000" w:themeColor="text1"/>
                <w:szCs w:val="24"/>
              </w:rPr>
            </w:pPr>
            <w:r>
              <w:rPr>
                <w:rFonts w:eastAsiaTheme="minorEastAsia"/>
                <w:color w:val="000000" w:themeColor="text1"/>
                <w:szCs w:val="24"/>
              </w:rPr>
              <w:t>污染物排放标准</w:t>
            </w:r>
          </w:p>
        </w:tc>
        <w:tc>
          <w:tcPr>
            <w:tcW w:w="7936" w:type="dxa"/>
          </w:tcPr>
          <w:p>
            <w:pPr>
              <w:pStyle w:val="29"/>
              <w:adjustRightInd w:val="0"/>
              <w:ind w:firstLine="482"/>
              <w:rPr>
                <w:b/>
                <w:color w:val="000000" w:themeColor="text1"/>
                <w:szCs w:val="24"/>
              </w:rPr>
            </w:pPr>
            <w:r>
              <w:rPr>
                <w:b/>
                <w:color w:val="000000" w:themeColor="text1"/>
                <w:szCs w:val="24"/>
              </w:rPr>
              <w:t>一、</w:t>
            </w:r>
            <w:r>
              <w:rPr>
                <w:rFonts w:hint="eastAsia"/>
                <w:b/>
                <w:color w:val="000000" w:themeColor="text1"/>
                <w:szCs w:val="24"/>
              </w:rPr>
              <w:t>废气</w:t>
            </w:r>
          </w:p>
          <w:p>
            <w:pPr>
              <w:adjustRightInd w:val="0"/>
              <w:snapToGrid w:val="0"/>
              <w:ind w:firstLine="480"/>
              <w:rPr>
                <w:color w:val="000000" w:themeColor="text1"/>
              </w:rPr>
            </w:pPr>
            <w:r>
              <w:rPr>
                <w:rFonts w:hint="eastAsia"/>
                <w:color w:val="000000" w:themeColor="text1"/>
              </w:rPr>
              <w:t>项目施工期、运营期产生的无组织粉尘执行</w:t>
            </w:r>
            <w:r>
              <w:rPr>
                <w:color w:val="000000" w:themeColor="text1"/>
              </w:rPr>
              <w:t>GB16297-1996《大气污染物综合排放标准》表2中</w:t>
            </w:r>
            <w:r>
              <w:rPr>
                <w:rFonts w:hint="eastAsia"/>
                <w:color w:val="000000" w:themeColor="text1"/>
              </w:rPr>
              <w:t>无组织排放监控浓度限值</w:t>
            </w:r>
            <w:r>
              <w:rPr>
                <w:color w:val="000000" w:themeColor="text1"/>
              </w:rPr>
              <w:t>，</w:t>
            </w:r>
            <w:r>
              <w:rPr>
                <w:rFonts w:hint="eastAsia"/>
                <w:color w:val="000000" w:themeColor="text1"/>
              </w:rPr>
              <w:t>有组织粉尘执行</w:t>
            </w:r>
            <w:r>
              <w:rPr>
                <w:color w:val="000000" w:themeColor="text1"/>
              </w:rPr>
              <w:t>GB16297-1996《大气污染物综合排放标准》表2中</w:t>
            </w:r>
            <w:r>
              <w:rPr>
                <w:rFonts w:hint="eastAsia"/>
                <w:color w:val="000000" w:themeColor="text1"/>
              </w:rPr>
              <w:t>有组织排放监控浓度限值</w:t>
            </w:r>
            <w:r>
              <w:rPr>
                <w:color w:val="000000" w:themeColor="text1"/>
              </w:rPr>
              <w:t>标准值见表</w:t>
            </w:r>
            <w:r>
              <w:rPr>
                <w:rFonts w:hint="eastAsia"/>
                <w:color w:val="000000" w:themeColor="text1"/>
              </w:rPr>
              <w:t>4</w:t>
            </w:r>
            <w:r>
              <w:rPr>
                <w:color w:val="000000" w:themeColor="text1"/>
              </w:rPr>
              <w:t>-</w:t>
            </w:r>
            <w:r>
              <w:rPr>
                <w:rFonts w:hint="eastAsia"/>
                <w:color w:val="000000" w:themeColor="text1"/>
              </w:rPr>
              <w:t>4。</w:t>
            </w:r>
          </w:p>
          <w:p>
            <w:pPr>
              <w:pStyle w:val="3"/>
              <w:ind w:firstLine="0" w:firstLineChars="0"/>
              <w:jc w:val="center"/>
              <w:rPr>
                <w:b/>
                <w:color w:val="000000" w:themeColor="text1"/>
                <w:szCs w:val="21"/>
                <w:vertAlign w:val="superscript"/>
              </w:rPr>
            </w:pPr>
            <w:r>
              <w:rPr>
                <w:b/>
                <w:bCs/>
              </w:rPr>
              <w:t>表4-</w:t>
            </w:r>
            <w:r>
              <w:rPr>
                <w:rFonts w:hint="eastAsia"/>
                <w:b/>
                <w:bCs/>
              </w:rPr>
              <w:t>4</w:t>
            </w:r>
            <w:r>
              <w:rPr>
                <w:b/>
                <w:bCs/>
              </w:rPr>
              <w:t xml:space="preserve"> </w:t>
            </w:r>
            <w:r>
              <w:rPr>
                <w:b/>
                <w:bCs/>
                <w:color w:val="000000" w:themeColor="text1"/>
                <w:szCs w:val="21"/>
              </w:rPr>
              <w:t xml:space="preserve"> </w:t>
            </w:r>
            <w:r>
              <w:rPr>
                <w:rFonts w:hint="eastAsia"/>
                <w:b/>
                <w:color w:val="000000" w:themeColor="text1"/>
                <w:szCs w:val="21"/>
              </w:rPr>
              <w:t>大气污染物综合排放标准   单位：mg/Nm</w:t>
            </w:r>
            <w:r>
              <w:rPr>
                <w:rFonts w:hint="eastAsia"/>
                <w:b/>
                <w:color w:val="000000" w:themeColor="text1"/>
                <w:szCs w:val="21"/>
                <w:vertAlign w:val="superscript"/>
              </w:rPr>
              <w:t>3</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50"/>
              <w:gridCol w:w="1395"/>
              <w:gridCol w:w="1365"/>
              <w:gridCol w:w="142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9"/>
                    <w:spacing w:line="240" w:lineRule="auto"/>
                    <w:ind w:firstLine="0" w:firstLineChars="0"/>
                    <w:jc w:val="center"/>
                    <w:rPr>
                      <w:b/>
                      <w:color w:val="000000" w:themeColor="text1"/>
                      <w:szCs w:val="21"/>
                    </w:rPr>
                  </w:pPr>
                  <w:r>
                    <w:rPr>
                      <w:rFonts w:eastAsiaTheme="minorEastAsia"/>
                      <w:b/>
                      <w:bCs/>
                      <w:color w:val="000000" w:themeColor="text1"/>
                      <w:sz w:val="21"/>
                      <w:szCs w:val="21"/>
                    </w:rPr>
                    <w:t>污染物项目</w:t>
                  </w:r>
                </w:p>
              </w:tc>
              <w:tc>
                <w:tcPr>
                  <w:tcW w:w="1050" w:type="dxa"/>
                  <w:vAlign w:val="center"/>
                </w:tcPr>
                <w:p>
                  <w:pPr>
                    <w:pStyle w:val="9"/>
                    <w:spacing w:line="240" w:lineRule="auto"/>
                    <w:ind w:firstLine="0" w:firstLineChars="0"/>
                    <w:jc w:val="center"/>
                    <w:rPr>
                      <w:b/>
                      <w:color w:val="000000" w:themeColor="text1"/>
                      <w:szCs w:val="21"/>
                    </w:rPr>
                  </w:pPr>
                  <w:r>
                    <w:rPr>
                      <w:rFonts w:hint="eastAsia" w:eastAsiaTheme="minorEastAsia"/>
                      <w:b/>
                      <w:bCs/>
                      <w:color w:val="000000" w:themeColor="text1"/>
                      <w:sz w:val="21"/>
                      <w:szCs w:val="21"/>
                    </w:rPr>
                    <w:t>排气筒高度（m）</w:t>
                  </w:r>
                </w:p>
              </w:tc>
              <w:tc>
                <w:tcPr>
                  <w:tcW w:w="1395" w:type="dxa"/>
                  <w:vAlign w:val="center"/>
                </w:tcPr>
                <w:p>
                  <w:pPr>
                    <w:pStyle w:val="9"/>
                    <w:spacing w:line="240" w:lineRule="auto"/>
                    <w:ind w:firstLine="0" w:firstLineChars="0"/>
                    <w:jc w:val="center"/>
                    <w:rPr>
                      <w:b/>
                      <w:color w:val="000000" w:themeColor="text1"/>
                      <w:szCs w:val="21"/>
                    </w:rPr>
                  </w:pPr>
                  <w:r>
                    <w:rPr>
                      <w:rFonts w:hint="eastAsia" w:eastAsiaTheme="minorEastAsia"/>
                      <w:b/>
                      <w:bCs/>
                      <w:color w:val="000000" w:themeColor="text1"/>
                      <w:sz w:val="21"/>
                      <w:szCs w:val="21"/>
                    </w:rPr>
                    <w:t>有组织最高允许排放浓度（mg/m</w:t>
                  </w:r>
                  <w:r>
                    <w:rPr>
                      <w:rFonts w:hint="eastAsia" w:eastAsiaTheme="minorEastAsia"/>
                      <w:b/>
                      <w:bCs/>
                      <w:color w:val="000000" w:themeColor="text1"/>
                      <w:sz w:val="21"/>
                      <w:szCs w:val="21"/>
                      <w:vertAlign w:val="superscript"/>
                    </w:rPr>
                    <w:t>3</w:t>
                  </w:r>
                  <w:r>
                    <w:rPr>
                      <w:rFonts w:hint="eastAsia" w:eastAsiaTheme="minorEastAsia"/>
                      <w:b/>
                      <w:bCs/>
                      <w:color w:val="000000" w:themeColor="text1"/>
                      <w:sz w:val="21"/>
                      <w:szCs w:val="21"/>
                    </w:rPr>
                    <w:t>)</w:t>
                  </w:r>
                </w:p>
              </w:tc>
              <w:tc>
                <w:tcPr>
                  <w:tcW w:w="1365" w:type="dxa"/>
                  <w:vAlign w:val="center"/>
                </w:tcPr>
                <w:p>
                  <w:pPr>
                    <w:pStyle w:val="9"/>
                    <w:spacing w:line="240" w:lineRule="auto"/>
                    <w:ind w:firstLine="0" w:firstLineChars="0"/>
                    <w:jc w:val="center"/>
                    <w:rPr>
                      <w:b/>
                      <w:color w:val="000000" w:themeColor="text1"/>
                      <w:szCs w:val="21"/>
                    </w:rPr>
                  </w:pPr>
                  <w:r>
                    <w:rPr>
                      <w:rFonts w:hint="eastAsia" w:eastAsiaTheme="minorEastAsia"/>
                      <w:b/>
                      <w:bCs/>
                      <w:color w:val="000000" w:themeColor="text1"/>
                      <w:sz w:val="21"/>
                      <w:szCs w:val="21"/>
                    </w:rPr>
                    <w:t>有组织</w:t>
                  </w:r>
                  <w:r>
                    <w:rPr>
                      <w:rFonts w:eastAsiaTheme="minorEastAsia"/>
                      <w:b/>
                      <w:bCs/>
                      <w:color w:val="000000" w:themeColor="text1"/>
                      <w:sz w:val="21"/>
                      <w:szCs w:val="21"/>
                    </w:rPr>
                    <w:t>最高允许排放速率（kg/h)</w:t>
                  </w:r>
                </w:p>
              </w:tc>
              <w:tc>
                <w:tcPr>
                  <w:tcW w:w="1425" w:type="dxa"/>
                  <w:vAlign w:val="center"/>
                </w:tcPr>
                <w:p>
                  <w:pPr>
                    <w:pStyle w:val="9"/>
                    <w:spacing w:line="240" w:lineRule="auto"/>
                    <w:ind w:firstLine="0" w:firstLineChars="0"/>
                    <w:jc w:val="center"/>
                    <w:rPr>
                      <w:b/>
                      <w:color w:val="000000" w:themeColor="text1"/>
                      <w:szCs w:val="21"/>
                    </w:rPr>
                  </w:pPr>
                  <w:r>
                    <w:rPr>
                      <w:rFonts w:hint="eastAsia" w:eastAsiaTheme="minorEastAsia"/>
                      <w:b/>
                      <w:bCs/>
                      <w:color w:val="000000" w:themeColor="text1"/>
                      <w:sz w:val="21"/>
                      <w:szCs w:val="21"/>
                    </w:rPr>
                    <w:t>无组织</w:t>
                  </w:r>
                  <w:r>
                    <w:rPr>
                      <w:rFonts w:hint="eastAsia"/>
                      <w:b/>
                      <w:bCs/>
                      <w:color w:val="000000" w:themeColor="text1"/>
                      <w:sz w:val="21"/>
                      <w:szCs w:val="21"/>
                    </w:rPr>
                    <w:t>周界外最大允许浓度</w:t>
                  </w:r>
                  <w:r>
                    <w:rPr>
                      <w:rFonts w:hint="eastAsia" w:eastAsiaTheme="minorEastAsia"/>
                      <w:b/>
                      <w:bCs/>
                      <w:color w:val="000000" w:themeColor="text1"/>
                      <w:sz w:val="21"/>
                      <w:szCs w:val="21"/>
                    </w:rPr>
                    <w:t>（mg/m</w:t>
                  </w:r>
                  <w:r>
                    <w:rPr>
                      <w:rFonts w:hint="eastAsia" w:eastAsiaTheme="minorEastAsia"/>
                      <w:b/>
                      <w:bCs/>
                      <w:color w:val="000000" w:themeColor="text1"/>
                      <w:sz w:val="21"/>
                      <w:szCs w:val="21"/>
                      <w:vertAlign w:val="superscript"/>
                    </w:rPr>
                    <w:t>3</w:t>
                  </w:r>
                  <w:r>
                    <w:rPr>
                      <w:rFonts w:hint="eastAsia" w:eastAsiaTheme="minorEastAsia"/>
                      <w:b/>
                      <w:bCs/>
                      <w:color w:val="000000" w:themeColor="text1"/>
                      <w:sz w:val="21"/>
                      <w:szCs w:val="21"/>
                    </w:rPr>
                    <w:t>)</w:t>
                  </w:r>
                </w:p>
              </w:tc>
              <w:tc>
                <w:tcPr>
                  <w:tcW w:w="1658" w:type="dxa"/>
                  <w:vAlign w:val="center"/>
                </w:tcPr>
                <w:p>
                  <w:pPr>
                    <w:pStyle w:val="9"/>
                    <w:spacing w:line="240" w:lineRule="auto"/>
                    <w:ind w:firstLine="0" w:firstLineChars="0"/>
                    <w:jc w:val="center"/>
                    <w:rPr>
                      <w:b/>
                      <w:color w:val="000000" w:themeColor="text1"/>
                      <w:szCs w:val="21"/>
                    </w:rPr>
                  </w:pPr>
                  <w:r>
                    <w:rPr>
                      <w:rFonts w:hint="eastAsia" w:eastAsiaTheme="minorEastAsia"/>
                      <w:b/>
                      <w:bCs/>
                      <w:color w:val="000000" w:themeColor="text1"/>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9"/>
                    <w:spacing w:line="240" w:lineRule="auto"/>
                    <w:ind w:firstLine="0" w:firstLineChars="0"/>
                    <w:jc w:val="center"/>
                    <w:rPr>
                      <w:b/>
                      <w:color w:val="000000" w:themeColor="text1"/>
                      <w:szCs w:val="21"/>
                    </w:rPr>
                  </w:pPr>
                  <w:r>
                    <w:rPr>
                      <w:rFonts w:hint="eastAsia" w:eastAsiaTheme="minorEastAsia"/>
                      <w:color w:val="000000" w:themeColor="text1"/>
                      <w:sz w:val="21"/>
                      <w:szCs w:val="21"/>
                    </w:rPr>
                    <w:t>颗粒物</w:t>
                  </w:r>
                </w:p>
              </w:tc>
              <w:tc>
                <w:tcPr>
                  <w:tcW w:w="1050" w:type="dxa"/>
                  <w:vAlign w:val="center"/>
                </w:tcPr>
                <w:p>
                  <w:pPr>
                    <w:pStyle w:val="9"/>
                    <w:spacing w:line="240" w:lineRule="auto"/>
                    <w:ind w:firstLine="0" w:firstLineChars="0"/>
                    <w:jc w:val="center"/>
                    <w:rPr>
                      <w:b/>
                      <w:color w:val="000000" w:themeColor="text1"/>
                      <w:szCs w:val="21"/>
                    </w:rPr>
                  </w:pPr>
                  <w:r>
                    <w:rPr>
                      <w:rFonts w:hint="eastAsia" w:eastAsiaTheme="minorEastAsia"/>
                      <w:color w:val="000000" w:themeColor="text1"/>
                      <w:sz w:val="21"/>
                      <w:szCs w:val="21"/>
                    </w:rPr>
                    <w:t>15</w:t>
                  </w:r>
                </w:p>
              </w:tc>
              <w:tc>
                <w:tcPr>
                  <w:tcW w:w="1395" w:type="dxa"/>
                  <w:vAlign w:val="center"/>
                </w:tcPr>
                <w:p>
                  <w:pPr>
                    <w:pStyle w:val="9"/>
                    <w:spacing w:line="240" w:lineRule="auto"/>
                    <w:ind w:firstLine="0" w:firstLineChars="0"/>
                    <w:jc w:val="center"/>
                    <w:rPr>
                      <w:b/>
                      <w:color w:val="000000" w:themeColor="text1"/>
                      <w:szCs w:val="21"/>
                    </w:rPr>
                  </w:pPr>
                  <w:r>
                    <w:rPr>
                      <w:rFonts w:hint="eastAsia" w:eastAsiaTheme="minorEastAsia"/>
                      <w:color w:val="000000" w:themeColor="text1"/>
                      <w:sz w:val="21"/>
                      <w:szCs w:val="21"/>
                    </w:rPr>
                    <w:t>120</w:t>
                  </w:r>
                </w:p>
              </w:tc>
              <w:tc>
                <w:tcPr>
                  <w:tcW w:w="1365" w:type="dxa"/>
                  <w:vAlign w:val="center"/>
                </w:tcPr>
                <w:p>
                  <w:pPr>
                    <w:pStyle w:val="9"/>
                    <w:spacing w:line="240" w:lineRule="auto"/>
                    <w:ind w:firstLine="0" w:firstLineChars="0"/>
                    <w:jc w:val="center"/>
                    <w:rPr>
                      <w:b/>
                      <w:color w:val="000000" w:themeColor="text1"/>
                      <w:szCs w:val="21"/>
                    </w:rPr>
                  </w:pPr>
                  <w:r>
                    <w:rPr>
                      <w:rFonts w:hint="eastAsia" w:eastAsiaTheme="minorEastAsia"/>
                      <w:color w:val="000000" w:themeColor="text1"/>
                      <w:sz w:val="21"/>
                      <w:szCs w:val="21"/>
                    </w:rPr>
                    <w:t>3.5</w:t>
                  </w:r>
                </w:p>
              </w:tc>
              <w:tc>
                <w:tcPr>
                  <w:tcW w:w="1425" w:type="dxa"/>
                  <w:vAlign w:val="center"/>
                </w:tcPr>
                <w:p>
                  <w:pPr>
                    <w:pStyle w:val="9"/>
                    <w:spacing w:line="240" w:lineRule="auto"/>
                    <w:ind w:firstLine="0" w:firstLineChars="0"/>
                    <w:jc w:val="center"/>
                    <w:rPr>
                      <w:b/>
                      <w:color w:val="000000" w:themeColor="text1"/>
                      <w:szCs w:val="21"/>
                    </w:rPr>
                  </w:pPr>
                  <w:r>
                    <w:rPr>
                      <w:rFonts w:hint="eastAsia" w:eastAsiaTheme="minorEastAsia"/>
                      <w:color w:val="000000" w:themeColor="text1"/>
                      <w:sz w:val="21"/>
                      <w:szCs w:val="21"/>
                    </w:rPr>
                    <w:t>1.0</w:t>
                  </w:r>
                </w:p>
              </w:tc>
              <w:tc>
                <w:tcPr>
                  <w:tcW w:w="1658" w:type="dxa"/>
                  <w:vAlign w:val="center"/>
                </w:tcPr>
                <w:p>
                  <w:pPr>
                    <w:pStyle w:val="9"/>
                    <w:spacing w:line="240" w:lineRule="auto"/>
                    <w:ind w:firstLine="0" w:firstLineChars="0"/>
                    <w:jc w:val="center"/>
                    <w:rPr>
                      <w:b/>
                      <w:color w:val="000000" w:themeColor="text1"/>
                      <w:szCs w:val="21"/>
                    </w:rPr>
                  </w:pPr>
                  <w:r>
                    <w:rPr>
                      <w:rFonts w:eastAsiaTheme="majorEastAsia"/>
                      <w:color w:val="000000" w:themeColor="text1"/>
                      <w:sz w:val="21"/>
                      <w:szCs w:val="21"/>
                    </w:rPr>
                    <w:t>《大气污染物综合排放标准》(GB16297-1996)表2</w:t>
                  </w:r>
                </w:p>
              </w:tc>
            </w:tr>
          </w:tbl>
          <w:p>
            <w:pPr>
              <w:pStyle w:val="29"/>
              <w:adjustRightInd w:val="0"/>
              <w:ind w:firstLine="482"/>
              <w:rPr>
                <w:b/>
                <w:color w:val="000000" w:themeColor="text1"/>
                <w:szCs w:val="24"/>
              </w:rPr>
            </w:pPr>
            <w:r>
              <w:rPr>
                <w:rFonts w:hint="eastAsia"/>
                <w:b/>
                <w:color w:val="000000" w:themeColor="text1"/>
                <w:szCs w:val="24"/>
                <w:lang w:eastAsia="zh-CN"/>
              </w:rPr>
              <w:t>二</w:t>
            </w:r>
            <w:r>
              <w:rPr>
                <w:b/>
                <w:color w:val="000000" w:themeColor="text1"/>
                <w:szCs w:val="24"/>
              </w:rPr>
              <w:t>、</w:t>
            </w:r>
            <w:r>
              <w:rPr>
                <w:rFonts w:hint="eastAsia"/>
                <w:b/>
                <w:color w:val="000000" w:themeColor="text1"/>
                <w:szCs w:val="24"/>
              </w:rPr>
              <w:t>废水</w:t>
            </w:r>
          </w:p>
          <w:p>
            <w:pPr>
              <w:tabs>
                <w:tab w:val="left" w:pos="2280"/>
              </w:tabs>
              <w:snapToGrid w:val="0"/>
              <w:ind w:firstLine="480"/>
              <w:rPr>
                <w:color w:val="000000" w:themeColor="text1"/>
              </w:rPr>
            </w:pPr>
            <w:r>
              <w:rPr>
                <w:rFonts w:hint="eastAsia"/>
              </w:rPr>
              <w:t>本次新建项目无生产污水产生，员工依托石材厂，无生活污水产生，</w:t>
            </w:r>
            <w:r>
              <w:rPr>
                <w:rFonts w:hint="eastAsia"/>
                <w:color w:val="000000" w:themeColor="text1"/>
              </w:rPr>
              <w:t>因此，本项目不设置废水排放标准。</w:t>
            </w:r>
          </w:p>
          <w:p>
            <w:pPr>
              <w:tabs>
                <w:tab w:val="left" w:pos="2280"/>
              </w:tabs>
              <w:snapToGrid w:val="0"/>
              <w:ind w:firstLine="482"/>
              <w:rPr>
                <w:b/>
                <w:color w:val="000000" w:themeColor="text1"/>
              </w:rPr>
            </w:pPr>
            <w:r>
              <w:rPr>
                <w:b/>
                <w:color w:val="000000" w:themeColor="text1"/>
              </w:rPr>
              <w:t>三、噪声</w:t>
            </w:r>
          </w:p>
          <w:p>
            <w:pPr>
              <w:adjustRightInd w:val="0"/>
              <w:snapToGrid w:val="0"/>
              <w:ind w:firstLine="480"/>
              <w:rPr>
                <w:color w:val="000000" w:themeColor="text1"/>
              </w:rPr>
            </w:pPr>
            <w:r>
              <w:rPr>
                <w:rFonts w:hint="eastAsia"/>
                <w:color w:val="000000" w:themeColor="text1"/>
              </w:rPr>
              <w:t>项目施工期场界噪声排放执行GB12523-2011《建筑施工场界环境噪声排放标准》，噪声排放限值见表4-5。</w:t>
            </w:r>
          </w:p>
          <w:p>
            <w:pPr>
              <w:adjustRightInd w:val="0"/>
              <w:snapToGrid w:val="0"/>
              <w:ind w:firstLine="482"/>
              <w:jc w:val="center"/>
              <w:rPr>
                <w:b/>
                <w:color w:val="000000" w:themeColor="text1"/>
                <w:szCs w:val="21"/>
              </w:rPr>
            </w:pPr>
            <w:r>
              <w:rPr>
                <w:rFonts w:hint="eastAsia"/>
                <w:b/>
                <w:color w:val="000000" w:themeColor="text1"/>
                <w:szCs w:val="21"/>
              </w:rPr>
              <w:t>表4-5    建筑施工场界环境噪声排放标准限值    单位：</w:t>
            </w:r>
            <w:r>
              <w:rPr>
                <w:b/>
                <w:color w:val="000000" w:themeColor="text1"/>
                <w:szCs w:val="21"/>
              </w:rPr>
              <w:t xml:space="preserve">dB(A) </w:t>
            </w:r>
          </w:p>
          <w:tbl>
            <w:tblPr>
              <w:tblStyle w:val="22"/>
              <w:tblW w:w="74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39"/>
              <w:gridCol w:w="37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37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2"/>
                    <w:jc w:val="center"/>
                    <w:textAlignment w:val="auto"/>
                    <w:rPr>
                      <w:b/>
                      <w:color w:val="000000" w:themeColor="text1"/>
                      <w:sz w:val="21"/>
                      <w:szCs w:val="21"/>
                    </w:rPr>
                  </w:pPr>
                  <w:r>
                    <w:rPr>
                      <w:rFonts w:hint="eastAsia"/>
                      <w:b/>
                      <w:color w:val="000000" w:themeColor="text1"/>
                      <w:sz w:val="21"/>
                      <w:szCs w:val="21"/>
                    </w:rPr>
                    <w:t>昼间</w:t>
                  </w:r>
                </w:p>
              </w:tc>
              <w:tc>
                <w:tcPr>
                  <w:tcW w:w="3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2"/>
                    <w:jc w:val="center"/>
                    <w:textAlignment w:val="auto"/>
                    <w:rPr>
                      <w:b/>
                      <w:color w:val="000000" w:themeColor="text1"/>
                      <w:sz w:val="21"/>
                      <w:szCs w:val="21"/>
                    </w:rPr>
                  </w:pPr>
                  <w:r>
                    <w:rPr>
                      <w:rFonts w:hint="eastAsia"/>
                      <w:b/>
                      <w:color w:val="000000" w:themeColor="text1"/>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37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jc w:val="center"/>
                    <w:textAlignment w:val="auto"/>
                    <w:rPr>
                      <w:color w:val="000000" w:themeColor="text1"/>
                      <w:sz w:val="21"/>
                      <w:szCs w:val="21"/>
                    </w:rPr>
                  </w:pPr>
                  <w:r>
                    <w:rPr>
                      <w:rFonts w:hint="eastAsia"/>
                      <w:color w:val="000000" w:themeColor="text1"/>
                      <w:sz w:val="21"/>
                      <w:szCs w:val="21"/>
                    </w:rPr>
                    <w:t>70</w:t>
                  </w:r>
                </w:p>
              </w:tc>
              <w:tc>
                <w:tcPr>
                  <w:tcW w:w="3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jc w:val="center"/>
                    <w:textAlignment w:val="auto"/>
                    <w:rPr>
                      <w:color w:val="000000" w:themeColor="text1"/>
                      <w:sz w:val="21"/>
                      <w:szCs w:val="21"/>
                    </w:rPr>
                  </w:pPr>
                  <w:r>
                    <w:rPr>
                      <w:rFonts w:hint="eastAsia"/>
                      <w:color w:val="000000" w:themeColor="text1"/>
                      <w:sz w:val="21"/>
                      <w:szCs w:val="21"/>
                    </w:rPr>
                    <w:t>55</w:t>
                  </w:r>
                </w:p>
              </w:tc>
            </w:tr>
          </w:tbl>
          <w:p>
            <w:pPr>
              <w:adjustRightInd w:val="0"/>
              <w:snapToGrid w:val="0"/>
              <w:spacing w:before="156" w:beforeLines="50"/>
              <w:ind w:firstLine="480"/>
              <w:rPr>
                <w:color w:val="000000" w:themeColor="text1"/>
              </w:rPr>
            </w:pPr>
            <w:r>
              <w:rPr>
                <w:rFonts w:hint="eastAsia"/>
                <w:color w:val="000000" w:themeColor="text1"/>
              </w:rPr>
              <w:t>项目运行期厂界噪声执行GB12348-2008《工业企业厂界环境噪声排放标准》2 类标准。标准值见表4-6。</w:t>
            </w:r>
          </w:p>
          <w:p>
            <w:pPr>
              <w:adjustRightInd w:val="0"/>
              <w:snapToGrid w:val="0"/>
              <w:ind w:firstLine="482"/>
              <w:jc w:val="center"/>
              <w:rPr>
                <w:b/>
                <w:bCs/>
                <w:color w:val="000000" w:themeColor="text1"/>
                <w:szCs w:val="21"/>
              </w:rPr>
            </w:pPr>
            <w:r>
              <w:rPr>
                <w:b/>
                <w:bCs/>
                <w:color w:val="000000" w:themeColor="text1"/>
                <w:szCs w:val="21"/>
              </w:rPr>
              <w:t>表</w:t>
            </w:r>
            <w:r>
              <w:rPr>
                <w:rFonts w:hint="eastAsia"/>
                <w:b/>
                <w:bCs/>
                <w:color w:val="000000" w:themeColor="text1"/>
                <w:szCs w:val="21"/>
              </w:rPr>
              <w:t xml:space="preserve">4-6    工业企业厂界环境噪声排放标准    </w:t>
            </w:r>
            <w:r>
              <w:rPr>
                <w:b/>
                <w:bCs/>
                <w:color w:val="000000" w:themeColor="text1"/>
                <w:szCs w:val="21"/>
              </w:rPr>
              <w:t>单位：dB(A)</w:t>
            </w:r>
          </w:p>
          <w:tbl>
            <w:tblPr>
              <w:tblStyle w:val="22"/>
              <w:tblW w:w="7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252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b/>
                      <w:color w:val="000000" w:themeColor="text1"/>
                      <w:sz w:val="21"/>
                      <w:szCs w:val="21"/>
                    </w:rPr>
                  </w:pPr>
                  <w:r>
                    <w:rPr>
                      <w:b/>
                      <w:color w:val="000000" w:themeColor="text1"/>
                      <w:sz w:val="21"/>
                      <w:szCs w:val="21"/>
                    </w:rPr>
                    <w:t>功能区类别</w:t>
                  </w:r>
                </w:p>
              </w:tc>
              <w:tc>
                <w:tcPr>
                  <w:tcW w:w="25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b/>
                      <w:color w:val="000000" w:themeColor="text1"/>
                      <w:sz w:val="21"/>
                      <w:szCs w:val="21"/>
                    </w:rPr>
                  </w:pPr>
                  <w:r>
                    <w:rPr>
                      <w:b/>
                      <w:color w:val="000000" w:themeColor="text1"/>
                      <w:sz w:val="21"/>
                      <w:szCs w:val="21"/>
                    </w:rPr>
                    <w:t>昼间</w:t>
                  </w:r>
                </w:p>
              </w:tc>
              <w:tc>
                <w:tcPr>
                  <w:tcW w:w="25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b/>
                      <w:color w:val="000000" w:themeColor="text1"/>
                      <w:sz w:val="21"/>
                      <w:szCs w:val="21"/>
                    </w:rPr>
                  </w:pPr>
                  <w:r>
                    <w:rPr>
                      <w:b/>
                      <w:color w:val="000000" w:themeColor="text1"/>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rPr>
                      <w:color w:val="000000" w:themeColor="text1"/>
                      <w:sz w:val="21"/>
                      <w:szCs w:val="21"/>
                    </w:rPr>
                  </w:pPr>
                  <w:r>
                    <w:rPr>
                      <w:color w:val="000000" w:themeColor="text1"/>
                      <w:sz w:val="21"/>
                      <w:szCs w:val="21"/>
                    </w:rPr>
                    <w:t>2</w:t>
                  </w:r>
                  <w:r>
                    <w:rPr>
                      <w:rFonts w:hint="eastAsia"/>
                      <w:color w:val="000000" w:themeColor="text1"/>
                      <w:sz w:val="21"/>
                      <w:szCs w:val="21"/>
                    </w:rPr>
                    <w:t>类</w:t>
                  </w:r>
                </w:p>
              </w:tc>
              <w:tc>
                <w:tcPr>
                  <w:tcW w:w="25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rPr>
                      <w:color w:val="000000" w:themeColor="text1"/>
                      <w:sz w:val="21"/>
                      <w:szCs w:val="21"/>
                    </w:rPr>
                  </w:pPr>
                  <w:r>
                    <w:rPr>
                      <w:color w:val="000000" w:themeColor="text1"/>
                      <w:sz w:val="21"/>
                      <w:szCs w:val="21"/>
                    </w:rPr>
                    <w:t>60</w:t>
                  </w:r>
                </w:p>
              </w:tc>
              <w:tc>
                <w:tcPr>
                  <w:tcW w:w="25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rPr>
                      <w:color w:val="000000" w:themeColor="text1"/>
                      <w:sz w:val="21"/>
                      <w:szCs w:val="21"/>
                    </w:rPr>
                  </w:pPr>
                  <w:r>
                    <w:rPr>
                      <w:color w:val="000000" w:themeColor="text1"/>
                      <w:sz w:val="21"/>
                      <w:szCs w:val="21"/>
                    </w:rPr>
                    <w:t>50</w:t>
                  </w:r>
                </w:p>
              </w:tc>
            </w:tr>
          </w:tbl>
          <w:p>
            <w:pPr>
              <w:pStyle w:val="29"/>
              <w:adjustRightInd w:val="0"/>
              <w:spacing w:before="156" w:beforeLines="50"/>
              <w:ind w:firstLine="482"/>
              <w:rPr>
                <w:b/>
                <w:color w:val="000000" w:themeColor="text1"/>
                <w:szCs w:val="24"/>
              </w:rPr>
            </w:pPr>
            <w:r>
              <w:rPr>
                <w:rFonts w:hint="eastAsia"/>
                <w:b/>
                <w:color w:val="000000" w:themeColor="text1"/>
                <w:szCs w:val="24"/>
              </w:rPr>
              <w:t>四</w:t>
            </w:r>
            <w:r>
              <w:rPr>
                <w:b/>
                <w:color w:val="000000" w:themeColor="text1"/>
                <w:szCs w:val="24"/>
              </w:rPr>
              <w:t>、</w:t>
            </w:r>
            <w:r>
              <w:rPr>
                <w:rFonts w:hint="eastAsia"/>
                <w:b/>
                <w:color w:val="000000" w:themeColor="text1"/>
                <w:szCs w:val="24"/>
              </w:rPr>
              <w:t>固体废物</w:t>
            </w:r>
          </w:p>
          <w:p>
            <w:pPr>
              <w:pStyle w:val="3"/>
              <w:ind w:firstLine="480"/>
            </w:pPr>
            <w:r>
              <w:rPr>
                <w:color w:val="000000" w:themeColor="text1"/>
              </w:rPr>
              <w:t>项目产生的</w:t>
            </w:r>
            <w:r>
              <w:rPr>
                <w:rFonts w:hint="eastAsia"/>
                <w:color w:val="000000" w:themeColor="text1"/>
              </w:rPr>
              <w:t>一般工业固废</w:t>
            </w:r>
            <w:r>
              <w:rPr>
                <w:color w:val="000000" w:themeColor="text1"/>
              </w:rPr>
              <w:t>执行GB18599-2001《一般工业固体废弃物贮存、处置场污染控制标准》</w:t>
            </w:r>
            <w:r>
              <w:rPr>
                <w:rFonts w:hint="eastAsia"/>
                <w:color w:val="000000" w:themeColor="text1"/>
              </w:rPr>
              <w:t>及其修改单相关规定；危险固体废物暂存执行《危险废物贮存污染控制标准》（GB18597-2001）及其修改单规定（环保部公告2013第36号）。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adjustRightInd w:val="0"/>
              <w:snapToGrid w:val="0"/>
              <w:spacing w:line="240" w:lineRule="auto"/>
              <w:ind w:firstLine="0" w:firstLineChars="0"/>
              <w:rPr>
                <w:rFonts w:eastAsiaTheme="minorEastAsia"/>
                <w:color w:val="000000" w:themeColor="text1"/>
              </w:rPr>
            </w:pPr>
            <w:r>
              <w:rPr>
                <w:color w:val="000000" w:themeColor="text1"/>
              </w:rPr>
              <w:t>总量控制指标</w:t>
            </w:r>
          </w:p>
        </w:tc>
        <w:tc>
          <w:tcPr>
            <w:tcW w:w="7936" w:type="dxa"/>
            <w:vAlign w:val="center"/>
          </w:tcPr>
          <w:p>
            <w:pPr>
              <w:adjustRightInd w:val="0"/>
              <w:snapToGrid w:val="0"/>
              <w:ind w:firstLine="480"/>
              <w:rPr>
                <w:color w:val="000000" w:themeColor="text1"/>
                <w:kern w:val="0"/>
              </w:rPr>
            </w:pPr>
            <w:r>
              <w:rPr>
                <w:rFonts w:hint="eastAsia" w:hAnsi="宋体"/>
                <w:color w:val="000000" w:themeColor="text1"/>
              </w:rPr>
              <w:t>根据</w:t>
            </w:r>
            <w:r>
              <w:rPr>
                <w:color w:val="000000" w:themeColor="text1"/>
              </w:rPr>
              <w:t>《</w:t>
            </w:r>
            <w:r>
              <w:rPr>
                <w:rFonts w:ascii="宋体" w:hAnsi="宋体"/>
                <w:color w:val="000000" w:themeColor="text1"/>
              </w:rPr>
              <w:t>“十</w:t>
            </w:r>
            <w:r>
              <w:rPr>
                <w:rFonts w:hint="eastAsia" w:ascii="宋体" w:hAnsi="宋体"/>
                <w:color w:val="000000" w:themeColor="text1"/>
              </w:rPr>
              <w:t>三</w:t>
            </w:r>
            <w:r>
              <w:rPr>
                <w:rFonts w:ascii="宋体" w:hAnsi="宋体"/>
                <w:color w:val="000000" w:themeColor="text1"/>
              </w:rPr>
              <w:t>五”</w:t>
            </w:r>
            <w:r>
              <w:rPr>
                <w:rFonts w:hint="eastAsia" w:ascii="宋体" w:hAnsi="宋体"/>
                <w:color w:val="000000" w:themeColor="text1"/>
              </w:rPr>
              <w:t>生态环境保护</w:t>
            </w:r>
            <w:r>
              <w:rPr>
                <w:rFonts w:ascii="宋体" w:hAnsi="宋体"/>
                <w:color w:val="000000" w:themeColor="text1"/>
              </w:rPr>
              <w:t>规划</w:t>
            </w:r>
            <w:r>
              <w:rPr>
                <w:color w:val="000000" w:themeColor="text1"/>
              </w:rPr>
              <w:t>》提出的环境保护目标，</w:t>
            </w:r>
            <w:r>
              <w:rPr>
                <w:rFonts w:ascii="宋体" w:hAnsi="宋体"/>
                <w:color w:val="000000" w:themeColor="text1"/>
              </w:rPr>
              <w:t>“十</w:t>
            </w:r>
            <w:r>
              <w:rPr>
                <w:rFonts w:hint="eastAsia" w:ascii="宋体" w:hAnsi="宋体"/>
                <w:color w:val="000000" w:themeColor="text1"/>
              </w:rPr>
              <w:t>三</w:t>
            </w:r>
            <w:r>
              <w:rPr>
                <w:rFonts w:ascii="宋体" w:hAnsi="宋体"/>
                <w:color w:val="000000" w:themeColor="text1"/>
              </w:rPr>
              <w:t>五”</w:t>
            </w:r>
            <w:r>
              <w:rPr>
                <w:color w:val="000000" w:themeColor="text1"/>
              </w:rPr>
              <w:t>规划期间</w:t>
            </w:r>
            <w:r>
              <w:rPr>
                <w:rFonts w:hint="eastAsia"/>
                <w:color w:val="000000" w:themeColor="text1"/>
              </w:rPr>
              <w:t>我国</w:t>
            </w:r>
            <w:r>
              <w:rPr>
                <w:color w:val="000000" w:themeColor="text1"/>
              </w:rPr>
              <w:t>纳入约束性考核的4项污染物：COD、NH</w:t>
            </w:r>
            <w:r>
              <w:rPr>
                <w:color w:val="000000" w:themeColor="text1"/>
                <w:vertAlign w:val="subscript"/>
              </w:rPr>
              <w:t>3</w:t>
            </w:r>
            <w:r>
              <w:rPr>
                <w:color w:val="000000" w:themeColor="text1"/>
              </w:rPr>
              <w:t>-</w:t>
            </w:r>
            <w:r>
              <w:rPr>
                <w:rFonts w:hint="eastAsia"/>
                <w:color w:val="000000" w:themeColor="text1"/>
              </w:rPr>
              <w:t>N</w:t>
            </w:r>
            <w:r>
              <w:rPr>
                <w:color w:val="000000" w:themeColor="text1"/>
              </w:rPr>
              <w:t>、SO</w:t>
            </w:r>
            <w:r>
              <w:rPr>
                <w:color w:val="000000" w:themeColor="text1"/>
                <w:vertAlign w:val="subscript"/>
              </w:rPr>
              <w:t>2</w:t>
            </w:r>
            <w:r>
              <w:rPr>
                <w:color w:val="000000" w:themeColor="text1"/>
              </w:rPr>
              <w:t>、NO</w:t>
            </w:r>
            <w:r>
              <w:rPr>
                <w:rFonts w:hint="eastAsia"/>
                <w:color w:val="000000" w:themeColor="text1"/>
                <w:vertAlign w:val="subscript"/>
              </w:rPr>
              <w:t>x</w:t>
            </w:r>
            <w:r>
              <w:rPr>
                <w:rFonts w:hint="eastAsia"/>
                <w:color w:val="000000" w:themeColor="text1"/>
              </w:rPr>
              <w:t>。</w:t>
            </w:r>
            <w:r>
              <w:rPr>
                <w:color w:val="000000" w:themeColor="text1"/>
                <w:kern w:val="0"/>
              </w:rPr>
              <w:t>本项目总量控制指标建议如下：</w:t>
            </w:r>
          </w:p>
          <w:p>
            <w:pPr>
              <w:adjustRightInd w:val="0"/>
              <w:snapToGrid w:val="0"/>
              <w:ind w:firstLine="482"/>
              <w:rPr>
                <w:b/>
                <w:color w:val="000000" w:themeColor="text1"/>
                <w:kern w:val="0"/>
              </w:rPr>
            </w:pPr>
            <w:r>
              <w:rPr>
                <w:b/>
                <w:color w:val="000000" w:themeColor="text1"/>
                <w:kern w:val="0"/>
              </w:rPr>
              <w:t>一、废气</w:t>
            </w:r>
          </w:p>
          <w:p>
            <w:pPr>
              <w:autoSpaceDE w:val="0"/>
              <w:autoSpaceDN w:val="0"/>
              <w:adjustRightInd w:val="0"/>
              <w:ind w:firstLine="480"/>
              <w:jc w:val="left"/>
            </w:pPr>
            <w:r>
              <w:rPr>
                <w:szCs w:val="32"/>
              </w:rPr>
              <w:t>本项目</w:t>
            </w:r>
            <w:r>
              <w:rPr>
                <w:rFonts w:hint="eastAsia"/>
                <w:szCs w:val="32"/>
              </w:rPr>
              <w:t>产生大气污染物为无组织颗粒物及有组织颗粒物，废气总排放量为1</w:t>
            </w:r>
            <w:r>
              <w:rPr>
                <w:rFonts w:hint="eastAsia"/>
                <w:szCs w:val="32"/>
                <w:lang w:val="en-US" w:eastAsia="zh-CN"/>
              </w:rPr>
              <w:t>200</w:t>
            </w:r>
            <w:r>
              <w:rPr>
                <w:rFonts w:hint="eastAsia"/>
                <w:szCs w:val="32"/>
              </w:rPr>
              <w:t>万Nm</w:t>
            </w:r>
            <w:r>
              <w:rPr>
                <w:rFonts w:hint="eastAsia"/>
                <w:szCs w:val="32"/>
                <w:vertAlign w:val="superscript"/>
              </w:rPr>
              <w:t>3</w:t>
            </w:r>
            <w:r>
              <w:rPr>
                <w:rFonts w:hint="eastAsia"/>
                <w:szCs w:val="32"/>
              </w:rPr>
              <w:t>，无组织颗粒物排放量为0.0</w:t>
            </w:r>
            <w:r>
              <w:rPr>
                <w:rFonts w:hint="eastAsia"/>
                <w:szCs w:val="32"/>
                <w:lang w:val="en-US" w:eastAsia="zh-CN"/>
              </w:rPr>
              <w:t>81</w:t>
            </w:r>
            <w:r>
              <w:rPr>
                <w:rFonts w:hint="eastAsia"/>
                <w:szCs w:val="32"/>
              </w:rPr>
              <w:t>t/a，有组织颗粒物排放量为0.0</w:t>
            </w:r>
            <w:r>
              <w:rPr>
                <w:rFonts w:hint="eastAsia"/>
                <w:szCs w:val="32"/>
                <w:lang w:val="en-US" w:eastAsia="zh-CN"/>
              </w:rPr>
              <w:t>032</w:t>
            </w:r>
            <w:r>
              <w:rPr>
                <w:rFonts w:hint="eastAsia"/>
                <w:szCs w:val="32"/>
              </w:rPr>
              <w:t>t/a。颗粒物不在</w:t>
            </w:r>
            <w:r>
              <w:rPr>
                <w:rFonts w:hAnsiTheme="minorEastAsia" w:eastAsiaTheme="minorEastAsia"/>
                <w:kern w:val="0"/>
              </w:rPr>
              <w:t>约束性考核的4项污染物</w:t>
            </w:r>
            <w:r>
              <w:rPr>
                <w:rFonts w:hint="eastAsia" w:hAnsiTheme="minorEastAsia" w:eastAsiaTheme="minorEastAsia"/>
                <w:kern w:val="0"/>
              </w:rPr>
              <w:t>范围内，因此，项目不设废气总量控制指标。</w:t>
            </w:r>
          </w:p>
          <w:p>
            <w:pPr>
              <w:adjustRightInd w:val="0"/>
              <w:snapToGrid w:val="0"/>
              <w:ind w:firstLine="482"/>
              <w:rPr>
                <w:b/>
                <w:color w:val="000000" w:themeColor="text1"/>
                <w:kern w:val="0"/>
              </w:rPr>
            </w:pPr>
            <w:r>
              <w:rPr>
                <w:b/>
                <w:color w:val="000000" w:themeColor="text1"/>
                <w:kern w:val="0"/>
              </w:rPr>
              <w:t>二、废水</w:t>
            </w:r>
          </w:p>
          <w:p>
            <w:pPr>
              <w:tabs>
                <w:tab w:val="left" w:pos="2280"/>
              </w:tabs>
              <w:snapToGrid w:val="0"/>
              <w:ind w:firstLine="480"/>
              <w:rPr>
                <w:color w:val="000000" w:themeColor="text1"/>
              </w:rPr>
            </w:pPr>
            <w:r>
              <w:rPr>
                <w:rFonts w:hint="eastAsia"/>
                <w:color w:val="000000" w:themeColor="text1"/>
              </w:rPr>
              <w:t>根据工程分析，项目无生产废水产生，</w:t>
            </w:r>
            <w:r>
              <w:rPr>
                <w:rStyle w:val="26"/>
                <w:rFonts w:hint="eastAsia"/>
                <w:sz w:val="24"/>
                <w:szCs w:val="24"/>
              </w:rPr>
              <w:t>员工依托石材厂原有员工，无生活办公废水产生</w:t>
            </w:r>
            <w:r>
              <w:rPr>
                <w:rFonts w:hint="eastAsia"/>
                <w:color w:val="000000" w:themeColor="text1"/>
              </w:rPr>
              <w:t>，故本项目不设置废水总量控制指标。</w:t>
            </w:r>
          </w:p>
          <w:p>
            <w:pPr>
              <w:snapToGrid w:val="0"/>
              <w:ind w:firstLine="482"/>
              <w:rPr>
                <w:b/>
                <w:color w:val="000000" w:themeColor="text1"/>
                <w:kern w:val="0"/>
              </w:rPr>
            </w:pPr>
            <w:r>
              <w:rPr>
                <w:rFonts w:hint="eastAsia"/>
                <w:b/>
                <w:color w:val="000000" w:themeColor="text1"/>
                <w:kern w:val="0"/>
              </w:rPr>
              <w:t>三、固体废物</w:t>
            </w:r>
          </w:p>
          <w:p>
            <w:pPr>
              <w:snapToGrid w:val="0"/>
              <w:ind w:firstLine="480"/>
              <w:rPr>
                <w:color w:val="000000" w:themeColor="text1"/>
                <w:kern w:val="0"/>
              </w:rPr>
            </w:pPr>
            <w:r>
              <w:rPr>
                <w:rFonts w:hint="eastAsia"/>
                <w:color w:val="000000" w:themeColor="text1"/>
                <w:kern w:val="0"/>
              </w:rPr>
              <w:t>项目产生的固体废物得到合理处置，处置量达100%，故不设总量控制指标。</w:t>
            </w:r>
          </w:p>
          <w:p>
            <w:pPr>
              <w:snapToGrid w:val="0"/>
              <w:ind w:firstLine="0" w:firstLineChars="0"/>
              <w:rPr>
                <w:color w:val="000000" w:themeColor="text1"/>
              </w:rPr>
            </w:pPr>
          </w:p>
        </w:tc>
      </w:tr>
    </w:tbl>
    <w:p>
      <w:pPr>
        <w:ind w:firstLine="480"/>
      </w:pPr>
      <w:r>
        <w:br w:type="page"/>
      </w:r>
    </w:p>
    <w:p>
      <w:pPr>
        <w:pStyle w:val="14"/>
        <w:keepNext/>
        <w:spacing w:line="420" w:lineRule="atLeast"/>
        <w:ind w:left="-410" w:leftChars="-171" w:firstLine="301" w:firstLineChars="100"/>
        <w:jc w:val="left"/>
        <w:outlineLvl w:val="0"/>
        <w:rPr>
          <w:rFonts w:ascii="Times New Roman" w:hAnsi="Times New Roman"/>
          <w:b/>
          <w:color w:val="000000" w:themeColor="text1"/>
          <w:sz w:val="30"/>
        </w:rPr>
      </w:pPr>
      <w:bookmarkStart w:id="25" w:name="_Toc48829766"/>
      <w:bookmarkStart w:id="26" w:name="_Toc25934"/>
      <w:bookmarkStart w:id="27" w:name="_Toc11165"/>
      <w:r>
        <w:rPr>
          <w:rFonts w:ascii="Times New Roman" w:hAnsi="Times New Roman"/>
          <w:b/>
          <w:color w:val="000000" w:themeColor="text1"/>
          <w:sz w:val="30"/>
        </w:rPr>
        <w:t>表五、建设项目工程分析</w:t>
      </w:r>
      <w:bookmarkEnd w:id="25"/>
      <w:bookmarkEnd w:id="26"/>
      <w:bookmarkStart w:id="28" w:name="_Hlt470842579"/>
      <w:bookmarkEnd w:id="28"/>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adjustRightInd w:val="0"/>
              <w:ind w:firstLine="482"/>
              <w:rPr>
                <w:b/>
                <w:color w:val="000000" w:themeColor="text1"/>
              </w:rPr>
            </w:pPr>
            <w:r>
              <w:rPr>
                <w:rFonts w:hint="eastAsia"/>
                <w:b/>
                <w:color w:val="000000" w:themeColor="text1"/>
              </w:rPr>
              <w:t>一、</w:t>
            </w:r>
            <w:r>
              <w:rPr>
                <w:b/>
                <w:color w:val="000000" w:themeColor="text1"/>
              </w:rPr>
              <w:t>工艺流程简述（图示）</w:t>
            </w:r>
          </w:p>
          <w:p>
            <w:pPr>
              <w:adjustRightInd w:val="0"/>
              <w:snapToGrid w:val="0"/>
              <w:ind w:firstLine="482"/>
              <w:rPr>
                <w:b/>
                <w:bCs/>
              </w:rPr>
            </w:pPr>
            <w:r>
              <w:rPr>
                <w:rFonts w:hint="eastAsia"/>
                <w:b/>
                <w:bCs/>
              </w:rPr>
              <w:t>1、施工期</w:t>
            </w:r>
          </w:p>
          <w:p>
            <w:pPr>
              <w:snapToGrid w:val="0"/>
              <w:ind w:firstLine="480"/>
            </w:pPr>
            <w:r>
              <w:rPr>
                <w:rFonts w:hint="eastAsia"/>
              </w:rPr>
              <w:t>项目利用预留场地建设废石料破碎生产线，施工期主要为地面平整、搭建厂房、室内外装修、设备安装、开挖截排水沟、初期雨水收集池。</w:t>
            </w:r>
            <w:r>
              <w:rPr>
                <w:rFonts w:hint="eastAsia" w:hAnsi="宋体"/>
              </w:rPr>
              <w:t>项目计划于</w:t>
            </w:r>
            <w:r>
              <w:rPr>
                <w:kern w:val="0"/>
              </w:rPr>
              <w:t>202</w:t>
            </w:r>
            <w:r>
              <w:rPr>
                <w:rFonts w:hint="eastAsia"/>
                <w:kern w:val="0"/>
              </w:rPr>
              <w:t>1</w:t>
            </w:r>
            <w:r>
              <w:rPr>
                <w:kern w:val="0"/>
              </w:rPr>
              <w:t>年</w:t>
            </w:r>
            <w:r>
              <w:rPr>
                <w:rFonts w:hint="eastAsia"/>
                <w:kern w:val="0"/>
              </w:rPr>
              <w:t>1</w:t>
            </w:r>
            <w:r>
              <w:rPr>
                <w:kern w:val="0"/>
              </w:rPr>
              <w:t>月</w:t>
            </w:r>
            <w:r>
              <w:rPr>
                <w:rFonts w:hint="eastAsia"/>
                <w:kern w:val="0"/>
              </w:rPr>
              <w:t>初</w:t>
            </w:r>
            <w:r>
              <w:rPr>
                <w:kern w:val="0"/>
              </w:rPr>
              <w:t>开工建设，</w:t>
            </w:r>
            <w:r>
              <w:rPr>
                <w:rFonts w:hint="eastAsia"/>
                <w:kern w:val="0"/>
              </w:rPr>
              <w:t>2021年5</w:t>
            </w:r>
            <w:r>
              <w:rPr>
                <w:kern w:val="0"/>
              </w:rPr>
              <w:t>月</w:t>
            </w:r>
            <w:r>
              <w:rPr>
                <w:rFonts w:hint="eastAsia"/>
                <w:kern w:val="0"/>
              </w:rPr>
              <w:t>末</w:t>
            </w:r>
            <w:r>
              <w:rPr>
                <w:kern w:val="0"/>
              </w:rPr>
              <w:t>竣工</w:t>
            </w:r>
            <w:r>
              <w:rPr>
                <w:rFonts w:hint="eastAsia" w:hAnsi="宋体"/>
              </w:rPr>
              <w:t>，施工期为5个月。</w:t>
            </w:r>
            <w:r>
              <w:rPr>
                <w:rFonts w:hint="eastAsia"/>
              </w:rPr>
              <w:t>施工期工艺流程及</w:t>
            </w:r>
            <w:r>
              <w:t>各阶段产污环节见图5</w:t>
            </w:r>
            <w:r>
              <w:rPr>
                <w:rFonts w:hint="eastAsia"/>
              </w:rPr>
              <w:t>.1</w:t>
            </w:r>
            <w:r>
              <w:t>-1。</w:t>
            </w:r>
          </w:p>
          <w:p>
            <w:pPr>
              <w:snapToGrid w:val="0"/>
              <w:ind w:firstLine="480"/>
              <w:rPr>
                <w:color w:val="000000" w:themeColor="text1"/>
              </w:rPr>
            </w:pPr>
            <w:r>
              <w:rPr>
                <w:rFonts w:hint="eastAsia"/>
                <w:color w:val="000000" w:themeColor="text1"/>
              </w:rPr>
              <w:t>项目施工工艺流程及产污环节见图5-1。</w:t>
            </w:r>
          </w:p>
          <w:p>
            <w:pPr>
              <w:snapToGrid w:val="0"/>
              <w:ind w:firstLine="480"/>
              <w:jc w:val="center"/>
            </w:pPr>
            <w:r>
              <w:object>
                <v:shape id="_x0000_i1025" o:spt="75" type="#_x0000_t75" style="height:154.5pt;width:372pt;" o:ole="t" filled="f" o:preferrelative="t" stroked="f" coordsize="21600,21600">
                  <v:path/>
                  <v:fill on="f" focussize="0,0"/>
                  <v:stroke on="f" joinstyle="miter"/>
                  <v:imagedata r:id="rId19" o:title=""/>
                  <o:lock v:ext="edit" aspectratio="t"/>
                  <w10:wrap type="none"/>
                  <w10:anchorlock/>
                </v:shape>
                <o:OLEObject Type="Embed" ProgID="Visio.Drawing.11" ShapeID="_x0000_i1025" DrawAspect="Content" ObjectID="_1468075725" r:id="rId18">
                  <o:LockedField>false</o:LockedField>
                </o:OLEObject>
              </w:object>
            </w:r>
          </w:p>
          <w:p>
            <w:pPr>
              <w:snapToGrid w:val="0"/>
              <w:ind w:firstLine="482"/>
              <w:jc w:val="center"/>
              <w:rPr>
                <w:b/>
                <w:color w:val="000000" w:themeColor="text1"/>
                <w:szCs w:val="21"/>
              </w:rPr>
            </w:pPr>
            <w:r>
              <w:rPr>
                <w:rFonts w:hint="eastAsia"/>
                <w:b/>
                <w:color w:val="000000" w:themeColor="text1"/>
                <w:szCs w:val="21"/>
              </w:rPr>
              <w:t>图5-1  项目施工工艺流程及产污环节图</w:t>
            </w:r>
          </w:p>
          <w:p>
            <w:pPr>
              <w:adjustRightInd w:val="0"/>
              <w:snapToGrid w:val="0"/>
              <w:ind w:firstLine="482"/>
              <w:rPr>
                <w:b/>
                <w:bCs/>
              </w:rPr>
            </w:pPr>
            <w:r>
              <w:rPr>
                <w:rFonts w:hint="eastAsia"/>
                <w:b/>
                <w:bCs/>
              </w:rPr>
              <w:t>2、运营期</w:t>
            </w:r>
          </w:p>
          <w:p>
            <w:pPr>
              <w:pStyle w:val="9"/>
              <w:ind w:firstLine="480"/>
              <w:rPr>
                <w:rFonts w:hint="eastAsia"/>
                <w:color w:val="000000" w:themeColor="text1"/>
              </w:rPr>
            </w:pPr>
            <w:r>
              <w:rPr>
                <w:color w:val="000000" w:themeColor="text1"/>
              </w:rPr>
              <w:t xml:space="preserve"> 工艺</w:t>
            </w:r>
            <w:r>
              <w:rPr>
                <w:rFonts w:hint="eastAsia"/>
                <w:color w:val="000000" w:themeColor="text1"/>
              </w:rPr>
              <w:t>简介：</w:t>
            </w:r>
          </w:p>
          <w:p>
            <w:pPr>
              <w:pStyle w:val="3"/>
              <w:ind w:firstLine="480"/>
              <w:rPr>
                <w:rFonts w:hint="eastAsia" w:eastAsia="宋体"/>
                <w:color w:val="000000" w:themeColor="text1"/>
                <w:szCs w:val="24"/>
                <w:lang w:eastAsia="zh-CN"/>
              </w:rPr>
            </w:pPr>
            <w:r>
              <w:rPr>
                <w:rFonts w:hint="eastAsia"/>
              </w:rPr>
              <w:t>将原有废石料作为原料生产</w:t>
            </w:r>
            <w:r>
              <w:rPr>
                <w:rFonts w:hint="eastAsia"/>
                <w:lang w:eastAsia="zh-CN"/>
              </w:rPr>
              <w:t>细石料</w:t>
            </w:r>
            <w:r>
              <w:rPr>
                <w:color w:val="000000" w:themeColor="text1"/>
                <w:szCs w:val="24"/>
              </w:rPr>
              <w:t>生产工艺主要分为</w:t>
            </w:r>
            <w:r>
              <w:rPr>
                <w:rFonts w:hint="eastAsia"/>
                <w:color w:val="000000" w:themeColor="text1"/>
                <w:szCs w:val="24"/>
              </w:rPr>
              <w:t>三</w:t>
            </w:r>
            <w:r>
              <w:rPr>
                <w:color w:val="000000" w:themeColor="text1"/>
                <w:szCs w:val="24"/>
              </w:rPr>
              <w:t>个工段：</w:t>
            </w:r>
            <w:r>
              <w:rPr>
                <w:rFonts w:hint="eastAsia"/>
                <w:color w:val="000000" w:themeColor="text1"/>
                <w:szCs w:val="24"/>
              </w:rPr>
              <w:t>卸料</w:t>
            </w:r>
            <w:r>
              <w:rPr>
                <w:color w:val="000000" w:themeColor="text1"/>
                <w:szCs w:val="24"/>
              </w:rPr>
              <w:t>、</w:t>
            </w:r>
            <w:r>
              <w:rPr>
                <w:rFonts w:hint="eastAsia"/>
                <w:color w:val="000000" w:themeColor="text1"/>
                <w:szCs w:val="24"/>
              </w:rPr>
              <w:t>一次破碎</w:t>
            </w:r>
            <w:r>
              <w:rPr>
                <w:color w:val="000000" w:themeColor="text1"/>
                <w:szCs w:val="24"/>
              </w:rPr>
              <w:t>、</w:t>
            </w:r>
            <w:r>
              <w:rPr>
                <w:rFonts w:hint="eastAsia"/>
                <w:color w:val="000000" w:themeColor="text1"/>
                <w:szCs w:val="24"/>
              </w:rPr>
              <w:t>二次破碎筛分</w:t>
            </w:r>
            <w:r>
              <w:rPr>
                <w:color w:val="000000" w:themeColor="text1"/>
                <w:szCs w:val="24"/>
              </w:rPr>
              <w:t>。</w:t>
            </w:r>
            <w:r>
              <w:rPr>
                <w:rFonts w:hint="eastAsia"/>
                <w:color w:val="000000" w:themeColor="text1"/>
                <w:szCs w:val="24"/>
              </w:rPr>
              <w:t>具体工艺流程见图5-</w:t>
            </w:r>
            <w:r>
              <w:rPr>
                <w:rFonts w:hint="eastAsia"/>
                <w:color w:val="000000" w:themeColor="text1"/>
                <w:szCs w:val="24"/>
                <w:lang w:val="en-US" w:eastAsia="zh-CN"/>
              </w:rPr>
              <w:t>2</w:t>
            </w:r>
          </w:p>
          <w:p>
            <w:pPr>
              <w:pStyle w:val="3"/>
              <w:ind w:firstLine="0" w:firstLineChars="0"/>
              <w:rPr>
                <w:color w:val="000000" w:themeColor="text1"/>
                <w:szCs w:val="24"/>
              </w:rPr>
            </w:pPr>
            <w:r>
              <w:rPr>
                <w:color w:val="000000" w:themeColor="text1"/>
                <w:szCs w:val="24"/>
              </w:rPr>
              <w:object>
                <v:shape id="_x0000_i1026" o:spt="75" type="#_x0000_t75" style="height:161.6pt;width:414.85pt;" o:ole="t" filled="f" o:preferrelative="t" stroked="f" coordsize="21600,21600">
                  <v:path/>
                  <v:fill on="f" focussize="0,0"/>
                  <v:stroke on="f"/>
                  <v:imagedata r:id="rId21" o:title=""/>
                  <o:lock v:ext="edit" aspectratio="f"/>
                  <w10:wrap type="none"/>
                  <w10:anchorlock/>
                </v:shape>
                <o:OLEObject Type="Embed" ProgID="Visio.Drawing.11" ShapeID="_x0000_i1026" DrawAspect="Content" ObjectID="_1468075726" r:id="rId20">
                  <o:LockedField>false</o:LockedField>
                </o:OLEObject>
              </w:object>
            </w:r>
          </w:p>
          <w:p>
            <w:pPr>
              <w:pStyle w:val="3"/>
              <w:ind w:firstLine="0" w:firstLineChars="0"/>
              <w:jc w:val="center"/>
              <w:rPr>
                <w:b/>
                <w:bCs/>
                <w:color w:val="auto"/>
                <w:szCs w:val="24"/>
              </w:rPr>
            </w:pPr>
            <w:r>
              <w:rPr>
                <w:rFonts w:hint="eastAsia"/>
                <w:b/>
                <w:bCs/>
                <w:color w:val="auto"/>
                <w:szCs w:val="24"/>
              </w:rPr>
              <w:t>图5-</w:t>
            </w:r>
            <w:r>
              <w:rPr>
                <w:rFonts w:hint="eastAsia"/>
                <w:b/>
                <w:bCs/>
                <w:color w:val="auto"/>
                <w:szCs w:val="24"/>
                <w:lang w:val="en-US" w:eastAsia="zh-CN"/>
              </w:rPr>
              <w:t>2</w:t>
            </w:r>
            <w:r>
              <w:rPr>
                <w:rFonts w:hint="eastAsia"/>
                <w:b/>
                <w:bCs/>
                <w:color w:val="auto"/>
                <w:szCs w:val="24"/>
              </w:rPr>
              <w:t xml:space="preserve"> 项目工艺流程图</w:t>
            </w:r>
          </w:p>
          <w:p>
            <w:pPr>
              <w:rPr>
                <w:rFonts w:hAnsi="宋体"/>
                <w:b/>
                <w:sz w:val="28"/>
                <w:szCs w:val="28"/>
              </w:rPr>
            </w:pPr>
            <w:r>
              <w:rPr>
                <w:rFonts w:hint="eastAsia" w:hAnsi="宋体"/>
                <w:b/>
                <w:sz w:val="28"/>
                <w:szCs w:val="28"/>
              </w:rPr>
              <w:t>工艺流程简述：</w:t>
            </w:r>
          </w:p>
          <w:p>
            <w:pPr>
              <w:ind w:firstLine="482"/>
              <w:jc w:val="left"/>
              <w:rPr>
                <w:kern w:val="1"/>
              </w:rPr>
            </w:pPr>
            <w:r>
              <w:rPr>
                <w:rFonts w:hint="eastAsia"/>
                <w:b/>
                <w:bCs/>
                <w:kern w:val="1"/>
              </w:rPr>
              <w:t>卸料：</w:t>
            </w:r>
            <w:r>
              <w:rPr>
                <w:rFonts w:hint="eastAsia"/>
                <w:kern w:val="1"/>
              </w:rPr>
              <w:t>石材机工项目产生的废石料运入至项目区原料堆存间堆存，由铲车运送至破碎机进料口，进料时喷淋管对废石料进行喷淋；</w:t>
            </w:r>
          </w:p>
          <w:p>
            <w:pPr>
              <w:ind w:firstLine="480"/>
              <w:jc w:val="left"/>
              <w:rPr>
                <w:kern w:val="1"/>
              </w:rPr>
            </w:pPr>
            <w:r>
              <w:rPr>
                <w:rFonts w:hint="eastAsia"/>
                <w:kern w:val="1"/>
              </w:rPr>
              <w:t>污染物：此过程会产生噪声、粉尘；</w:t>
            </w:r>
          </w:p>
          <w:p>
            <w:pPr>
              <w:ind w:firstLine="482"/>
              <w:jc w:val="left"/>
              <w:rPr>
                <w:kern w:val="1"/>
              </w:rPr>
            </w:pPr>
            <w:r>
              <w:rPr>
                <w:rFonts w:hint="eastAsia"/>
                <w:b/>
                <w:bCs/>
                <w:kern w:val="1"/>
              </w:rPr>
              <w:t>一次破碎：</w:t>
            </w:r>
            <w:r>
              <w:rPr>
                <w:rFonts w:hint="eastAsia"/>
                <w:kern w:val="1"/>
              </w:rPr>
              <w:t>石料（粒径＜0.8m）被均匀的送进破碎机进行初步破碎（一次破碎），一级破碎后粒径约</w:t>
            </w:r>
            <w:r>
              <w:rPr>
                <w:kern w:val="1"/>
              </w:rPr>
              <w:t>1-10</w:t>
            </w:r>
            <w:r>
              <w:rPr>
                <w:rFonts w:hint="eastAsia"/>
                <w:kern w:val="1"/>
              </w:rPr>
              <w:t>c</w:t>
            </w:r>
            <w:r>
              <w:rPr>
                <w:kern w:val="1"/>
              </w:rPr>
              <w:t>m</w:t>
            </w:r>
            <w:r>
              <w:rPr>
                <w:rFonts w:hint="eastAsia"/>
                <w:kern w:val="1"/>
              </w:rPr>
              <w:t>；产生的粗料由全封闭皮带输送机输送至打砂机；</w:t>
            </w:r>
          </w:p>
          <w:p>
            <w:pPr>
              <w:ind w:firstLine="480"/>
              <w:jc w:val="left"/>
              <w:rPr>
                <w:kern w:val="1"/>
              </w:rPr>
            </w:pPr>
            <w:r>
              <w:rPr>
                <w:rFonts w:hint="eastAsia"/>
                <w:kern w:val="1"/>
              </w:rPr>
              <w:t>污染物：此过程会产生噪声、粉尘、固废；</w:t>
            </w:r>
          </w:p>
          <w:p>
            <w:pPr>
              <w:ind w:firstLine="482"/>
              <w:jc w:val="left"/>
              <w:rPr>
                <w:rFonts w:hint="eastAsia"/>
                <w:kern w:val="1"/>
              </w:rPr>
            </w:pPr>
            <w:r>
              <w:rPr>
                <w:rFonts w:hint="eastAsia"/>
                <w:b/>
                <w:bCs/>
                <w:kern w:val="1"/>
              </w:rPr>
              <w:t>二次破碎筛分：</w:t>
            </w:r>
            <w:r>
              <w:rPr>
                <w:rFonts w:hint="eastAsia"/>
                <w:kern w:val="1"/>
              </w:rPr>
              <w:t>产生的粗料经打砂机进行进一步破碎（二次破碎），进料时喷淋管对石料进行喷淋；细碎后的石料</w:t>
            </w:r>
            <w:r>
              <w:rPr>
                <w:rFonts w:hint="eastAsia"/>
                <w:kern w:val="1"/>
                <w:lang w:eastAsia="zh-CN"/>
              </w:rPr>
              <w:t>经打砂机自带筛子</w:t>
            </w:r>
            <w:r>
              <w:rPr>
                <w:rFonts w:hint="eastAsia"/>
                <w:kern w:val="1"/>
              </w:rPr>
              <w:t>筛分出符合规格的</w:t>
            </w:r>
            <w:r>
              <w:rPr>
                <w:rFonts w:hint="eastAsia"/>
                <w:kern w:val="1"/>
                <w:lang w:eastAsia="zh-CN"/>
              </w:rPr>
              <w:t>细石料</w:t>
            </w:r>
            <w:r>
              <w:rPr>
                <w:rFonts w:hint="eastAsia"/>
                <w:kern w:val="1"/>
              </w:rPr>
              <w:t>（粒径＜0.5mm）由全封闭皮带输送机进入</w:t>
            </w:r>
          </w:p>
          <w:p>
            <w:pPr>
              <w:ind w:firstLine="482"/>
              <w:jc w:val="left"/>
              <w:rPr>
                <w:kern w:val="1"/>
              </w:rPr>
            </w:pPr>
            <w:r>
              <w:rPr>
                <w:rFonts w:hint="eastAsia"/>
                <w:kern w:val="1"/>
              </w:rPr>
              <w:t>成品堆存间，不满足粒度要求的</w:t>
            </w:r>
            <w:r>
              <w:rPr>
                <w:rFonts w:hint="eastAsia"/>
                <w:kern w:val="1"/>
                <w:lang w:eastAsia="zh-CN"/>
              </w:rPr>
              <w:t>细石料</w:t>
            </w:r>
            <w:r>
              <w:rPr>
                <w:rFonts w:hint="eastAsia"/>
              </w:rPr>
              <w:t>（粒径≥0.5mm）</w:t>
            </w:r>
            <w:r>
              <w:rPr>
                <w:rFonts w:hint="eastAsia"/>
                <w:kern w:val="1"/>
              </w:rPr>
              <w:t>返回打砂机再次破碎；</w:t>
            </w:r>
          </w:p>
          <w:p>
            <w:pPr>
              <w:pStyle w:val="15"/>
              <w:ind w:firstLine="480"/>
            </w:pPr>
            <w:r>
              <w:rPr>
                <w:rFonts w:hint="eastAsia"/>
                <w:kern w:val="1"/>
              </w:rPr>
              <w:t>污染物：此过程会产生噪声、粉尘、固废。</w:t>
            </w:r>
          </w:p>
          <w:p>
            <w:pPr>
              <w:pStyle w:val="18"/>
              <w:tabs>
                <w:tab w:val="left" w:pos="1110"/>
              </w:tabs>
              <w:snapToGrid w:val="0"/>
              <w:ind w:firstLine="0" w:firstLineChars="0"/>
              <w:jc w:val="both"/>
              <w:rPr>
                <w:b/>
                <w:color w:val="000000" w:themeColor="text1"/>
                <w:szCs w:val="28"/>
              </w:rPr>
            </w:pPr>
            <w:r>
              <w:rPr>
                <w:rFonts w:hint="eastAsia"/>
                <w:b/>
                <w:color w:val="000000" w:themeColor="text1"/>
                <w:szCs w:val="28"/>
              </w:rPr>
              <w:t>二、物料平衡</w:t>
            </w:r>
          </w:p>
          <w:p>
            <w:pPr>
              <w:pStyle w:val="18"/>
              <w:tabs>
                <w:tab w:val="left" w:pos="1110"/>
              </w:tabs>
              <w:snapToGrid w:val="0"/>
              <w:ind w:firstLine="480"/>
              <w:jc w:val="both"/>
              <w:rPr>
                <w:bCs/>
                <w:color w:val="000000" w:themeColor="text1"/>
                <w:sz w:val="24"/>
                <w:szCs w:val="24"/>
              </w:rPr>
            </w:pPr>
            <w:r>
              <w:rPr>
                <w:rFonts w:hint="eastAsia"/>
                <w:bCs/>
                <w:color w:val="000000" w:themeColor="text1"/>
                <w:sz w:val="24"/>
                <w:szCs w:val="24"/>
              </w:rPr>
              <w:t>根据工程分析，项目物料平衡见图5-3。</w:t>
            </w:r>
          </w:p>
          <w:p>
            <w:pPr>
              <w:pStyle w:val="18"/>
              <w:tabs>
                <w:tab w:val="left" w:pos="1110"/>
              </w:tabs>
              <w:snapToGrid w:val="0"/>
              <w:ind w:firstLine="0" w:firstLineChars="0"/>
              <w:jc w:val="center"/>
              <w:rPr>
                <w:b/>
                <w:color w:val="000000" w:themeColor="text1"/>
                <w:szCs w:val="21"/>
              </w:rPr>
            </w:pPr>
            <w:r>
              <w:rPr>
                <w:color w:val="000000" w:themeColor="text1"/>
              </w:rPr>
              <w:object>
                <v:shape id="_x0000_i1027" o:spt="75" type="#_x0000_t75" style="height:194.25pt;width:415.5pt;" o:ole="t" filled="f" o:preferrelative="t" stroked="f" coordsize="21600,21600">
                  <v:path/>
                  <v:fill on="f" focussize="0,0"/>
                  <v:stroke on="f"/>
                  <v:imagedata r:id="rId23" o:title=""/>
                  <o:lock v:ext="edit" aspectratio="t"/>
                  <w10:wrap type="none"/>
                  <w10:anchorlock/>
                </v:shape>
                <o:OLEObject Type="Embed" ProgID="Visio.Drawing.11" ShapeID="_x0000_i1027" DrawAspect="Content" ObjectID="_1468075727" r:id="rId22">
                  <o:LockedField>false</o:LockedField>
                </o:OLEObject>
              </w:object>
            </w:r>
            <w:r>
              <w:rPr>
                <w:rFonts w:hint="eastAsia"/>
                <w:b/>
                <w:color w:val="000000" w:themeColor="text1"/>
                <w:sz w:val="24"/>
                <w:szCs w:val="24"/>
              </w:rPr>
              <w:t>图5-3  项目物料平衡图     单位：t/a</w:t>
            </w:r>
          </w:p>
          <w:p>
            <w:pPr>
              <w:pStyle w:val="18"/>
              <w:tabs>
                <w:tab w:val="left" w:pos="1110"/>
              </w:tabs>
              <w:snapToGrid w:val="0"/>
              <w:ind w:firstLine="0" w:firstLineChars="0"/>
              <w:jc w:val="both"/>
              <w:rPr>
                <w:b/>
                <w:color w:val="000000" w:themeColor="text1"/>
                <w:szCs w:val="28"/>
              </w:rPr>
            </w:pPr>
            <w:r>
              <w:rPr>
                <w:rFonts w:hint="eastAsia"/>
                <w:b/>
                <w:color w:val="000000" w:themeColor="text1"/>
                <w:szCs w:val="28"/>
              </w:rPr>
              <w:t>三、项目污染源及源强分析</w:t>
            </w:r>
          </w:p>
          <w:p>
            <w:pPr>
              <w:adjustRightInd w:val="0"/>
              <w:snapToGrid w:val="0"/>
              <w:ind w:firstLine="472" w:firstLineChars="196"/>
              <w:rPr>
                <w:b/>
                <w:color w:val="000000" w:themeColor="text1"/>
              </w:rPr>
            </w:pPr>
            <w:r>
              <w:rPr>
                <w:rFonts w:hint="eastAsia"/>
                <w:b/>
                <w:color w:val="000000" w:themeColor="text1"/>
              </w:rPr>
              <w:t>1、施工期污染源强分析</w:t>
            </w:r>
          </w:p>
          <w:p>
            <w:pPr>
              <w:adjustRightInd w:val="0"/>
              <w:snapToGrid w:val="0"/>
              <w:ind w:firstLine="482"/>
              <w:rPr>
                <w:b/>
                <w:bCs/>
                <w:color w:val="000000" w:themeColor="text1"/>
              </w:rPr>
            </w:pPr>
            <w:r>
              <w:rPr>
                <w:rFonts w:hint="eastAsia"/>
                <w:b/>
                <w:bCs/>
                <w:color w:val="000000" w:themeColor="text1"/>
              </w:rPr>
              <w:t>（1）</w:t>
            </w:r>
            <w:r>
              <w:rPr>
                <w:b/>
                <w:bCs/>
                <w:color w:val="000000" w:themeColor="text1"/>
              </w:rPr>
              <w:t>废气</w:t>
            </w:r>
          </w:p>
          <w:p>
            <w:pPr>
              <w:adjustRightInd w:val="0"/>
              <w:snapToGrid w:val="0"/>
              <w:ind w:firstLine="480"/>
              <w:rPr>
                <w:bCs/>
                <w:color w:val="000000" w:themeColor="text1"/>
              </w:rPr>
            </w:pPr>
            <w:r>
              <w:rPr>
                <w:rFonts w:hint="eastAsia"/>
                <w:bCs/>
                <w:color w:val="000000" w:themeColor="text1"/>
              </w:rPr>
              <w:t>本项目施工所需混凝土均为外购商品混凝土，施工现场不进行混凝土拌合。施工期废气主要是土石方开挖回填、建筑物建设、建筑材料装卸运输等作业过程产生的施工扬尘，以及运输车辆及燃油机械设备产生的燃油废气。</w:t>
            </w:r>
          </w:p>
          <w:p>
            <w:pPr>
              <w:autoSpaceDE w:val="0"/>
              <w:autoSpaceDN w:val="0"/>
              <w:snapToGrid w:val="0"/>
              <w:ind w:firstLine="480"/>
              <w:rPr>
                <w:color w:val="000000"/>
              </w:rPr>
            </w:pPr>
            <w:r>
              <w:rPr>
                <w:rFonts w:hint="eastAsia"/>
                <w:color w:val="000000"/>
              </w:rPr>
              <w:t>①</w:t>
            </w:r>
            <w:r>
              <w:rPr>
                <w:rFonts w:hint="eastAsia"/>
                <w:bCs/>
                <w:color w:val="000000" w:themeColor="text1"/>
              </w:rPr>
              <w:t>施工扬尘</w:t>
            </w:r>
          </w:p>
          <w:p>
            <w:pPr>
              <w:autoSpaceDE w:val="0"/>
              <w:autoSpaceDN w:val="0"/>
              <w:snapToGrid w:val="0"/>
              <w:ind w:firstLine="480"/>
              <w:rPr>
                <w:color w:val="000000" w:themeColor="text1"/>
              </w:rPr>
            </w:pPr>
            <w:r>
              <w:rPr>
                <w:rFonts w:hint="eastAsia"/>
                <w:color w:val="000000" w:themeColor="text1"/>
              </w:rPr>
              <w:t>施工过程中，</w:t>
            </w:r>
            <w:r>
              <w:rPr>
                <w:rFonts w:hint="eastAsia"/>
                <w:bCs/>
                <w:color w:val="000000" w:themeColor="text1"/>
              </w:rPr>
              <w:t>土石方开挖回填、建筑物建设、建筑材料装卸运输等作业过程</w:t>
            </w:r>
            <w:r>
              <w:rPr>
                <w:rFonts w:hint="eastAsia"/>
                <w:color w:val="000000" w:themeColor="text1"/>
              </w:rPr>
              <w:t>会产生扬尘；此外，施工材料运输过程中，运输车辆行驶形成动力起尘，施工运输车辆如未封闭遮盖，或进出施工场地时携带大量泥土，在运输过程中受颠簸影响还易抛洒形成扬尘，对施工场地及运输道路周边环境空气质量产生影响。</w:t>
            </w:r>
          </w:p>
          <w:p>
            <w:pPr>
              <w:adjustRightInd w:val="0"/>
              <w:snapToGrid w:val="0"/>
              <w:ind w:firstLine="480"/>
              <w:rPr>
                <w:color w:val="000000" w:themeColor="text1"/>
              </w:rPr>
            </w:pPr>
            <w:r>
              <w:rPr>
                <w:rFonts w:hint="eastAsia"/>
                <w:color w:val="000000" w:themeColor="text1"/>
              </w:rPr>
              <w:t>施工扬尘属无组织排放，其排放量与施工作业方式及气象条件有密切关系，类比同类工程实测情况，施工场地扬尘浓度一般为3~10mg/m</w:t>
            </w:r>
            <w:r>
              <w:rPr>
                <w:rFonts w:hint="eastAsia"/>
                <w:color w:val="000000" w:themeColor="text1"/>
                <w:vertAlign w:val="superscript"/>
              </w:rPr>
              <w:t>3</w:t>
            </w:r>
            <w:r>
              <w:rPr>
                <w:rFonts w:hint="eastAsia"/>
                <w:color w:val="000000" w:themeColor="text1"/>
              </w:rPr>
              <w:t>，其影响主要集中在施工场地200m范围内。运输车辆引起的扬尘则主要对运输道路沿线30m范围内影响较大。总体来看施工扬尘影响范围较小，时间也较短，施工结束后自动消除。</w:t>
            </w:r>
          </w:p>
          <w:p>
            <w:pPr>
              <w:adjustRightInd w:val="0"/>
              <w:snapToGrid w:val="0"/>
              <w:ind w:firstLine="448" w:firstLineChars="187"/>
              <w:rPr>
                <w:bCs/>
                <w:color w:val="000000" w:themeColor="text1"/>
              </w:rPr>
            </w:pPr>
            <w:r>
              <w:rPr>
                <w:rFonts w:hint="eastAsia"/>
                <w:bCs/>
                <w:color w:val="000000" w:themeColor="text1"/>
              </w:rPr>
              <w:t>②燃油废气</w:t>
            </w:r>
          </w:p>
          <w:p>
            <w:pPr>
              <w:snapToGrid w:val="0"/>
              <w:ind w:firstLine="480"/>
              <w:rPr>
                <w:bCs/>
                <w:color w:val="000000" w:themeColor="text1"/>
              </w:rPr>
            </w:pPr>
            <w:r>
              <w:rPr>
                <w:rFonts w:hint="eastAsia"/>
                <w:bCs/>
                <w:color w:val="000000" w:themeColor="text1"/>
              </w:rPr>
              <w:t>项目施工过程中施工机械运行产生的燃油废气、运输车辆运输产生的尾气均是由柴油和汽油燃烧后所产生，为影响空气环境的主要污染物之一，主要污染成份是烯烃类、CO和NO</w:t>
            </w:r>
            <w:r>
              <w:rPr>
                <w:rFonts w:hint="eastAsia"/>
                <w:bCs/>
                <w:color w:val="000000" w:themeColor="text1"/>
                <w:vertAlign w:val="subscript"/>
              </w:rPr>
              <w:t>x</w:t>
            </w:r>
            <w:r>
              <w:rPr>
                <w:rFonts w:hint="eastAsia"/>
                <w:bCs/>
                <w:color w:val="000000" w:themeColor="text1"/>
              </w:rPr>
              <w:t>，属无组织排放。</w:t>
            </w:r>
          </w:p>
          <w:p>
            <w:pPr>
              <w:snapToGrid w:val="0"/>
              <w:ind w:firstLine="482"/>
              <w:rPr>
                <w:b/>
                <w:bCs/>
                <w:color w:val="000000" w:themeColor="text1"/>
              </w:rPr>
            </w:pPr>
            <w:r>
              <w:rPr>
                <w:rFonts w:hint="eastAsia"/>
                <w:b/>
                <w:bCs/>
                <w:color w:val="000000" w:themeColor="text1"/>
              </w:rPr>
              <w:t>2、废水</w:t>
            </w:r>
          </w:p>
          <w:p>
            <w:pPr>
              <w:adjustRightInd w:val="0"/>
              <w:snapToGrid w:val="0"/>
              <w:ind w:firstLine="480"/>
              <w:rPr>
                <w:bCs/>
                <w:color w:val="000000" w:themeColor="text1"/>
              </w:rPr>
            </w:pPr>
            <w:r>
              <w:rPr>
                <w:rFonts w:hint="eastAsia"/>
                <w:bCs/>
                <w:color w:val="000000" w:themeColor="text1"/>
              </w:rPr>
              <w:t>项目所需的混凝土全部采用外购商品混凝土供给，施工现场不设混凝土拌合站，施工生产废水的产生量很少，主要是施工车辆及机械设备的冲洗废水、施工人员产生的生活污水。</w:t>
            </w:r>
          </w:p>
          <w:p>
            <w:pPr>
              <w:adjustRightInd w:val="0"/>
              <w:snapToGrid w:val="0"/>
              <w:ind w:firstLine="480"/>
              <w:rPr>
                <w:bCs/>
                <w:color w:val="000000" w:themeColor="text1"/>
              </w:rPr>
            </w:pPr>
            <w:r>
              <w:rPr>
                <w:rFonts w:hint="eastAsia"/>
                <w:color w:val="000000"/>
              </w:rPr>
              <w:t>①</w:t>
            </w:r>
            <w:r>
              <w:rPr>
                <w:rFonts w:hint="eastAsia"/>
                <w:bCs/>
                <w:color w:val="000000" w:themeColor="text1"/>
              </w:rPr>
              <w:t>生活污水</w:t>
            </w:r>
          </w:p>
          <w:p>
            <w:pPr>
              <w:adjustRightInd w:val="0"/>
              <w:snapToGrid w:val="0"/>
              <w:ind w:firstLine="480"/>
              <w:rPr>
                <w:color w:val="000000" w:themeColor="text1"/>
              </w:rPr>
            </w:pPr>
            <w:r>
              <w:rPr>
                <w:rFonts w:hint="eastAsia"/>
                <w:color w:val="000000" w:themeColor="text1"/>
              </w:rPr>
              <w:t>项目不设施工营地，施工人员均不在厂区内住宿，餐饮依托项目石材厂，</w:t>
            </w:r>
            <w:r>
              <w:rPr>
                <w:color w:val="000000" w:themeColor="text1"/>
              </w:rPr>
              <w:t>施工期的生活污水主要是</w:t>
            </w:r>
            <w:r>
              <w:rPr>
                <w:rFonts w:hint="eastAsia"/>
                <w:color w:val="000000" w:themeColor="text1"/>
              </w:rPr>
              <w:t>洗手废水及厨房废水等。</w:t>
            </w:r>
          </w:p>
          <w:p>
            <w:pPr>
              <w:adjustRightInd w:val="0"/>
              <w:snapToGrid w:val="0"/>
              <w:ind w:firstLine="480"/>
              <w:rPr>
                <w:color w:val="000000" w:themeColor="text1"/>
              </w:rPr>
            </w:pPr>
            <w:r>
              <w:rPr>
                <w:rFonts w:hint="eastAsia"/>
                <w:color w:val="000000" w:themeColor="text1"/>
              </w:rPr>
              <w:t>项目施工期施工人员高峰期约有5人，施工人员用水量按30</w:t>
            </w:r>
            <w:r>
              <w:rPr>
                <w:color w:val="000000" w:themeColor="text1"/>
              </w:rPr>
              <w:t>L</w:t>
            </w:r>
            <w:r>
              <w:rPr>
                <w:rFonts w:hint="eastAsia"/>
                <w:color w:val="000000" w:themeColor="text1"/>
              </w:rPr>
              <w:t>/人·</w:t>
            </w:r>
            <w:r>
              <w:rPr>
                <w:color w:val="000000" w:themeColor="text1"/>
              </w:rPr>
              <w:t>d</w:t>
            </w:r>
            <w:r>
              <w:rPr>
                <w:rFonts w:hint="eastAsia"/>
                <w:color w:val="000000" w:themeColor="text1"/>
              </w:rPr>
              <w:t>计</w:t>
            </w:r>
            <w:r>
              <w:rPr>
                <w:color w:val="000000" w:themeColor="text1"/>
              </w:rPr>
              <w:t>，</w:t>
            </w:r>
            <w:r>
              <w:rPr>
                <w:rFonts w:hint="eastAsia"/>
                <w:color w:val="000000" w:themeColor="text1"/>
              </w:rPr>
              <w:t>则施工期生活用水量为0.15</w:t>
            </w:r>
            <w:r>
              <w:rPr>
                <w:color w:val="000000" w:themeColor="text1"/>
              </w:rPr>
              <w:t>m</w:t>
            </w:r>
            <w:r>
              <w:rPr>
                <w:color w:val="000000" w:themeColor="text1"/>
                <w:vertAlign w:val="superscript"/>
              </w:rPr>
              <w:t>3</w:t>
            </w:r>
            <w:r>
              <w:rPr>
                <w:color w:val="000000" w:themeColor="text1"/>
              </w:rPr>
              <w:t>/d，</w:t>
            </w:r>
            <w:r>
              <w:rPr>
                <w:rFonts w:hint="eastAsia"/>
                <w:color w:val="000000" w:themeColor="text1"/>
              </w:rPr>
              <w:t>废水产生系数按80%计，则施工期生活污水产生量为0.12</w:t>
            </w:r>
            <w:r>
              <w:rPr>
                <w:color w:val="000000" w:themeColor="text1"/>
              </w:rPr>
              <w:t>m</w:t>
            </w:r>
            <w:r>
              <w:rPr>
                <w:color w:val="000000" w:themeColor="text1"/>
                <w:vertAlign w:val="superscript"/>
              </w:rPr>
              <w:t>3</w:t>
            </w:r>
            <w:r>
              <w:rPr>
                <w:color w:val="000000" w:themeColor="text1"/>
              </w:rPr>
              <w:t>/d</w:t>
            </w:r>
            <w:r>
              <w:rPr>
                <w:rFonts w:hint="eastAsia"/>
                <w:color w:val="000000" w:themeColor="text1"/>
              </w:rPr>
              <w:t>。项目施工期施工人员生活污水依托石材厂生产废水沉淀池处理后，全部回用于施工场地洒水降尘。</w:t>
            </w:r>
          </w:p>
          <w:p>
            <w:pPr>
              <w:adjustRightInd w:val="0"/>
              <w:snapToGrid w:val="0"/>
              <w:ind w:firstLine="480"/>
              <w:rPr>
                <w:bCs/>
                <w:color w:val="000000" w:themeColor="text1"/>
              </w:rPr>
            </w:pPr>
            <w:r>
              <w:rPr>
                <w:rFonts w:hint="eastAsia"/>
                <w:bCs/>
                <w:color w:val="000000" w:themeColor="text1"/>
              </w:rPr>
              <w:t>②</w:t>
            </w:r>
            <w:r>
              <w:rPr>
                <w:rFonts w:hint="eastAsia"/>
                <w:color w:val="000000"/>
              </w:rPr>
              <w:t>施工废水</w:t>
            </w:r>
          </w:p>
          <w:p>
            <w:pPr>
              <w:adjustRightInd w:val="0"/>
              <w:snapToGrid w:val="0"/>
              <w:ind w:firstLine="480"/>
              <w:rPr>
                <w:bCs/>
                <w:color w:val="000000" w:themeColor="text1"/>
              </w:rPr>
            </w:pPr>
            <w:r>
              <w:rPr>
                <w:rFonts w:hint="eastAsia"/>
                <w:bCs/>
                <w:color w:val="000000" w:themeColor="text1"/>
              </w:rPr>
              <w:t>本项目施工期仅新建生产车间、截排水沟及各类环保设施，产生的施工废水很少，约为2m</w:t>
            </w:r>
            <w:r>
              <w:rPr>
                <w:rFonts w:hint="eastAsia"/>
                <w:bCs/>
                <w:color w:val="000000" w:themeColor="text1"/>
                <w:vertAlign w:val="superscript"/>
              </w:rPr>
              <w:t>3</w:t>
            </w:r>
            <w:r>
              <w:rPr>
                <w:rFonts w:hint="eastAsia"/>
                <w:bCs/>
                <w:color w:val="000000" w:themeColor="text1"/>
              </w:rPr>
              <w:t>/d，施工废水主要含有泥沙等污染物，与施工人员生活污水一起进入石材厂石材加工项目</w:t>
            </w:r>
            <w:r>
              <w:rPr>
                <w:rFonts w:hint="eastAsia"/>
                <w:color w:val="000000" w:themeColor="text1"/>
              </w:rPr>
              <w:t>生产废水沉淀池</w:t>
            </w:r>
            <w:r>
              <w:rPr>
                <w:rFonts w:hint="eastAsia"/>
                <w:bCs/>
                <w:color w:val="000000" w:themeColor="text1"/>
              </w:rPr>
              <w:t>收集沉淀处理后全部回用于施工场地洒水降尘。</w:t>
            </w:r>
          </w:p>
          <w:p>
            <w:pPr>
              <w:adjustRightInd w:val="0"/>
              <w:snapToGrid w:val="0"/>
              <w:ind w:firstLine="482"/>
              <w:rPr>
                <w:b/>
                <w:color w:val="000000" w:themeColor="text1"/>
              </w:rPr>
            </w:pPr>
            <w:r>
              <w:rPr>
                <w:rFonts w:hint="eastAsia"/>
                <w:b/>
                <w:color w:val="000000" w:themeColor="text1"/>
              </w:rPr>
              <w:t>3、噪声</w:t>
            </w:r>
          </w:p>
          <w:p>
            <w:pPr>
              <w:snapToGrid w:val="0"/>
              <w:ind w:firstLine="480"/>
              <w:rPr>
                <w:color w:val="000000" w:themeColor="text1"/>
              </w:rPr>
            </w:pPr>
            <w:r>
              <w:rPr>
                <w:rFonts w:hint="eastAsia"/>
                <w:color w:val="000000" w:themeColor="text1"/>
              </w:rPr>
              <w:t>项目施工过程中施工机械及噪声类比《社会区域类环境影响评价》（环境影响评价工程师职业资格登记培训教材中国环境科学出版社）中社会区域类项目施工过程内容，施工各阶段的噪声设备及源强见表</w:t>
            </w:r>
            <w:r>
              <w:rPr>
                <w:color w:val="000000" w:themeColor="text1"/>
              </w:rPr>
              <w:t>5-</w:t>
            </w:r>
            <w:r>
              <w:rPr>
                <w:rFonts w:hint="eastAsia"/>
                <w:color w:val="000000" w:themeColor="text1"/>
              </w:rPr>
              <w:t>2。施工期施工机械噪声源强为65-90dB（A）。</w:t>
            </w:r>
          </w:p>
          <w:p>
            <w:pPr>
              <w:snapToGrid w:val="0"/>
              <w:ind w:firstLine="482"/>
              <w:jc w:val="center"/>
              <w:rPr>
                <w:b/>
                <w:color w:val="000000" w:themeColor="text1"/>
                <w:szCs w:val="21"/>
              </w:rPr>
            </w:pPr>
            <w:r>
              <w:rPr>
                <w:rFonts w:hint="eastAsia"/>
                <w:b/>
                <w:color w:val="000000" w:themeColor="text1"/>
                <w:szCs w:val="21"/>
              </w:rPr>
              <w:t>表5-1  施工机械及噪声强度表  单位：</w:t>
            </w:r>
            <w:r>
              <w:rPr>
                <w:b/>
                <w:color w:val="000000" w:themeColor="text1"/>
                <w:szCs w:val="21"/>
              </w:rPr>
              <w:t>dB（A）</w:t>
            </w:r>
          </w:p>
          <w:tbl>
            <w:tblPr>
              <w:tblStyle w:val="22"/>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46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2376" w:type="dxa"/>
                  <w:vAlign w:val="center"/>
                </w:tcPr>
                <w:p>
                  <w:pPr>
                    <w:spacing w:line="240" w:lineRule="auto"/>
                    <w:ind w:firstLine="0" w:firstLineChars="0"/>
                    <w:jc w:val="center"/>
                    <w:rPr>
                      <w:b/>
                      <w:kern w:val="28"/>
                      <w:sz w:val="21"/>
                      <w:szCs w:val="21"/>
                    </w:rPr>
                  </w:pPr>
                  <w:r>
                    <w:rPr>
                      <w:b/>
                      <w:kern w:val="28"/>
                      <w:sz w:val="21"/>
                      <w:szCs w:val="21"/>
                    </w:rPr>
                    <w:t>施工阶段</w:t>
                  </w:r>
                </w:p>
              </w:tc>
              <w:tc>
                <w:tcPr>
                  <w:tcW w:w="3461" w:type="dxa"/>
                  <w:vAlign w:val="center"/>
                </w:tcPr>
                <w:p>
                  <w:pPr>
                    <w:spacing w:line="240" w:lineRule="auto"/>
                    <w:ind w:firstLine="0" w:firstLineChars="0"/>
                    <w:jc w:val="center"/>
                    <w:rPr>
                      <w:b/>
                      <w:kern w:val="28"/>
                      <w:sz w:val="21"/>
                      <w:szCs w:val="21"/>
                    </w:rPr>
                  </w:pPr>
                  <w:r>
                    <w:rPr>
                      <w:b/>
                      <w:kern w:val="28"/>
                      <w:sz w:val="21"/>
                      <w:szCs w:val="21"/>
                    </w:rPr>
                    <w:t>施工</w:t>
                  </w:r>
                  <w:r>
                    <w:rPr>
                      <w:rFonts w:hint="eastAsia"/>
                      <w:b/>
                      <w:kern w:val="28"/>
                      <w:sz w:val="21"/>
                      <w:szCs w:val="21"/>
                    </w:rPr>
                    <w:t>机械</w:t>
                  </w:r>
                </w:p>
              </w:tc>
              <w:tc>
                <w:tcPr>
                  <w:tcW w:w="2442" w:type="dxa"/>
                  <w:vAlign w:val="center"/>
                </w:tcPr>
                <w:p>
                  <w:pPr>
                    <w:spacing w:line="240" w:lineRule="auto"/>
                    <w:ind w:firstLine="0" w:firstLineChars="0"/>
                    <w:jc w:val="center"/>
                    <w:rPr>
                      <w:b/>
                      <w:kern w:val="28"/>
                      <w:sz w:val="21"/>
                      <w:szCs w:val="21"/>
                    </w:rPr>
                  </w:pPr>
                  <w:r>
                    <w:rPr>
                      <w:rFonts w:hint="eastAsia"/>
                      <w:b/>
                      <w:kern w:val="28"/>
                      <w:sz w:val="21"/>
                      <w:szCs w:val="21"/>
                    </w:rPr>
                    <w:t>噪声源强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restart"/>
                  <w:vAlign w:val="center"/>
                </w:tcPr>
                <w:p>
                  <w:pPr>
                    <w:spacing w:line="240" w:lineRule="auto"/>
                    <w:ind w:firstLine="0" w:firstLineChars="0"/>
                    <w:jc w:val="center"/>
                    <w:rPr>
                      <w:kern w:val="28"/>
                      <w:sz w:val="21"/>
                      <w:szCs w:val="21"/>
                    </w:rPr>
                  </w:pPr>
                  <w:r>
                    <w:rPr>
                      <w:rFonts w:hint="eastAsia"/>
                      <w:kern w:val="28"/>
                      <w:sz w:val="21"/>
                      <w:szCs w:val="21"/>
                    </w:rPr>
                    <w:t>土石方阶段</w:t>
                  </w:r>
                </w:p>
              </w:tc>
              <w:tc>
                <w:tcPr>
                  <w:tcW w:w="3461" w:type="dxa"/>
                  <w:vAlign w:val="center"/>
                </w:tcPr>
                <w:p>
                  <w:pPr>
                    <w:spacing w:line="240" w:lineRule="auto"/>
                    <w:ind w:firstLine="0" w:firstLineChars="0"/>
                    <w:jc w:val="center"/>
                    <w:rPr>
                      <w:sz w:val="21"/>
                      <w:szCs w:val="21"/>
                    </w:rPr>
                  </w:pPr>
                  <w:r>
                    <w:rPr>
                      <w:rFonts w:hint="eastAsia"/>
                      <w:sz w:val="21"/>
                      <w:szCs w:val="21"/>
                    </w:rPr>
                    <w:t>推土机</w:t>
                  </w:r>
                </w:p>
              </w:tc>
              <w:tc>
                <w:tcPr>
                  <w:tcW w:w="2442" w:type="dxa"/>
                  <w:vAlign w:val="center"/>
                </w:tcPr>
                <w:p>
                  <w:pPr>
                    <w:spacing w:line="240" w:lineRule="auto"/>
                    <w:ind w:firstLine="0" w:firstLineChars="0"/>
                    <w:jc w:val="center"/>
                    <w:rPr>
                      <w:sz w:val="21"/>
                      <w:szCs w:val="21"/>
                    </w:rPr>
                  </w:pPr>
                  <w:r>
                    <w:rPr>
                      <w:rFonts w:hint="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continue"/>
                  <w:vAlign w:val="center"/>
                </w:tcPr>
                <w:p>
                  <w:pPr>
                    <w:spacing w:line="240" w:lineRule="auto"/>
                    <w:ind w:firstLine="0" w:firstLineChars="0"/>
                    <w:jc w:val="center"/>
                    <w:rPr>
                      <w:kern w:val="28"/>
                      <w:sz w:val="21"/>
                      <w:szCs w:val="21"/>
                    </w:rPr>
                  </w:pPr>
                </w:p>
              </w:tc>
              <w:tc>
                <w:tcPr>
                  <w:tcW w:w="3461" w:type="dxa"/>
                  <w:vAlign w:val="center"/>
                </w:tcPr>
                <w:p>
                  <w:pPr>
                    <w:spacing w:line="240" w:lineRule="auto"/>
                    <w:ind w:firstLine="0" w:firstLineChars="0"/>
                    <w:jc w:val="center"/>
                    <w:rPr>
                      <w:sz w:val="21"/>
                      <w:szCs w:val="21"/>
                    </w:rPr>
                  </w:pPr>
                  <w:r>
                    <w:rPr>
                      <w:rFonts w:hint="eastAsia"/>
                      <w:sz w:val="21"/>
                      <w:szCs w:val="21"/>
                    </w:rPr>
                    <w:t>挖掘机</w:t>
                  </w:r>
                </w:p>
              </w:tc>
              <w:tc>
                <w:tcPr>
                  <w:tcW w:w="2442" w:type="dxa"/>
                  <w:vAlign w:val="center"/>
                </w:tcPr>
                <w:p>
                  <w:pPr>
                    <w:spacing w:line="240" w:lineRule="auto"/>
                    <w:ind w:firstLine="0" w:firstLineChars="0"/>
                    <w:jc w:val="center"/>
                    <w:rPr>
                      <w:sz w:val="21"/>
                      <w:szCs w:val="21"/>
                    </w:rPr>
                  </w:pPr>
                  <w:r>
                    <w:rPr>
                      <w:rFonts w:hint="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continue"/>
                  <w:vAlign w:val="center"/>
                </w:tcPr>
                <w:p>
                  <w:pPr>
                    <w:spacing w:line="240" w:lineRule="auto"/>
                    <w:ind w:firstLine="0" w:firstLineChars="0"/>
                    <w:jc w:val="center"/>
                    <w:rPr>
                      <w:kern w:val="28"/>
                      <w:sz w:val="21"/>
                      <w:szCs w:val="21"/>
                    </w:rPr>
                  </w:pPr>
                </w:p>
              </w:tc>
              <w:tc>
                <w:tcPr>
                  <w:tcW w:w="3461" w:type="dxa"/>
                  <w:vAlign w:val="center"/>
                </w:tcPr>
                <w:p>
                  <w:pPr>
                    <w:spacing w:line="240" w:lineRule="auto"/>
                    <w:ind w:firstLine="0" w:firstLineChars="0"/>
                    <w:jc w:val="center"/>
                    <w:rPr>
                      <w:kern w:val="28"/>
                      <w:sz w:val="21"/>
                      <w:szCs w:val="21"/>
                    </w:rPr>
                  </w:pPr>
                  <w:r>
                    <w:rPr>
                      <w:rFonts w:hint="eastAsia"/>
                      <w:kern w:val="28"/>
                      <w:sz w:val="21"/>
                      <w:szCs w:val="21"/>
                    </w:rPr>
                    <w:t>装载机</w:t>
                  </w:r>
                </w:p>
              </w:tc>
              <w:tc>
                <w:tcPr>
                  <w:tcW w:w="2442" w:type="dxa"/>
                  <w:vAlign w:val="center"/>
                </w:tcPr>
                <w:p>
                  <w:pPr>
                    <w:spacing w:line="240" w:lineRule="auto"/>
                    <w:ind w:firstLine="0" w:firstLineChars="0"/>
                    <w:jc w:val="center"/>
                    <w:rPr>
                      <w:kern w:val="28"/>
                      <w:sz w:val="21"/>
                      <w:szCs w:val="21"/>
                    </w:rPr>
                  </w:pPr>
                  <w:r>
                    <w:rPr>
                      <w:rFonts w:hint="eastAsia"/>
                      <w:kern w:val="28"/>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restart"/>
                  <w:vAlign w:val="center"/>
                </w:tcPr>
                <w:p>
                  <w:pPr>
                    <w:spacing w:line="240" w:lineRule="auto"/>
                    <w:ind w:firstLine="0" w:firstLineChars="0"/>
                    <w:jc w:val="center"/>
                    <w:rPr>
                      <w:kern w:val="28"/>
                      <w:sz w:val="21"/>
                      <w:szCs w:val="21"/>
                    </w:rPr>
                  </w:pPr>
                  <w:r>
                    <w:rPr>
                      <w:rFonts w:hint="eastAsia"/>
                      <w:kern w:val="28"/>
                      <w:sz w:val="21"/>
                      <w:szCs w:val="21"/>
                    </w:rPr>
                    <w:t>基础阶段</w:t>
                  </w:r>
                </w:p>
              </w:tc>
              <w:tc>
                <w:tcPr>
                  <w:tcW w:w="3461" w:type="dxa"/>
                  <w:vAlign w:val="center"/>
                </w:tcPr>
                <w:p>
                  <w:pPr>
                    <w:spacing w:line="240" w:lineRule="auto"/>
                    <w:ind w:firstLine="0" w:firstLineChars="0"/>
                    <w:jc w:val="center"/>
                    <w:rPr>
                      <w:sz w:val="21"/>
                      <w:szCs w:val="21"/>
                    </w:rPr>
                  </w:pPr>
                  <w:r>
                    <w:rPr>
                      <w:rFonts w:hint="eastAsia"/>
                      <w:sz w:val="21"/>
                      <w:szCs w:val="21"/>
                    </w:rPr>
                    <w:t>挖掘机</w:t>
                  </w:r>
                </w:p>
              </w:tc>
              <w:tc>
                <w:tcPr>
                  <w:tcW w:w="2442" w:type="dxa"/>
                  <w:vAlign w:val="center"/>
                </w:tcPr>
                <w:p>
                  <w:pPr>
                    <w:spacing w:line="240" w:lineRule="auto"/>
                    <w:ind w:firstLine="0" w:firstLineChars="0"/>
                    <w:jc w:val="center"/>
                    <w:rPr>
                      <w:sz w:val="21"/>
                      <w:szCs w:val="21"/>
                    </w:rPr>
                  </w:pPr>
                  <w:r>
                    <w:rPr>
                      <w:rFonts w:hint="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continue"/>
                  <w:vAlign w:val="center"/>
                </w:tcPr>
                <w:p>
                  <w:pPr>
                    <w:spacing w:line="240" w:lineRule="auto"/>
                    <w:ind w:firstLine="0" w:firstLineChars="0"/>
                    <w:jc w:val="center"/>
                    <w:rPr>
                      <w:kern w:val="28"/>
                      <w:sz w:val="21"/>
                      <w:szCs w:val="21"/>
                    </w:rPr>
                  </w:pPr>
                </w:p>
              </w:tc>
              <w:tc>
                <w:tcPr>
                  <w:tcW w:w="3461" w:type="dxa"/>
                  <w:vAlign w:val="center"/>
                </w:tcPr>
                <w:p>
                  <w:pPr>
                    <w:spacing w:line="240" w:lineRule="auto"/>
                    <w:ind w:firstLine="0" w:firstLineChars="0"/>
                    <w:jc w:val="center"/>
                    <w:rPr>
                      <w:sz w:val="21"/>
                      <w:szCs w:val="21"/>
                    </w:rPr>
                  </w:pPr>
                  <w:r>
                    <w:rPr>
                      <w:rFonts w:hint="eastAsia"/>
                      <w:sz w:val="21"/>
                      <w:szCs w:val="21"/>
                    </w:rPr>
                    <w:t>推土机</w:t>
                  </w:r>
                </w:p>
              </w:tc>
              <w:tc>
                <w:tcPr>
                  <w:tcW w:w="2442" w:type="dxa"/>
                  <w:vAlign w:val="center"/>
                </w:tcPr>
                <w:p>
                  <w:pPr>
                    <w:spacing w:line="240" w:lineRule="auto"/>
                    <w:ind w:firstLine="0" w:firstLineChars="0"/>
                    <w:jc w:val="center"/>
                    <w:rPr>
                      <w:sz w:val="21"/>
                      <w:szCs w:val="21"/>
                    </w:rPr>
                  </w:pPr>
                  <w:r>
                    <w:rPr>
                      <w:rFonts w:hint="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continue"/>
                  <w:vAlign w:val="center"/>
                </w:tcPr>
                <w:p>
                  <w:pPr>
                    <w:spacing w:line="240" w:lineRule="auto"/>
                    <w:ind w:firstLine="0" w:firstLineChars="0"/>
                    <w:jc w:val="center"/>
                    <w:rPr>
                      <w:kern w:val="28"/>
                      <w:sz w:val="21"/>
                      <w:szCs w:val="21"/>
                    </w:rPr>
                  </w:pPr>
                </w:p>
              </w:tc>
              <w:tc>
                <w:tcPr>
                  <w:tcW w:w="3461" w:type="dxa"/>
                  <w:vAlign w:val="center"/>
                </w:tcPr>
                <w:p>
                  <w:pPr>
                    <w:spacing w:line="240" w:lineRule="auto"/>
                    <w:ind w:firstLine="0" w:firstLineChars="0"/>
                    <w:jc w:val="center"/>
                    <w:rPr>
                      <w:sz w:val="21"/>
                      <w:szCs w:val="21"/>
                    </w:rPr>
                  </w:pPr>
                  <w:r>
                    <w:rPr>
                      <w:rFonts w:hint="eastAsia"/>
                      <w:sz w:val="21"/>
                      <w:szCs w:val="21"/>
                    </w:rPr>
                    <w:t>碾压机</w:t>
                  </w:r>
                </w:p>
              </w:tc>
              <w:tc>
                <w:tcPr>
                  <w:tcW w:w="2442" w:type="dxa"/>
                  <w:vAlign w:val="center"/>
                </w:tcPr>
                <w:p>
                  <w:pPr>
                    <w:spacing w:line="240" w:lineRule="auto"/>
                    <w:ind w:firstLine="0" w:firstLineChars="0"/>
                    <w:jc w:val="center"/>
                    <w:rPr>
                      <w:sz w:val="21"/>
                      <w:szCs w:val="21"/>
                    </w:rPr>
                  </w:pPr>
                  <w:r>
                    <w:rPr>
                      <w:rFonts w:hint="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restart"/>
                  <w:vAlign w:val="center"/>
                </w:tcPr>
                <w:p>
                  <w:pPr>
                    <w:spacing w:line="240" w:lineRule="auto"/>
                    <w:ind w:firstLine="0" w:firstLineChars="0"/>
                    <w:jc w:val="center"/>
                    <w:rPr>
                      <w:kern w:val="28"/>
                      <w:sz w:val="21"/>
                      <w:szCs w:val="21"/>
                    </w:rPr>
                  </w:pPr>
                  <w:r>
                    <w:rPr>
                      <w:rFonts w:hint="eastAsia"/>
                      <w:kern w:val="28"/>
                      <w:sz w:val="21"/>
                      <w:szCs w:val="21"/>
                    </w:rPr>
                    <w:t>结构阶段</w:t>
                  </w:r>
                </w:p>
              </w:tc>
              <w:tc>
                <w:tcPr>
                  <w:tcW w:w="3461" w:type="dxa"/>
                  <w:vAlign w:val="center"/>
                </w:tcPr>
                <w:p>
                  <w:pPr>
                    <w:spacing w:line="240" w:lineRule="auto"/>
                    <w:ind w:firstLine="0" w:firstLineChars="0"/>
                    <w:jc w:val="center"/>
                    <w:rPr>
                      <w:sz w:val="21"/>
                      <w:szCs w:val="21"/>
                    </w:rPr>
                  </w:pPr>
                  <w:r>
                    <w:rPr>
                      <w:rFonts w:hint="eastAsia"/>
                      <w:sz w:val="21"/>
                      <w:szCs w:val="21"/>
                    </w:rPr>
                    <w:t>振捣器</w:t>
                  </w:r>
                </w:p>
              </w:tc>
              <w:tc>
                <w:tcPr>
                  <w:tcW w:w="2442" w:type="dxa"/>
                  <w:vAlign w:val="center"/>
                </w:tcPr>
                <w:p>
                  <w:pPr>
                    <w:spacing w:line="240" w:lineRule="auto"/>
                    <w:ind w:firstLine="0" w:firstLineChars="0"/>
                    <w:jc w:val="center"/>
                    <w:rPr>
                      <w:sz w:val="21"/>
                      <w:szCs w:val="21"/>
                    </w:rPr>
                  </w:pPr>
                  <w:r>
                    <w:rPr>
                      <w:rFonts w:hint="eastAsia"/>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continue"/>
                  <w:vAlign w:val="center"/>
                </w:tcPr>
                <w:p>
                  <w:pPr>
                    <w:spacing w:line="240" w:lineRule="auto"/>
                    <w:ind w:firstLine="0" w:firstLineChars="0"/>
                    <w:jc w:val="center"/>
                    <w:rPr>
                      <w:kern w:val="28"/>
                      <w:sz w:val="21"/>
                      <w:szCs w:val="21"/>
                    </w:rPr>
                  </w:pPr>
                </w:p>
              </w:tc>
              <w:tc>
                <w:tcPr>
                  <w:tcW w:w="3461" w:type="dxa"/>
                  <w:vAlign w:val="center"/>
                </w:tcPr>
                <w:p>
                  <w:pPr>
                    <w:spacing w:line="240" w:lineRule="auto"/>
                    <w:ind w:firstLine="0" w:firstLineChars="0"/>
                    <w:jc w:val="center"/>
                    <w:rPr>
                      <w:sz w:val="21"/>
                      <w:szCs w:val="21"/>
                    </w:rPr>
                  </w:pPr>
                  <w:r>
                    <w:rPr>
                      <w:rFonts w:hint="eastAsia"/>
                      <w:sz w:val="21"/>
                      <w:szCs w:val="21"/>
                    </w:rPr>
                    <w:t>电锯</w:t>
                  </w:r>
                </w:p>
              </w:tc>
              <w:tc>
                <w:tcPr>
                  <w:tcW w:w="2442" w:type="dxa"/>
                  <w:vAlign w:val="center"/>
                </w:tcPr>
                <w:p>
                  <w:pPr>
                    <w:spacing w:line="240" w:lineRule="auto"/>
                    <w:ind w:firstLine="0" w:firstLineChars="0"/>
                    <w:jc w:val="center"/>
                    <w:rPr>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continue"/>
                  <w:vAlign w:val="center"/>
                </w:tcPr>
                <w:p>
                  <w:pPr>
                    <w:spacing w:line="240" w:lineRule="auto"/>
                    <w:ind w:firstLine="0" w:firstLineChars="0"/>
                    <w:jc w:val="center"/>
                    <w:rPr>
                      <w:kern w:val="28"/>
                      <w:sz w:val="21"/>
                      <w:szCs w:val="21"/>
                    </w:rPr>
                  </w:pPr>
                </w:p>
              </w:tc>
              <w:tc>
                <w:tcPr>
                  <w:tcW w:w="3461" w:type="dxa"/>
                  <w:vAlign w:val="center"/>
                </w:tcPr>
                <w:p>
                  <w:pPr>
                    <w:spacing w:line="240" w:lineRule="auto"/>
                    <w:ind w:firstLine="0" w:firstLineChars="0"/>
                    <w:jc w:val="center"/>
                    <w:rPr>
                      <w:sz w:val="21"/>
                      <w:szCs w:val="21"/>
                    </w:rPr>
                  </w:pPr>
                  <w:r>
                    <w:rPr>
                      <w:rFonts w:hint="eastAsia"/>
                      <w:sz w:val="21"/>
                      <w:szCs w:val="21"/>
                    </w:rPr>
                    <w:t>电焊机</w:t>
                  </w:r>
                </w:p>
              </w:tc>
              <w:tc>
                <w:tcPr>
                  <w:tcW w:w="2442" w:type="dxa"/>
                  <w:vAlign w:val="center"/>
                </w:tcPr>
                <w:p>
                  <w:pPr>
                    <w:spacing w:line="240" w:lineRule="auto"/>
                    <w:ind w:firstLine="0" w:firstLineChars="0"/>
                    <w:jc w:val="center"/>
                    <w:rPr>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restart"/>
                  <w:vAlign w:val="center"/>
                </w:tcPr>
                <w:p>
                  <w:pPr>
                    <w:spacing w:line="240" w:lineRule="auto"/>
                    <w:ind w:firstLine="0" w:firstLineChars="0"/>
                    <w:jc w:val="center"/>
                    <w:rPr>
                      <w:kern w:val="28"/>
                      <w:sz w:val="21"/>
                      <w:szCs w:val="21"/>
                    </w:rPr>
                  </w:pPr>
                  <w:r>
                    <w:rPr>
                      <w:rFonts w:hint="eastAsia"/>
                      <w:kern w:val="28"/>
                      <w:sz w:val="21"/>
                      <w:szCs w:val="21"/>
                    </w:rPr>
                    <w:t>装修、安装阶段</w:t>
                  </w:r>
                </w:p>
              </w:tc>
              <w:tc>
                <w:tcPr>
                  <w:tcW w:w="3461" w:type="dxa"/>
                  <w:vAlign w:val="center"/>
                </w:tcPr>
                <w:p>
                  <w:pPr>
                    <w:spacing w:line="240" w:lineRule="auto"/>
                    <w:ind w:firstLine="0" w:firstLineChars="0"/>
                    <w:jc w:val="center"/>
                    <w:rPr>
                      <w:sz w:val="21"/>
                      <w:szCs w:val="21"/>
                    </w:rPr>
                  </w:pPr>
                  <w:r>
                    <w:rPr>
                      <w:rFonts w:hint="eastAsia"/>
                      <w:sz w:val="21"/>
                      <w:szCs w:val="21"/>
                    </w:rPr>
                    <w:t>电钻</w:t>
                  </w:r>
                </w:p>
              </w:tc>
              <w:tc>
                <w:tcPr>
                  <w:tcW w:w="2442" w:type="dxa"/>
                  <w:vAlign w:val="center"/>
                </w:tcPr>
                <w:p>
                  <w:pPr>
                    <w:spacing w:line="240" w:lineRule="auto"/>
                    <w:ind w:firstLine="0" w:firstLineChars="0"/>
                    <w:jc w:val="center"/>
                    <w:rPr>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continue"/>
                  <w:vAlign w:val="center"/>
                </w:tcPr>
                <w:p>
                  <w:pPr>
                    <w:spacing w:line="240" w:lineRule="auto"/>
                    <w:ind w:firstLine="0" w:firstLineChars="0"/>
                    <w:jc w:val="center"/>
                    <w:rPr>
                      <w:kern w:val="28"/>
                      <w:sz w:val="21"/>
                      <w:szCs w:val="21"/>
                    </w:rPr>
                  </w:pPr>
                </w:p>
              </w:tc>
              <w:tc>
                <w:tcPr>
                  <w:tcW w:w="3461" w:type="dxa"/>
                  <w:vAlign w:val="center"/>
                </w:tcPr>
                <w:p>
                  <w:pPr>
                    <w:spacing w:line="240" w:lineRule="auto"/>
                    <w:ind w:firstLine="0" w:firstLineChars="0"/>
                    <w:jc w:val="center"/>
                    <w:rPr>
                      <w:sz w:val="21"/>
                      <w:szCs w:val="21"/>
                    </w:rPr>
                  </w:pPr>
                  <w:r>
                    <w:rPr>
                      <w:rFonts w:hint="eastAsia"/>
                      <w:sz w:val="21"/>
                      <w:szCs w:val="21"/>
                    </w:rPr>
                    <w:t>无齿锯</w:t>
                  </w:r>
                </w:p>
              </w:tc>
              <w:tc>
                <w:tcPr>
                  <w:tcW w:w="2442" w:type="dxa"/>
                  <w:vAlign w:val="center"/>
                </w:tcPr>
                <w:p>
                  <w:pPr>
                    <w:spacing w:line="240" w:lineRule="auto"/>
                    <w:ind w:firstLine="0" w:firstLineChars="0"/>
                    <w:jc w:val="center"/>
                    <w:rPr>
                      <w:sz w:val="21"/>
                      <w:szCs w:val="21"/>
                    </w:rPr>
                  </w:pPr>
                  <w:r>
                    <w:rPr>
                      <w:rFonts w:hint="eastAsia"/>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6" w:type="dxa"/>
                  <w:vMerge w:val="continue"/>
                  <w:vAlign w:val="center"/>
                </w:tcPr>
                <w:p>
                  <w:pPr>
                    <w:spacing w:line="240" w:lineRule="auto"/>
                    <w:ind w:firstLine="0" w:firstLineChars="0"/>
                    <w:jc w:val="center"/>
                    <w:rPr>
                      <w:kern w:val="28"/>
                      <w:sz w:val="21"/>
                      <w:szCs w:val="21"/>
                    </w:rPr>
                  </w:pPr>
                </w:p>
              </w:tc>
              <w:tc>
                <w:tcPr>
                  <w:tcW w:w="3461" w:type="dxa"/>
                  <w:vAlign w:val="center"/>
                </w:tcPr>
                <w:p>
                  <w:pPr>
                    <w:spacing w:line="240" w:lineRule="auto"/>
                    <w:ind w:firstLine="0" w:firstLineChars="0"/>
                    <w:jc w:val="center"/>
                    <w:rPr>
                      <w:sz w:val="21"/>
                      <w:szCs w:val="21"/>
                    </w:rPr>
                  </w:pPr>
                  <w:r>
                    <w:rPr>
                      <w:rFonts w:hint="eastAsia"/>
                      <w:sz w:val="21"/>
                      <w:szCs w:val="21"/>
                    </w:rPr>
                    <w:t>电锯</w:t>
                  </w:r>
                </w:p>
              </w:tc>
              <w:tc>
                <w:tcPr>
                  <w:tcW w:w="2442" w:type="dxa"/>
                  <w:vAlign w:val="center"/>
                </w:tcPr>
                <w:p>
                  <w:pPr>
                    <w:spacing w:line="240" w:lineRule="auto"/>
                    <w:ind w:firstLine="0" w:firstLineChars="0"/>
                    <w:jc w:val="center"/>
                    <w:rPr>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376" w:type="dxa"/>
                  <w:vMerge w:val="continue"/>
                  <w:vAlign w:val="center"/>
                </w:tcPr>
                <w:p>
                  <w:pPr>
                    <w:spacing w:line="240" w:lineRule="auto"/>
                    <w:ind w:firstLine="0" w:firstLineChars="0"/>
                    <w:jc w:val="center"/>
                    <w:rPr>
                      <w:kern w:val="28"/>
                      <w:sz w:val="21"/>
                      <w:szCs w:val="21"/>
                    </w:rPr>
                  </w:pPr>
                </w:p>
              </w:tc>
              <w:tc>
                <w:tcPr>
                  <w:tcW w:w="3461" w:type="dxa"/>
                  <w:vAlign w:val="center"/>
                </w:tcPr>
                <w:p>
                  <w:pPr>
                    <w:spacing w:line="240" w:lineRule="auto"/>
                    <w:ind w:firstLine="0" w:firstLineChars="0"/>
                    <w:jc w:val="center"/>
                    <w:rPr>
                      <w:sz w:val="21"/>
                      <w:szCs w:val="21"/>
                    </w:rPr>
                  </w:pPr>
                  <w:r>
                    <w:rPr>
                      <w:rFonts w:hint="eastAsia"/>
                      <w:sz w:val="21"/>
                      <w:szCs w:val="21"/>
                    </w:rPr>
                    <w:t>轻型载重车</w:t>
                  </w:r>
                </w:p>
              </w:tc>
              <w:tc>
                <w:tcPr>
                  <w:tcW w:w="2442" w:type="dxa"/>
                  <w:vAlign w:val="center"/>
                </w:tcPr>
                <w:p>
                  <w:pPr>
                    <w:spacing w:line="240" w:lineRule="auto"/>
                    <w:ind w:firstLine="0" w:firstLineChars="0"/>
                    <w:jc w:val="center"/>
                    <w:rPr>
                      <w:sz w:val="21"/>
                      <w:szCs w:val="21"/>
                    </w:rPr>
                  </w:pPr>
                  <w:r>
                    <w:rPr>
                      <w:rFonts w:hint="eastAsia"/>
                      <w:sz w:val="21"/>
                      <w:szCs w:val="21"/>
                    </w:rPr>
                    <w:t>65</w:t>
                  </w:r>
                </w:p>
              </w:tc>
            </w:tr>
          </w:tbl>
          <w:p>
            <w:pPr>
              <w:snapToGrid w:val="0"/>
              <w:ind w:firstLine="482"/>
              <w:jc w:val="left"/>
              <w:rPr>
                <w:b/>
                <w:color w:val="000000" w:themeColor="text1"/>
              </w:rPr>
            </w:pPr>
            <w:r>
              <w:rPr>
                <w:rFonts w:hint="eastAsia"/>
                <w:b/>
                <w:color w:val="000000" w:themeColor="text1"/>
              </w:rPr>
              <w:t>4、固体废物</w:t>
            </w:r>
          </w:p>
          <w:p>
            <w:pPr>
              <w:adjustRightInd w:val="0"/>
              <w:snapToGrid w:val="0"/>
              <w:ind w:firstLine="480"/>
              <w:rPr>
                <w:bCs/>
                <w:color w:val="000000" w:themeColor="text1"/>
              </w:rPr>
            </w:pPr>
            <w:r>
              <w:rPr>
                <w:rFonts w:hint="eastAsia"/>
                <w:bCs/>
                <w:color w:val="000000" w:themeColor="text1"/>
              </w:rPr>
              <w:t>施工期固体废物主要有开挖土石方、施工中产生的建筑垃圾以及施工人员生活垃圾等。</w:t>
            </w:r>
          </w:p>
          <w:p>
            <w:pPr>
              <w:adjustRightInd w:val="0"/>
              <w:snapToGrid w:val="0"/>
              <w:ind w:firstLine="480"/>
              <w:rPr>
                <w:rFonts w:eastAsiaTheme="minorEastAsia"/>
                <w:bCs/>
                <w:color w:val="000000" w:themeColor="text1"/>
              </w:rPr>
            </w:pPr>
            <w:r>
              <w:rPr>
                <w:rFonts w:hAnsiTheme="minorEastAsia" w:eastAsiaTheme="minorEastAsia"/>
                <w:bCs/>
                <w:color w:val="000000" w:themeColor="text1"/>
              </w:rPr>
              <w:t>①土石方</w:t>
            </w:r>
          </w:p>
          <w:p>
            <w:pPr>
              <w:adjustRightInd w:val="0"/>
              <w:snapToGrid w:val="0"/>
              <w:ind w:firstLine="480"/>
              <w:rPr>
                <w:rFonts w:eastAsiaTheme="minorEastAsia"/>
                <w:bCs/>
                <w:color w:val="000000" w:themeColor="text1"/>
              </w:rPr>
            </w:pPr>
            <w:r>
              <w:rPr>
                <w:rFonts w:hAnsiTheme="minorEastAsia" w:eastAsiaTheme="minorEastAsia"/>
                <w:color w:val="000000" w:themeColor="text1"/>
              </w:rPr>
              <w:t>项目产生的土石方主要源于</w:t>
            </w:r>
            <w:r>
              <w:rPr>
                <w:rFonts w:hint="eastAsia" w:hAnsiTheme="minorEastAsia" w:eastAsiaTheme="minorEastAsia"/>
                <w:color w:val="000000" w:themeColor="text1"/>
              </w:rPr>
              <w:t>项目区</w:t>
            </w:r>
            <w:r>
              <w:rPr>
                <w:rFonts w:hAnsiTheme="minorEastAsia" w:eastAsiaTheme="minorEastAsia"/>
                <w:color w:val="000000" w:themeColor="text1"/>
              </w:rPr>
              <w:t>截排水沟</w:t>
            </w:r>
            <w:r>
              <w:rPr>
                <w:rStyle w:val="26"/>
                <w:rFonts w:hint="eastAsia"/>
              </w:rPr>
              <w:t>及</w:t>
            </w:r>
            <w:r>
              <w:rPr>
                <w:rFonts w:hint="eastAsia" w:hAnsiTheme="minorEastAsia" w:eastAsiaTheme="minorEastAsia"/>
                <w:color w:val="000000" w:themeColor="text1"/>
              </w:rPr>
              <w:t>初期雨水收集池等</w:t>
            </w:r>
            <w:r>
              <w:rPr>
                <w:rFonts w:hAnsiTheme="minorEastAsia" w:eastAsiaTheme="minorEastAsia"/>
                <w:color w:val="000000" w:themeColor="text1"/>
              </w:rPr>
              <w:t>开挖过程，开挖土石方较少，</w:t>
            </w:r>
            <w:r>
              <w:rPr>
                <w:rFonts w:hint="eastAsia" w:hAnsiTheme="minorEastAsia" w:eastAsiaTheme="minorEastAsia"/>
                <w:color w:val="000000" w:themeColor="text1"/>
              </w:rPr>
              <w:t>产生量为</w:t>
            </w:r>
            <w:r>
              <w:rPr>
                <w:rFonts w:hint="eastAsia" w:hAnsiTheme="minorEastAsia" w:eastAsiaTheme="minorEastAsia"/>
                <w:lang w:val="en-US" w:eastAsia="zh-CN"/>
              </w:rPr>
              <w:t>45</w:t>
            </w:r>
            <w:r>
              <w:rPr>
                <w:rFonts w:hint="eastAsia" w:hAnsiTheme="minorEastAsia" w:eastAsiaTheme="minorEastAsia"/>
              </w:rPr>
              <w:t>m</w:t>
            </w:r>
            <w:r>
              <w:rPr>
                <w:rFonts w:hint="eastAsia" w:hAnsiTheme="minorEastAsia" w:eastAsiaTheme="minorEastAsia"/>
                <w:vertAlign w:val="superscript"/>
              </w:rPr>
              <w:t>3</w:t>
            </w:r>
            <w:r>
              <w:rPr>
                <w:rFonts w:hint="eastAsia" w:hAnsiTheme="minorEastAsia" w:eastAsiaTheme="minorEastAsia"/>
                <w:color w:val="000000" w:themeColor="text1"/>
              </w:rPr>
              <w:t>，全部回用于项目区回填和绿化覆土，</w:t>
            </w:r>
            <w:r>
              <w:rPr>
                <w:rFonts w:hAnsiTheme="minorEastAsia" w:eastAsiaTheme="minorEastAsia"/>
                <w:color w:val="000000" w:themeColor="text1"/>
              </w:rPr>
              <w:t>不会产生废弃土石方。</w:t>
            </w:r>
          </w:p>
          <w:p>
            <w:pPr>
              <w:adjustRightInd w:val="0"/>
              <w:snapToGrid w:val="0"/>
              <w:ind w:firstLine="480"/>
              <w:rPr>
                <w:rFonts w:hAnsiTheme="minorEastAsia" w:eastAsiaTheme="minorEastAsia"/>
                <w:color w:val="000000" w:themeColor="text1"/>
              </w:rPr>
            </w:pPr>
            <w:r>
              <w:rPr>
                <w:rFonts w:hAnsiTheme="minorEastAsia" w:eastAsiaTheme="minorEastAsia"/>
                <w:color w:val="000000" w:themeColor="text1"/>
              </w:rPr>
              <w:t>②建筑垃圾</w:t>
            </w:r>
          </w:p>
          <w:p>
            <w:pPr>
              <w:adjustRightInd w:val="0"/>
              <w:snapToGrid w:val="0"/>
              <w:ind w:firstLine="480"/>
              <w:rPr>
                <w:rFonts w:hAnsiTheme="minorEastAsia" w:eastAsiaTheme="minorEastAsia"/>
                <w:bCs/>
                <w:color w:val="000000" w:themeColor="text1"/>
              </w:rPr>
            </w:pPr>
            <w:r>
              <w:rPr>
                <w:rFonts w:hAnsiTheme="minorEastAsia" w:eastAsiaTheme="minorEastAsia"/>
                <w:bCs/>
                <w:color w:val="000000" w:themeColor="text1"/>
              </w:rPr>
              <w:t>建筑垃圾</w:t>
            </w:r>
            <w:r>
              <w:rPr>
                <w:rFonts w:hint="eastAsia" w:hAnsiTheme="minorEastAsia" w:eastAsiaTheme="minorEastAsia"/>
                <w:bCs/>
                <w:color w:val="000000" w:themeColor="text1"/>
              </w:rPr>
              <w:t>主要</w:t>
            </w:r>
            <w:r>
              <w:rPr>
                <w:rFonts w:hAnsiTheme="minorEastAsia" w:eastAsiaTheme="minorEastAsia"/>
                <w:bCs/>
                <w:color w:val="000000" w:themeColor="text1"/>
              </w:rPr>
              <w:t>包括</w:t>
            </w:r>
            <w:r>
              <w:rPr>
                <w:bCs/>
              </w:rPr>
              <w:t>废弃的</w:t>
            </w:r>
            <w:r>
              <w:rPr>
                <w:rFonts w:hint="eastAsia"/>
                <w:bCs/>
              </w:rPr>
              <w:t>砖瓦</w:t>
            </w:r>
            <w:r>
              <w:rPr>
                <w:bCs/>
              </w:rPr>
              <w:t>、水泥凝结废渣</w:t>
            </w:r>
            <w:r>
              <w:rPr>
                <w:rFonts w:hAnsiTheme="minorEastAsia" w:eastAsiaTheme="minorEastAsia"/>
                <w:bCs/>
                <w:color w:val="000000" w:themeColor="text1"/>
              </w:rPr>
              <w:t>等</w:t>
            </w:r>
            <w:r>
              <w:rPr>
                <w:rFonts w:hint="eastAsia" w:hAnsiTheme="minorEastAsia" w:eastAsiaTheme="minorEastAsia"/>
                <w:bCs/>
                <w:color w:val="000000" w:themeColor="text1"/>
              </w:rPr>
              <w:t>，产生量约为</w:t>
            </w:r>
            <w:r>
              <w:rPr>
                <w:rFonts w:hint="eastAsia" w:hAnsiTheme="minorEastAsia" w:eastAsiaTheme="minorEastAsia"/>
                <w:bCs/>
              </w:rPr>
              <w:t>10</w:t>
            </w:r>
            <w:r>
              <w:rPr>
                <w:rFonts w:hAnsiTheme="minorEastAsia" w:eastAsiaTheme="minorEastAsia"/>
                <w:bCs/>
              </w:rPr>
              <w:t>m</w:t>
            </w:r>
            <w:r>
              <w:rPr>
                <w:rFonts w:hAnsiTheme="minorEastAsia" w:eastAsiaTheme="minorEastAsia"/>
                <w:bCs/>
                <w:vertAlign w:val="superscript"/>
              </w:rPr>
              <w:t>3</w:t>
            </w:r>
            <w:r>
              <w:rPr>
                <w:rFonts w:hint="eastAsia" w:hAnsiTheme="minorEastAsia" w:eastAsiaTheme="minorEastAsia"/>
                <w:bCs/>
              </w:rPr>
              <w:t>。</w:t>
            </w:r>
            <w:r>
              <w:rPr>
                <w:rFonts w:hint="eastAsia" w:hAnsiTheme="minorEastAsia" w:eastAsiaTheme="minorEastAsia"/>
                <w:bCs/>
                <w:color w:val="000000" w:themeColor="text1"/>
              </w:rPr>
              <w:t>建筑垃圾可利用部分经收集后外售，其余委托有资质单位清运至指定的建筑垃圾堆放场，禁止随意处置和堆放。</w:t>
            </w:r>
          </w:p>
          <w:p>
            <w:pPr>
              <w:adjustRightInd w:val="0"/>
              <w:snapToGrid w:val="0"/>
              <w:ind w:firstLine="480"/>
              <w:rPr>
                <w:rFonts w:eastAsiaTheme="minorEastAsia"/>
                <w:color w:val="000000" w:themeColor="text1"/>
              </w:rPr>
            </w:pPr>
            <w:r>
              <w:rPr>
                <w:rFonts w:hAnsiTheme="minorEastAsia" w:eastAsiaTheme="minorEastAsia"/>
                <w:color w:val="000000" w:themeColor="text1"/>
              </w:rPr>
              <w:t>③施工人员生活垃圾</w:t>
            </w:r>
          </w:p>
          <w:p>
            <w:pPr>
              <w:pStyle w:val="8"/>
              <w:ind w:firstLine="480"/>
              <w:rPr>
                <w:rFonts w:hAnsiTheme="minorEastAsia" w:eastAsiaTheme="minorEastAsia"/>
                <w:bCs/>
                <w:color w:val="000000" w:themeColor="text1"/>
              </w:rPr>
            </w:pPr>
            <w:r>
              <w:rPr>
                <w:rFonts w:hAnsiTheme="minorEastAsia" w:eastAsiaTheme="minorEastAsia"/>
                <w:color w:val="000000" w:themeColor="text1"/>
              </w:rPr>
              <w:t>项目施工期施工人员约</w:t>
            </w:r>
            <w:r>
              <w:rPr>
                <w:rFonts w:hint="eastAsia" w:eastAsiaTheme="minorEastAsia"/>
                <w:color w:val="000000" w:themeColor="text1"/>
              </w:rPr>
              <w:t>5</w:t>
            </w:r>
            <w:r>
              <w:rPr>
                <w:rFonts w:hAnsiTheme="minorEastAsia" w:eastAsiaTheme="minorEastAsia"/>
                <w:color w:val="000000" w:themeColor="text1"/>
              </w:rPr>
              <w:t>人，生活垃圾产生量按每人每天</w:t>
            </w:r>
            <w:r>
              <w:rPr>
                <w:rFonts w:eastAsiaTheme="minorEastAsia"/>
                <w:color w:val="000000" w:themeColor="text1"/>
              </w:rPr>
              <w:t>0.5kg</w:t>
            </w:r>
            <w:r>
              <w:rPr>
                <w:rFonts w:hAnsiTheme="minorEastAsia" w:eastAsiaTheme="minorEastAsia"/>
                <w:color w:val="000000" w:themeColor="text1"/>
              </w:rPr>
              <w:t>计，即生活垃圾产生量为</w:t>
            </w:r>
            <w:r>
              <w:rPr>
                <w:rFonts w:hint="eastAsia" w:hAnsiTheme="minorEastAsia" w:eastAsiaTheme="minorEastAsia"/>
                <w:color w:val="000000" w:themeColor="text1"/>
              </w:rPr>
              <w:t>2.5</w:t>
            </w:r>
            <w:r>
              <w:rPr>
                <w:rFonts w:eastAsiaTheme="minorEastAsia"/>
                <w:color w:val="000000" w:themeColor="text1"/>
              </w:rPr>
              <w:t>kg/d</w:t>
            </w:r>
            <w:r>
              <w:rPr>
                <w:rFonts w:hAnsiTheme="minorEastAsia" w:eastAsiaTheme="minorEastAsia"/>
                <w:color w:val="000000" w:themeColor="text1"/>
              </w:rPr>
              <w:t>，施工期为</w:t>
            </w:r>
            <w:r>
              <w:rPr>
                <w:rFonts w:hint="eastAsia" w:eastAsiaTheme="minorEastAsia"/>
                <w:color w:val="000000" w:themeColor="text1"/>
              </w:rPr>
              <w:t>5</w:t>
            </w:r>
            <w:r>
              <w:rPr>
                <w:rFonts w:hAnsiTheme="minorEastAsia" w:eastAsiaTheme="minorEastAsia"/>
                <w:color w:val="000000" w:themeColor="text1"/>
              </w:rPr>
              <w:t>个月（按</w:t>
            </w:r>
            <w:r>
              <w:rPr>
                <w:rFonts w:hint="eastAsia" w:eastAsiaTheme="minorEastAsia"/>
                <w:color w:val="000000" w:themeColor="text1"/>
              </w:rPr>
              <w:t>150</w:t>
            </w:r>
            <w:r>
              <w:rPr>
                <w:rFonts w:hAnsiTheme="minorEastAsia" w:eastAsiaTheme="minorEastAsia"/>
                <w:color w:val="000000" w:themeColor="text1"/>
              </w:rPr>
              <w:t>天计），则施工期共产生的生活垃圾约</w:t>
            </w:r>
            <w:r>
              <w:rPr>
                <w:rFonts w:hint="eastAsia" w:eastAsiaTheme="minorEastAsia"/>
                <w:color w:val="000000" w:themeColor="text1"/>
              </w:rPr>
              <w:t>0.375</w:t>
            </w:r>
            <w:r>
              <w:rPr>
                <w:rFonts w:eastAsiaTheme="minorEastAsia"/>
                <w:color w:val="000000" w:themeColor="text1"/>
              </w:rPr>
              <w:t>t</w:t>
            </w:r>
            <w:r>
              <w:rPr>
                <w:rFonts w:hAnsiTheme="minorEastAsia" w:eastAsiaTheme="minorEastAsia"/>
                <w:color w:val="000000" w:themeColor="text1"/>
              </w:rPr>
              <w:t>。</w:t>
            </w:r>
            <w:r>
              <w:rPr>
                <w:rFonts w:hAnsiTheme="minorEastAsia" w:eastAsiaTheme="minorEastAsia"/>
                <w:bCs/>
                <w:color w:val="000000" w:themeColor="text1"/>
              </w:rPr>
              <w:t>施工人员生活垃圾经垃圾桶收集后</w:t>
            </w:r>
            <w:r>
              <w:rPr>
                <w:rFonts w:hint="eastAsia" w:hAnsiTheme="minorEastAsia" w:eastAsiaTheme="minorEastAsia"/>
                <w:bCs/>
                <w:color w:val="000000" w:themeColor="text1"/>
              </w:rPr>
              <w:t>，</w:t>
            </w:r>
            <w:r>
              <w:rPr>
                <w:rFonts w:hAnsiTheme="minorEastAsia" w:eastAsiaTheme="minorEastAsia"/>
                <w:bCs/>
                <w:color w:val="000000" w:themeColor="text1"/>
              </w:rPr>
              <w:t>运至</w:t>
            </w:r>
            <w:r>
              <w:rPr>
                <w:rFonts w:hint="eastAsia" w:hAnsiTheme="minorEastAsia" w:eastAsiaTheme="minorEastAsia"/>
                <w:bCs/>
                <w:color w:val="000000" w:themeColor="text1"/>
              </w:rPr>
              <w:t>附近村庄垃圾收集点，由环卫部门统一清运、处置</w:t>
            </w:r>
            <w:r>
              <w:rPr>
                <w:rFonts w:hAnsiTheme="minorEastAsia" w:eastAsiaTheme="minorEastAsia"/>
                <w:bCs/>
                <w:color w:val="000000" w:themeColor="text1"/>
              </w:rPr>
              <w:t>。</w:t>
            </w:r>
          </w:p>
          <w:p>
            <w:pPr>
              <w:adjustRightInd w:val="0"/>
              <w:snapToGrid w:val="0"/>
              <w:ind w:firstLine="472" w:firstLineChars="196"/>
              <w:rPr>
                <w:b/>
                <w:color w:val="000000" w:themeColor="text1"/>
              </w:rPr>
            </w:pPr>
            <w:r>
              <w:rPr>
                <w:rFonts w:hint="eastAsia"/>
                <w:b/>
                <w:color w:val="000000" w:themeColor="text1"/>
              </w:rPr>
              <w:t>2、运营期污染源强分析</w:t>
            </w:r>
          </w:p>
          <w:p>
            <w:pPr>
              <w:adjustRightInd w:val="0"/>
              <w:snapToGrid w:val="0"/>
              <w:ind w:firstLine="482"/>
              <w:rPr>
                <w:b/>
                <w:color w:val="000000"/>
              </w:rPr>
            </w:pPr>
            <w:r>
              <w:rPr>
                <w:rFonts w:hint="eastAsia"/>
                <w:b/>
                <w:color w:val="000000"/>
              </w:rPr>
              <w:t>（1）废气</w:t>
            </w:r>
          </w:p>
          <w:p>
            <w:pPr>
              <w:ind w:firstLine="420"/>
              <w:rPr>
                <w:kern w:val="1"/>
              </w:rPr>
            </w:pPr>
            <w:r>
              <w:rPr>
                <w:rStyle w:val="26"/>
                <w:rFonts w:hint="eastAsia"/>
              </w:rPr>
              <w:t xml:space="preserve"> </w:t>
            </w:r>
            <w:r>
              <w:rPr>
                <w:rFonts w:hint="eastAsia"/>
                <w:kern w:val="1"/>
              </w:rPr>
              <w:t>本项目运营期产生的大气污染物主要为粉尘，来源主要为原料卸料、进料、破碎筛分和成品堆放及转运粉尘。</w:t>
            </w:r>
          </w:p>
          <w:p>
            <w:pPr>
              <w:tabs>
                <w:tab w:val="left" w:pos="4425"/>
              </w:tabs>
              <w:ind w:firstLine="482"/>
              <w:jc w:val="left"/>
              <w:rPr>
                <w:rFonts w:hAnsi="宋体"/>
                <w:b/>
                <w:bCs/>
              </w:rPr>
            </w:pPr>
            <w:r>
              <w:rPr>
                <w:rFonts w:hint="eastAsia"/>
                <w:b/>
                <w:bCs/>
                <w:kern w:val="1"/>
              </w:rPr>
              <w:t>1）</w:t>
            </w:r>
            <w:r>
              <w:rPr>
                <w:rFonts w:hint="eastAsia" w:hAnsi="宋体"/>
                <w:b/>
                <w:bCs/>
              </w:rPr>
              <w:t>原料卸料</w:t>
            </w:r>
          </w:p>
          <w:p>
            <w:pPr>
              <w:pStyle w:val="8"/>
              <w:ind w:firstLine="480"/>
              <w:rPr>
                <w:rFonts w:hAnsi="宋体"/>
              </w:rPr>
            </w:pPr>
            <w:r>
              <w:rPr>
                <w:rFonts w:hint="eastAsia" w:hAnsi="宋体"/>
              </w:rPr>
              <w:t>废石料进原料堆存间卸料时会产生粉尘，参考《逸散性工业粉尘控制技术》表1-12石块和砾石卸料排放因子，粉尘产生系数取0.02kg/t-卸料。项目卸料总计</w:t>
            </w:r>
            <w:r>
              <w:rPr>
                <w:rFonts w:hint="eastAsia"/>
              </w:rPr>
              <w:t>1800t/a</w:t>
            </w:r>
            <w:r>
              <w:rPr>
                <w:rFonts w:hint="eastAsia" w:hAnsi="宋体"/>
              </w:rPr>
              <w:t>，则粉尘产生量0.036t/a。</w:t>
            </w:r>
            <w:r>
              <w:rPr>
                <w:rFonts w:hint="eastAsia"/>
              </w:rPr>
              <w:t>呈无组织排放，</w:t>
            </w:r>
            <w:r>
              <w:rPr>
                <w:rFonts w:hint="eastAsia" w:hAnsi="宋体"/>
              </w:rPr>
              <w:t>排放速率为0.0</w:t>
            </w:r>
            <w:r>
              <w:rPr>
                <w:rFonts w:hint="eastAsia" w:hAnsi="宋体"/>
                <w:lang w:val="en-US" w:eastAsia="zh-CN"/>
              </w:rPr>
              <w:t>1</w:t>
            </w:r>
            <w:r>
              <w:rPr>
                <w:rFonts w:hint="eastAsia" w:hAnsi="宋体"/>
              </w:rPr>
              <w:t>5kg/h。</w:t>
            </w:r>
          </w:p>
          <w:p>
            <w:pPr>
              <w:ind w:firstLine="480"/>
              <w:rPr>
                <w:rFonts w:hAnsi="宋体"/>
              </w:rPr>
            </w:pPr>
            <w:r>
              <w:rPr>
                <w:rFonts w:hint="eastAsia" w:hAnsi="宋体"/>
              </w:rPr>
              <w:t>根据项目特点，项目废石料堆场内的堆存的物料较大，基本无扬尘产生，故项目不考虑原料堆场扬尘产生量。</w:t>
            </w:r>
          </w:p>
          <w:p>
            <w:pPr>
              <w:ind w:firstLine="482"/>
              <w:rPr>
                <w:b/>
                <w:bCs/>
                <w:kern w:val="1"/>
              </w:rPr>
            </w:pPr>
            <w:r>
              <w:rPr>
                <w:rFonts w:hint="eastAsia"/>
                <w:b/>
                <w:bCs/>
                <w:kern w:val="1"/>
              </w:rPr>
              <w:t>2）进料粉尘</w:t>
            </w:r>
          </w:p>
          <w:p>
            <w:pPr>
              <w:ind w:firstLine="480"/>
              <w:rPr>
                <w:kern w:val="1"/>
              </w:rPr>
            </w:pPr>
            <w:r>
              <w:rPr>
                <w:rFonts w:hint="eastAsia"/>
                <w:kern w:val="1"/>
              </w:rPr>
              <w:t>本项目原料为大块矿石，粒径较大（</w:t>
            </w:r>
            <w:r>
              <w:rPr>
                <w:rFonts w:hint="eastAsia"/>
              </w:rPr>
              <w:t>＜0.8m</w:t>
            </w:r>
            <w:r>
              <w:rPr>
                <w:rFonts w:hint="eastAsia"/>
                <w:kern w:val="1"/>
              </w:rPr>
              <w:t>），进料时由铲车运送至破碎机进口，</w:t>
            </w:r>
            <w:r>
              <w:rPr>
                <w:rFonts w:hint="eastAsia" w:hAnsi="宋体"/>
              </w:rPr>
              <w:t>加料时由于料斗的遮挡，</w:t>
            </w:r>
            <w:r>
              <w:rPr>
                <w:rFonts w:hint="eastAsia"/>
                <w:kern w:val="1"/>
              </w:rPr>
              <w:t>加之洒水抑尘后，产尘量极少，可忽略不计。</w:t>
            </w:r>
          </w:p>
          <w:p>
            <w:pPr>
              <w:numPr>
                <w:ilvl w:val="0"/>
                <w:numId w:val="4"/>
              </w:numPr>
              <w:ind w:firstLine="482"/>
              <w:rPr>
                <w:rFonts w:hint="eastAsia"/>
                <w:b/>
                <w:bCs/>
                <w:kern w:val="1"/>
              </w:rPr>
            </w:pPr>
            <w:r>
              <w:rPr>
                <w:rFonts w:hint="eastAsia"/>
                <w:b/>
                <w:bCs/>
                <w:kern w:val="1"/>
              </w:rPr>
              <w:t>破碎粉尘</w:t>
            </w:r>
          </w:p>
          <w:p>
            <w:pPr>
              <w:pStyle w:val="3"/>
              <w:ind w:firstLine="480"/>
              <w:rPr>
                <w:kern w:val="1"/>
              </w:rPr>
            </w:pPr>
            <w:r>
              <w:rPr>
                <w:rFonts w:hint="eastAsia"/>
                <w:kern w:val="1"/>
              </w:rPr>
              <w:t>本项目破碎过程主要发生在破碎机和打砂机，破碎过程会产生少量粉尘。参考《逸散性工业粉尘控制技术》表3-1中相关数据，一级破碎过程中的粉尘产生量约为0.25kg/t破碎料，在二次破碎过程中的粉尘产生量约为0.75kg/t破碎料，本项目破碎原料量为1800t/a，因此，一次破碎环节的粉尘产生量为0.45t/a，二次破碎筛分环节的粉尘产生量为1.35t/a。</w:t>
            </w:r>
          </w:p>
          <w:p>
            <w:pPr>
              <w:pStyle w:val="3"/>
              <w:ind w:firstLine="480"/>
              <w:rPr>
                <w:kern w:val="1"/>
              </w:rPr>
            </w:pPr>
            <w:r>
              <w:rPr>
                <w:rFonts w:hint="eastAsia"/>
                <w:kern w:val="1"/>
              </w:rPr>
              <w:t>由于本项目在破碎机进料口及打砂机进料口用喷淋管进行喷淋，能够使破碎料保持湿润状态。</w:t>
            </w:r>
            <w:r>
              <w:rPr>
                <w:rFonts w:hint="eastAsia" w:hAnsi="宋体"/>
              </w:rPr>
              <w:t>参考《逸散性工业粉尘控制技术》</w:t>
            </w:r>
            <w:r>
              <w:rPr>
                <w:rFonts w:hint="eastAsia"/>
                <w:kern w:val="1"/>
              </w:rPr>
              <w:t>表3-1，</w:t>
            </w:r>
            <w:r>
              <w:t>经治理后降尘效果可达到</w:t>
            </w:r>
            <w:r>
              <w:rPr>
                <w:rFonts w:hint="eastAsia"/>
              </w:rPr>
              <w:t>50</w:t>
            </w:r>
            <w:r>
              <w:t>%</w:t>
            </w:r>
            <w:r>
              <w:rPr>
                <w:rFonts w:hint="eastAsia"/>
              </w:rPr>
              <w:t>，</w:t>
            </w:r>
            <w:r>
              <w:rPr>
                <w:rFonts w:hint="eastAsia"/>
                <w:kern w:val="1"/>
              </w:rPr>
              <w:t>因此可有效降低粉尘约50%，约50%粉尘散逸</w:t>
            </w:r>
            <w:r>
              <w:rPr>
                <w:rFonts w:hint="eastAsia"/>
                <w:kern w:val="1"/>
                <w:lang w:eastAsia="zh-CN"/>
              </w:rPr>
              <w:t>。可知，</w:t>
            </w:r>
            <w:r>
              <w:rPr>
                <w:rFonts w:hint="eastAsia"/>
                <w:kern w:val="1"/>
              </w:rPr>
              <w:t>一次破碎环节逸散的粉尘量为0.225t/a，二次破碎筛分环节逸散的粉尘量为0.675t/a。</w:t>
            </w:r>
          </w:p>
          <w:p>
            <w:pPr>
              <w:pStyle w:val="3"/>
              <w:ind w:firstLine="480"/>
              <w:rPr>
                <w:color w:val="auto"/>
                <w:kern w:val="1"/>
              </w:rPr>
            </w:pPr>
            <w:r>
              <w:rPr>
                <w:rFonts w:hint="eastAsia"/>
                <w:color w:val="auto"/>
                <w:kern w:val="1"/>
              </w:rPr>
              <w:t>本次环评提出设置1套除尘设备，破碎机、打砂机分别用</w:t>
            </w:r>
            <w:r>
              <w:rPr>
                <w:rFonts w:hint="eastAsia"/>
                <w:color w:val="auto"/>
                <w:szCs w:val="24"/>
              </w:rPr>
              <w:t>彩钢瓦封闭并在上方设置集气罩</w:t>
            </w:r>
            <w:r>
              <w:rPr>
                <w:rFonts w:hint="eastAsia"/>
                <w:color w:val="auto"/>
                <w:kern w:val="1"/>
              </w:rPr>
              <w:t>，破碎粉尘经集尘罩收集后进入布袋除尘器，由15m高排气筒DA001排放，呈有组织排放，集气罩集气效率为85%，布袋除尘器除尘效率为9</w:t>
            </w:r>
            <w:r>
              <w:rPr>
                <w:rFonts w:hint="eastAsia"/>
                <w:color w:val="auto"/>
                <w:kern w:val="1"/>
                <w:lang w:val="en-US" w:eastAsia="zh-CN"/>
              </w:rPr>
              <w:t>9</w:t>
            </w:r>
            <w:r>
              <w:rPr>
                <w:rFonts w:hint="eastAsia"/>
                <w:color w:val="auto"/>
                <w:kern w:val="1"/>
              </w:rPr>
              <w:t>%，引风机总风量</w:t>
            </w:r>
            <w:r>
              <w:rPr>
                <w:rFonts w:hint="eastAsia"/>
                <w:color w:val="auto"/>
                <w:kern w:val="1"/>
                <w:lang w:val="en-US" w:eastAsia="zh-CN"/>
              </w:rPr>
              <w:t>5</w:t>
            </w:r>
            <w:r>
              <w:rPr>
                <w:rFonts w:hint="eastAsia"/>
                <w:color w:val="auto"/>
                <w:kern w:val="1"/>
              </w:rPr>
              <w:t>000m</w:t>
            </w:r>
            <w:r>
              <w:rPr>
                <w:rFonts w:hint="eastAsia"/>
                <w:color w:val="auto"/>
                <w:kern w:val="1"/>
                <w:vertAlign w:val="superscript"/>
              </w:rPr>
              <w:t>3</w:t>
            </w:r>
            <w:r>
              <w:rPr>
                <w:rFonts w:hint="eastAsia"/>
                <w:color w:val="auto"/>
                <w:kern w:val="1"/>
              </w:rPr>
              <w:t>/h，破碎车间呈全封闭可有效降低无组织粉尘约80%，则项目破碎粉尘产排情况见下表5-2。</w:t>
            </w:r>
          </w:p>
          <w:p>
            <w:pPr>
              <w:pStyle w:val="3"/>
              <w:ind w:firstLine="0" w:firstLineChars="0"/>
              <w:jc w:val="center"/>
              <w:rPr>
                <w:b/>
                <w:bCs/>
                <w:color w:val="auto"/>
                <w:kern w:val="1"/>
              </w:rPr>
            </w:pPr>
            <w:r>
              <w:rPr>
                <w:rFonts w:hint="eastAsia"/>
                <w:b/>
                <w:bCs/>
                <w:color w:val="auto"/>
                <w:kern w:val="1"/>
              </w:rPr>
              <w:t>表5-2   破碎粉尘排放情况</w:t>
            </w:r>
          </w:p>
          <w:tbl>
            <w:tblPr>
              <w:tblStyle w:val="22"/>
              <w:tblW w:w="8336" w:type="dxa"/>
              <w:tblInd w:w="0" w:type="dxa"/>
              <w:tblLayout w:type="fixed"/>
              <w:tblCellMar>
                <w:top w:w="0" w:type="dxa"/>
                <w:left w:w="0" w:type="dxa"/>
                <w:bottom w:w="0" w:type="dxa"/>
                <w:right w:w="0" w:type="dxa"/>
              </w:tblCellMar>
            </w:tblPr>
            <w:tblGrid>
              <w:gridCol w:w="838"/>
              <w:gridCol w:w="839"/>
              <w:gridCol w:w="838"/>
              <w:gridCol w:w="1036"/>
              <w:gridCol w:w="1036"/>
              <w:gridCol w:w="839"/>
              <w:gridCol w:w="1036"/>
              <w:gridCol w:w="1036"/>
              <w:gridCol w:w="838"/>
            </w:tblGrid>
            <w:tr>
              <w:tblPrEx>
                <w:tblCellMar>
                  <w:top w:w="0" w:type="dxa"/>
                  <w:left w:w="0" w:type="dxa"/>
                  <w:bottom w:w="0" w:type="dxa"/>
                  <w:right w:w="0" w:type="dxa"/>
                </w:tblCellMar>
              </w:tblPrEx>
              <w:trPr>
                <w:trHeight w:val="300" w:hRule="atLeast"/>
              </w:trPr>
              <w:tc>
                <w:tcPr>
                  <w:tcW w:w="1677" w:type="dxa"/>
                  <w:gridSpan w:val="2"/>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b/>
                      <w:color w:val="auto"/>
                      <w:kern w:val="0"/>
                      <w:sz w:val="21"/>
                      <w:szCs w:val="21"/>
                    </w:rPr>
                    <w:t>工序</w:t>
                  </w:r>
                </w:p>
              </w:tc>
              <w:tc>
                <w:tcPr>
                  <w:tcW w:w="2910" w:type="dxa"/>
                  <w:gridSpan w:val="3"/>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b/>
                      <w:color w:val="auto"/>
                      <w:kern w:val="0"/>
                      <w:sz w:val="21"/>
                      <w:szCs w:val="21"/>
                    </w:rPr>
                    <w:t>产生情况</w:t>
                  </w:r>
                </w:p>
              </w:tc>
              <w:tc>
                <w:tcPr>
                  <w:tcW w:w="2911" w:type="dxa"/>
                  <w:gridSpan w:val="3"/>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b/>
                      <w:color w:val="auto"/>
                      <w:kern w:val="0"/>
                      <w:sz w:val="21"/>
                      <w:szCs w:val="21"/>
                    </w:rPr>
                    <w:t>排放情况</w:t>
                  </w:r>
                </w:p>
              </w:tc>
              <w:tc>
                <w:tcPr>
                  <w:tcW w:w="838" w:type="dxa"/>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b/>
                      <w:color w:val="auto"/>
                      <w:kern w:val="0"/>
                      <w:sz w:val="21"/>
                      <w:szCs w:val="21"/>
                    </w:rPr>
                    <w:t>废气量万</w:t>
                  </w:r>
                  <w:r>
                    <w:rPr>
                      <w:rStyle w:val="30"/>
                      <w:color w:val="auto"/>
                    </w:rPr>
                    <w:t>m</w:t>
                  </w:r>
                  <w:r>
                    <w:rPr>
                      <w:rStyle w:val="31"/>
                      <w:color w:val="auto"/>
                    </w:rPr>
                    <w:t>3</w:t>
                  </w:r>
                  <w:r>
                    <w:rPr>
                      <w:rStyle w:val="30"/>
                      <w:color w:val="auto"/>
                    </w:rPr>
                    <w:t>/a</w:t>
                  </w:r>
                </w:p>
              </w:tc>
            </w:tr>
            <w:tr>
              <w:tblPrEx>
                <w:tblCellMar>
                  <w:top w:w="0" w:type="dxa"/>
                  <w:left w:w="0" w:type="dxa"/>
                  <w:bottom w:w="0" w:type="dxa"/>
                  <w:right w:w="0" w:type="dxa"/>
                </w:tblCellMar>
              </w:tblPrEx>
              <w:trPr>
                <w:trHeight w:val="300" w:hRule="atLeast"/>
              </w:trPr>
              <w:tc>
                <w:tcPr>
                  <w:tcW w:w="1677" w:type="dxa"/>
                  <w:gridSpan w:val="2"/>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rPr>
                      <w:b/>
                      <w:color w:val="auto"/>
                      <w:sz w:val="21"/>
                      <w:szCs w:val="21"/>
                    </w:rPr>
                  </w:pPr>
                </w:p>
              </w:tc>
              <w:tc>
                <w:tcPr>
                  <w:tcW w:w="83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b/>
                      <w:color w:val="auto"/>
                      <w:kern w:val="0"/>
                      <w:sz w:val="21"/>
                      <w:szCs w:val="21"/>
                    </w:rPr>
                    <w:t>量</w:t>
                  </w:r>
                  <w:r>
                    <w:rPr>
                      <w:rStyle w:val="30"/>
                      <w:color w:val="auto"/>
                    </w:rPr>
                    <w:t>t/a</w:t>
                  </w:r>
                </w:p>
              </w:tc>
              <w:tc>
                <w:tcPr>
                  <w:tcW w:w="103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b/>
                      <w:color w:val="auto"/>
                      <w:kern w:val="0"/>
                      <w:sz w:val="21"/>
                      <w:szCs w:val="21"/>
                    </w:rPr>
                    <w:t>速率kg/h</w:t>
                  </w:r>
                </w:p>
              </w:tc>
              <w:tc>
                <w:tcPr>
                  <w:tcW w:w="103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rFonts w:hint="eastAsia"/>
                      <w:b/>
                      <w:color w:val="auto"/>
                      <w:kern w:val="0"/>
                      <w:sz w:val="21"/>
                      <w:szCs w:val="21"/>
                    </w:rPr>
                    <w:t>有组织粉尘</w:t>
                  </w:r>
                  <w:r>
                    <w:rPr>
                      <w:b/>
                      <w:color w:val="auto"/>
                      <w:kern w:val="0"/>
                      <w:sz w:val="21"/>
                      <w:szCs w:val="21"/>
                    </w:rPr>
                    <w:t>浓度mg</w:t>
                  </w:r>
                  <w:r>
                    <w:rPr>
                      <w:rStyle w:val="31"/>
                      <w:color w:val="auto"/>
                    </w:rPr>
                    <w:t>3</w:t>
                  </w:r>
                  <w:r>
                    <w:rPr>
                      <w:rStyle w:val="30"/>
                      <w:color w:val="auto"/>
                    </w:rPr>
                    <w:t>/m</w:t>
                  </w:r>
                </w:p>
              </w:tc>
              <w:tc>
                <w:tcPr>
                  <w:tcW w:w="83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b/>
                      <w:color w:val="auto"/>
                      <w:kern w:val="0"/>
                      <w:sz w:val="21"/>
                      <w:szCs w:val="21"/>
                    </w:rPr>
                    <w:t>量</w:t>
                  </w:r>
                  <w:r>
                    <w:rPr>
                      <w:rStyle w:val="30"/>
                      <w:color w:val="auto"/>
                    </w:rPr>
                    <w:t>t/a</w:t>
                  </w:r>
                </w:p>
              </w:tc>
              <w:tc>
                <w:tcPr>
                  <w:tcW w:w="103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b/>
                      <w:color w:val="auto"/>
                      <w:kern w:val="0"/>
                      <w:sz w:val="21"/>
                      <w:szCs w:val="21"/>
                    </w:rPr>
                    <w:t>速率kg/h</w:t>
                  </w:r>
                </w:p>
              </w:tc>
              <w:tc>
                <w:tcPr>
                  <w:tcW w:w="103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b/>
                      <w:color w:val="auto"/>
                      <w:sz w:val="21"/>
                      <w:szCs w:val="21"/>
                    </w:rPr>
                  </w:pPr>
                  <w:r>
                    <w:rPr>
                      <w:rFonts w:hint="eastAsia"/>
                      <w:b/>
                      <w:color w:val="auto"/>
                      <w:kern w:val="0"/>
                      <w:sz w:val="21"/>
                      <w:szCs w:val="21"/>
                    </w:rPr>
                    <w:t>有组织粉尘</w:t>
                  </w:r>
                  <w:r>
                    <w:rPr>
                      <w:b/>
                      <w:color w:val="auto"/>
                      <w:kern w:val="0"/>
                      <w:sz w:val="21"/>
                      <w:szCs w:val="21"/>
                    </w:rPr>
                    <w:t>浓度mg</w:t>
                  </w:r>
                  <w:r>
                    <w:rPr>
                      <w:rStyle w:val="31"/>
                      <w:color w:val="auto"/>
                    </w:rPr>
                    <w:t>3</w:t>
                  </w:r>
                  <w:r>
                    <w:rPr>
                      <w:rStyle w:val="30"/>
                      <w:color w:val="auto"/>
                    </w:rPr>
                    <w:t>/m</w:t>
                  </w:r>
                </w:p>
              </w:tc>
              <w:tc>
                <w:tcPr>
                  <w:tcW w:w="838" w:type="dxa"/>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rPr>
                      <w:b/>
                      <w:color w:val="auto"/>
                      <w:sz w:val="21"/>
                      <w:szCs w:val="21"/>
                    </w:rPr>
                  </w:pPr>
                </w:p>
              </w:tc>
            </w:tr>
            <w:tr>
              <w:tblPrEx>
                <w:tblCellMar>
                  <w:top w:w="0" w:type="dxa"/>
                  <w:left w:w="0" w:type="dxa"/>
                  <w:bottom w:w="0" w:type="dxa"/>
                  <w:right w:w="0" w:type="dxa"/>
                </w:tblCellMar>
              </w:tblPrEx>
              <w:trPr>
                <w:trHeight w:val="300" w:hRule="atLeast"/>
              </w:trPr>
              <w:tc>
                <w:tcPr>
                  <w:tcW w:w="838"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rFonts w:hint="eastAsia"/>
                      <w:color w:val="auto"/>
                      <w:sz w:val="21"/>
                      <w:szCs w:val="21"/>
                    </w:rPr>
                    <w:t>一次</w:t>
                  </w:r>
                </w:p>
                <w:p>
                  <w:pPr>
                    <w:widowControl/>
                    <w:spacing w:line="240" w:lineRule="auto"/>
                    <w:ind w:firstLine="0" w:firstLineChars="0"/>
                    <w:jc w:val="center"/>
                    <w:textAlignment w:val="center"/>
                    <w:rPr>
                      <w:color w:val="auto"/>
                      <w:sz w:val="21"/>
                      <w:szCs w:val="21"/>
                    </w:rPr>
                  </w:pPr>
                  <w:r>
                    <w:rPr>
                      <w:rFonts w:hint="eastAsia"/>
                      <w:color w:val="auto"/>
                      <w:sz w:val="21"/>
                      <w:szCs w:val="21"/>
                    </w:rPr>
                    <w:t>破碎</w:t>
                  </w:r>
                </w:p>
              </w:tc>
              <w:tc>
                <w:tcPr>
                  <w:tcW w:w="839" w:type="dxa"/>
                  <w:tcBorders>
                    <w:top w:val="nil"/>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r>
                    <w:rPr>
                      <w:color w:val="auto"/>
                      <w:kern w:val="0"/>
                      <w:sz w:val="21"/>
                      <w:szCs w:val="21"/>
                    </w:rPr>
                    <w:t>有组织</w:t>
                  </w:r>
                </w:p>
              </w:tc>
              <w:tc>
                <w:tcPr>
                  <w:tcW w:w="83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lang w:bidi="ar"/>
                    </w:rPr>
                    <w:t>0.191</w:t>
                  </w:r>
                  <w:r>
                    <w:rPr>
                      <w:rFonts w:hint="eastAsia"/>
                      <w:color w:val="auto"/>
                      <w:kern w:val="0"/>
                      <w:sz w:val="21"/>
                      <w:szCs w:val="21"/>
                      <w:lang w:bidi="ar"/>
                    </w:rPr>
                    <w:t>3</w:t>
                  </w:r>
                </w:p>
              </w:tc>
              <w:tc>
                <w:tcPr>
                  <w:tcW w:w="103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0.0798</w:t>
                  </w:r>
                </w:p>
              </w:tc>
              <w:tc>
                <w:tcPr>
                  <w:tcW w:w="103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15.96</w:t>
                  </w:r>
                </w:p>
              </w:tc>
              <w:tc>
                <w:tcPr>
                  <w:tcW w:w="839"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kern w:val="0"/>
                      <w:sz w:val="21"/>
                      <w:szCs w:val="21"/>
                      <w:lang w:eastAsia="zh-CN" w:bidi="ar"/>
                    </w:rPr>
                  </w:pPr>
                  <w:r>
                    <w:rPr>
                      <w:rFonts w:hint="eastAsia"/>
                      <w:color w:val="auto"/>
                      <w:kern w:val="0"/>
                      <w:sz w:val="21"/>
                      <w:szCs w:val="21"/>
                      <w:lang w:bidi="ar"/>
                    </w:rPr>
                    <w:t>0.00</w:t>
                  </w:r>
                  <w:r>
                    <w:rPr>
                      <w:rFonts w:hint="eastAsia"/>
                      <w:color w:val="auto"/>
                      <w:kern w:val="0"/>
                      <w:sz w:val="21"/>
                      <w:szCs w:val="21"/>
                      <w:lang w:val="en-US" w:eastAsia="zh-CN" w:bidi="ar"/>
                    </w:rPr>
                    <w:t>2</w:t>
                  </w:r>
                </w:p>
              </w:tc>
              <w:tc>
                <w:tcPr>
                  <w:tcW w:w="103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bidi="ar"/>
                    </w:rPr>
                    <w:t>0.00</w:t>
                  </w:r>
                  <w:r>
                    <w:rPr>
                      <w:rFonts w:hint="eastAsia"/>
                      <w:color w:val="auto"/>
                      <w:kern w:val="0"/>
                      <w:sz w:val="21"/>
                      <w:szCs w:val="21"/>
                      <w:lang w:val="en-US" w:eastAsia="zh-CN" w:bidi="ar"/>
                    </w:rPr>
                    <w:t>08</w:t>
                  </w:r>
                </w:p>
              </w:tc>
              <w:tc>
                <w:tcPr>
                  <w:tcW w:w="1036" w:type="dxa"/>
                  <w:vMerge w:val="restart"/>
                  <w:tcBorders>
                    <w:top w:val="nil"/>
                    <w:left w:val="nil"/>
                    <w:right w:val="single" w:color="000000" w:sz="8" w:space="0"/>
                  </w:tcBorders>
                  <w:tcMar>
                    <w:top w:w="15" w:type="dxa"/>
                    <w:left w:w="15" w:type="dxa"/>
                    <w:right w:w="15" w:type="dxa"/>
                  </w:tcMar>
                  <w:vAlign w:val="center"/>
                </w:tcPr>
                <w:p>
                  <w:pPr>
                    <w:widowControl/>
                    <w:ind w:firstLine="0" w:firstLineChars="0"/>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0.64</w:t>
                  </w:r>
                </w:p>
              </w:tc>
              <w:tc>
                <w:tcPr>
                  <w:tcW w:w="838" w:type="dxa"/>
                  <w:vMerge w:val="restart"/>
                  <w:tcBorders>
                    <w:top w:val="single" w:color="000000" w:sz="8" w:space="0"/>
                    <w:left w:val="nil"/>
                    <w:right w:val="single" w:color="000000" w:sz="8" w:space="0"/>
                  </w:tcBorders>
                  <w:tcMar>
                    <w:top w:w="15" w:type="dxa"/>
                    <w:left w:w="15" w:type="dxa"/>
                    <w:right w:w="15" w:type="dxa"/>
                  </w:tcMar>
                  <w:vAlign w:val="center"/>
                </w:tcPr>
                <w:p>
                  <w:pPr>
                    <w:widowControl/>
                    <w:ind w:firstLine="0" w:firstLineChars="0"/>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1200</w:t>
                  </w:r>
                </w:p>
              </w:tc>
            </w:tr>
            <w:tr>
              <w:tblPrEx>
                <w:tblCellMar>
                  <w:top w:w="0" w:type="dxa"/>
                  <w:left w:w="0" w:type="dxa"/>
                  <w:bottom w:w="0" w:type="dxa"/>
                  <w:right w:w="0" w:type="dxa"/>
                </w:tblCellMar>
              </w:tblPrEx>
              <w:trPr>
                <w:trHeight w:val="285" w:hRule="atLeast"/>
              </w:trPr>
              <w:tc>
                <w:tcPr>
                  <w:tcW w:w="838"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rPr>
                      <w:color w:val="auto"/>
                      <w:sz w:val="21"/>
                      <w:szCs w:val="21"/>
                    </w:rPr>
                  </w:pPr>
                </w:p>
              </w:tc>
              <w:tc>
                <w:tcPr>
                  <w:tcW w:w="839" w:type="dxa"/>
                  <w:tcBorders>
                    <w:top w:val="nil"/>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r>
                    <w:rPr>
                      <w:color w:val="auto"/>
                      <w:kern w:val="0"/>
                      <w:sz w:val="21"/>
                      <w:szCs w:val="21"/>
                    </w:rPr>
                    <w:t>无组织</w:t>
                  </w:r>
                </w:p>
              </w:tc>
              <w:tc>
                <w:tcPr>
                  <w:tcW w:w="83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lang w:bidi="ar"/>
                    </w:rPr>
                    <w:t>0.033</w:t>
                  </w:r>
                  <w:r>
                    <w:rPr>
                      <w:rFonts w:hint="eastAsia"/>
                      <w:color w:val="auto"/>
                      <w:kern w:val="0"/>
                      <w:sz w:val="21"/>
                      <w:szCs w:val="21"/>
                      <w:lang w:bidi="ar"/>
                    </w:rPr>
                    <w:t>8</w:t>
                  </w:r>
                </w:p>
              </w:tc>
              <w:tc>
                <w:tcPr>
                  <w:tcW w:w="103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0.0141</w:t>
                  </w:r>
                </w:p>
              </w:tc>
              <w:tc>
                <w:tcPr>
                  <w:tcW w:w="103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w:t>
                  </w:r>
                </w:p>
              </w:tc>
              <w:tc>
                <w:tcPr>
                  <w:tcW w:w="839"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0.0068</w:t>
                  </w:r>
                </w:p>
              </w:tc>
              <w:tc>
                <w:tcPr>
                  <w:tcW w:w="103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0.00283</w:t>
                  </w:r>
                </w:p>
              </w:tc>
              <w:tc>
                <w:tcPr>
                  <w:tcW w:w="1036" w:type="dxa"/>
                  <w:vMerge w:val="continue"/>
                  <w:tcBorders>
                    <w:left w:val="nil"/>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p>
              </w:tc>
              <w:tc>
                <w:tcPr>
                  <w:tcW w:w="838" w:type="dxa"/>
                  <w:vMerge w:val="continue"/>
                  <w:tcBorders>
                    <w:left w:val="nil"/>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p>
              </w:tc>
            </w:tr>
            <w:tr>
              <w:tblPrEx>
                <w:tblCellMar>
                  <w:top w:w="0" w:type="dxa"/>
                  <w:left w:w="0" w:type="dxa"/>
                  <w:bottom w:w="0" w:type="dxa"/>
                  <w:right w:w="0" w:type="dxa"/>
                </w:tblCellMar>
              </w:tblPrEx>
              <w:trPr>
                <w:trHeight w:val="362" w:hRule="atLeast"/>
              </w:trPr>
              <w:tc>
                <w:tcPr>
                  <w:tcW w:w="838" w:type="dxa"/>
                  <w:vMerge w:val="restart"/>
                  <w:tcBorders>
                    <w:top w:val="nil"/>
                    <w:left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rFonts w:hint="eastAsia"/>
                      <w:color w:val="auto"/>
                      <w:kern w:val="0"/>
                      <w:sz w:val="21"/>
                      <w:szCs w:val="21"/>
                    </w:rPr>
                    <w:t>二次</w:t>
                  </w:r>
                </w:p>
                <w:p>
                  <w:pPr>
                    <w:widowControl/>
                    <w:spacing w:line="240" w:lineRule="auto"/>
                    <w:ind w:firstLine="0" w:firstLineChars="0"/>
                    <w:jc w:val="center"/>
                    <w:textAlignment w:val="center"/>
                    <w:rPr>
                      <w:color w:val="auto"/>
                      <w:sz w:val="21"/>
                      <w:szCs w:val="21"/>
                    </w:rPr>
                  </w:pPr>
                  <w:r>
                    <w:rPr>
                      <w:rFonts w:hint="eastAsia"/>
                      <w:color w:val="auto"/>
                      <w:kern w:val="0"/>
                      <w:sz w:val="21"/>
                      <w:szCs w:val="21"/>
                    </w:rPr>
                    <w:t>破碎</w:t>
                  </w:r>
                </w:p>
              </w:tc>
              <w:tc>
                <w:tcPr>
                  <w:tcW w:w="839" w:type="dxa"/>
                  <w:tcBorders>
                    <w:top w:val="nil"/>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r>
                    <w:rPr>
                      <w:color w:val="auto"/>
                      <w:kern w:val="0"/>
                      <w:sz w:val="21"/>
                      <w:szCs w:val="21"/>
                    </w:rPr>
                    <w:t>有组织</w:t>
                  </w:r>
                </w:p>
              </w:tc>
              <w:tc>
                <w:tcPr>
                  <w:tcW w:w="838"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lang w:bidi="ar"/>
                    </w:rPr>
                    <w:t>0.573</w:t>
                  </w:r>
                  <w:r>
                    <w:rPr>
                      <w:rFonts w:hint="eastAsia"/>
                      <w:color w:val="auto"/>
                      <w:kern w:val="0"/>
                      <w:sz w:val="21"/>
                      <w:szCs w:val="21"/>
                      <w:lang w:bidi="ar"/>
                    </w:rPr>
                    <w:t>8</w:t>
                  </w:r>
                </w:p>
              </w:tc>
              <w:tc>
                <w:tcPr>
                  <w:tcW w:w="103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0.2391</w:t>
                  </w:r>
                </w:p>
              </w:tc>
              <w:tc>
                <w:tcPr>
                  <w:tcW w:w="103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47.82</w:t>
                  </w:r>
                </w:p>
              </w:tc>
              <w:tc>
                <w:tcPr>
                  <w:tcW w:w="839"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bidi="ar"/>
                    </w:rPr>
                    <w:t>0.0</w:t>
                  </w:r>
                  <w:r>
                    <w:rPr>
                      <w:rFonts w:hint="eastAsia"/>
                      <w:color w:val="auto"/>
                      <w:kern w:val="0"/>
                      <w:sz w:val="21"/>
                      <w:szCs w:val="21"/>
                      <w:lang w:val="en-US" w:eastAsia="zh-CN" w:bidi="ar"/>
                    </w:rPr>
                    <w:t>06</w:t>
                  </w:r>
                </w:p>
              </w:tc>
              <w:tc>
                <w:tcPr>
                  <w:tcW w:w="103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bidi="ar"/>
                    </w:rPr>
                    <w:t>0.00</w:t>
                  </w:r>
                  <w:r>
                    <w:rPr>
                      <w:rFonts w:hint="eastAsia"/>
                      <w:color w:val="auto"/>
                      <w:kern w:val="0"/>
                      <w:sz w:val="21"/>
                      <w:szCs w:val="21"/>
                      <w:lang w:val="en-US" w:eastAsia="zh-CN" w:bidi="ar"/>
                    </w:rPr>
                    <w:t>24</w:t>
                  </w:r>
                </w:p>
              </w:tc>
              <w:tc>
                <w:tcPr>
                  <w:tcW w:w="1036" w:type="dxa"/>
                  <w:vMerge w:val="continue"/>
                  <w:tcBorders>
                    <w:left w:val="nil"/>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p>
              </w:tc>
              <w:tc>
                <w:tcPr>
                  <w:tcW w:w="838" w:type="dxa"/>
                  <w:vMerge w:val="continue"/>
                  <w:tcBorders>
                    <w:left w:val="nil"/>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p>
              </w:tc>
            </w:tr>
            <w:tr>
              <w:tblPrEx>
                <w:tblCellMar>
                  <w:top w:w="0" w:type="dxa"/>
                  <w:left w:w="0" w:type="dxa"/>
                  <w:bottom w:w="0" w:type="dxa"/>
                  <w:right w:w="0" w:type="dxa"/>
                </w:tblCellMar>
              </w:tblPrEx>
              <w:trPr>
                <w:trHeight w:val="285" w:hRule="atLeast"/>
              </w:trPr>
              <w:tc>
                <w:tcPr>
                  <w:tcW w:w="838" w:type="dxa"/>
                  <w:vMerge w:val="continue"/>
                  <w:tcBorders>
                    <w:left w:val="single" w:color="000000" w:sz="8" w:space="0"/>
                    <w:bottom w:val="single" w:color="auto" w:sz="4" w:space="0"/>
                    <w:right w:val="single" w:color="000000" w:sz="8" w:space="0"/>
                  </w:tcBorders>
                  <w:tcMar>
                    <w:top w:w="15" w:type="dxa"/>
                    <w:left w:w="15" w:type="dxa"/>
                    <w:right w:w="15" w:type="dxa"/>
                  </w:tcMar>
                  <w:vAlign w:val="center"/>
                </w:tcPr>
                <w:p>
                  <w:pPr>
                    <w:widowControl/>
                    <w:ind w:firstLine="0" w:firstLineChars="0"/>
                    <w:jc w:val="center"/>
                    <w:rPr>
                      <w:color w:val="auto"/>
                      <w:sz w:val="21"/>
                      <w:szCs w:val="21"/>
                    </w:rPr>
                  </w:pPr>
                </w:p>
              </w:tc>
              <w:tc>
                <w:tcPr>
                  <w:tcW w:w="839" w:type="dxa"/>
                  <w:tcBorders>
                    <w:top w:val="nil"/>
                    <w:left w:val="nil"/>
                    <w:bottom w:val="single" w:color="auto" w:sz="4" w:space="0"/>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r>
                    <w:rPr>
                      <w:color w:val="auto"/>
                      <w:kern w:val="0"/>
                      <w:sz w:val="21"/>
                      <w:szCs w:val="21"/>
                    </w:rPr>
                    <w:t>无组织</w:t>
                  </w:r>
                </w:p>
              </w:tc>
              <w:tc>
                <w:tcPr>
                  <w:tcW w:w="838"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lang w:bidi="ar"/>
                    </w:rPr>
                    <w:t>0.101</w:t>
                  </w:r>
                  <w:r>
                    <w:rPr>
                      <w:rFonts w:hint="eastAsia"/>
                      <w:color w:val="auto"/>
                      <w:kern w:val="0"/>
                      <w:sz w:val="21"/>
                      <w:szCs w:val="21"/>
                      <w:lang w:bidi="ar"/>
                    </w:rPr>
                    <w:t>3</w:t>
                  </w:r>
                </w:p>
              </w:tc>
              <w:tc>
                <w:tcPr>
                  <w:tcW w:w="1036"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0.0423</w:t>
                  </w:r>
                </w:p>
              </w:tc>
              <w:tc>
                <w:tcPr>
                  <w:tcW w:w="103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w:t>
                  </w:r>
                </w:p>
              </w:tc>
              <w:tc>
                <w:tcPr>
                  <w:tcW w:w="839"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0.0203</w:t>
                  </w:r>
                </w:p>
              </w:tc>
              <w:tc>
                <w:tcPr>
                  <w:tcW w:w="1036"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0.0085</w:t>
                  </w:r>
                </w:p>
              </w:tc>
              <w:tc>
                <w:tcPr>
                  <w:tcW w:w="1036" w:type="dxa"/>
                  <w:vMerge w:val="continue"/>
                  <w:tcBorders>
                    <w:left w:val="nil"/>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p>
              </w:tc>
              <w:tc>
                <w:tcPr>
                  <w:tcW w:w="838" w:type="dxa"/>
                  <w:vMerge w:val="continue"/>
                  <w:tcBorders>
                    <w:left w:val="nil"/>
                    <w:right w:val="single" w:color="000000" w:sz="8" w:space="0"/>
                  </w:tcBorders>
                  <w:tcMar>
                    <w:top w:w="15" w:type="dxa"/>
                    <w:left w:w="15" w:type="dxa"/>
                    <w:right w:w="15" w:type="dxa"/>
                  </w:tcMar>
                  <w:vAlign w:val="center"/>
                </w:tcPr>
                <w:p>
                  <w:pPr>
                    <w:widowControl/>
                    <w:ind w:firstLine="0" w:firstLineChars="0"/>
                    <w:jc w:val="center"/>
                    <w:textAlignment w:val="center"/>
                    <w:rPr>
                      <w:color w:val="auto"/>
                      <w:sz w:val="21"/>
                      <w:szCs w:val="21"/>
                    </w:rPr>
                  </w:pPr>
                </w:p>
              </w:tc>
            </w:tr>
            <w:tr>
              <w:tblPrEx>
                <w:tblCellMar>
                  <w:top w:w="0" w:type="dxa"/>
                  <w:left w:w="0" w:type="dxa"/>
                  <w:bottom w:w="0" w:type="dxa"/>
                  <w:right w:w="0" w:type="dxa"/>
                </w:tblCellMar>
              </w:tblPrEx>
              <w:trPr>
                <w:trHeight w:val="283" w:hRule="atLeast"/>
              </w:trPr>
              <w:tc>
                <w:tcPr>
                  <w:tcW w:w="838" w:type="dxa"/>
                  <w:vMerge w:val="restart"/>
                  <w:tcBorders>
                    <w:left w:val="single" w:color="000000" w:sz="8" w:space="0"/>
                    <w:right w:val="single" w:color="000000" w:sz="8" w:space="0"/>
                  </w:tcBorders>
                  <w:tcMar>
                    <w:top w:w="15" w:type="dxa"/>
                    <w:left w:w="15" w:type="dxa"/>
                    <w:right w:w="15" w:type="dxa"/>
                  </w:tcMar>
                  <w:vAlign w:val="center"/>
                </w:tcPr>
                <w:p>
                  <w:pPr>
                    <w:widowControl/>
                    <w:ind w:firstLine="0" w:firstLineChars="0"/>
                    <w:jc w:val="center"/>
                    <w:rPr>
                      <w:color w:val="auto"/>
                      <w:sz w:val="21"/>
                      <w:szCs w:val="21"/>
                    </w:rPr>
                  </w:pPr>
                  <w:r>
                    <w:rPr>
                      <w:rFonts w:hint="eastAsia"/>
                      <w:color w:val="auto"/>
                      <w:sz w:val="21"/>
                      <w:szCs w:val="21"/>
                    </w:rPr>
                    <w:t>总计</w:t>
                  </w:r>
                </w:p>
              </w:tc>
              <w:tc>
                <w:tcPr>
                  <w:tcW w:w="839" w:type="dxa"/>
                  <w:tcBorders>
                    <w:top w:val="single" w:color="auto" w:sz="4" w:space="0"/>
                    <w:left w:val="nil"/>
                    <w:bottom w:val="single" w:color="auto" w:sz="4" w:space="0"/>
                    <w:right w:val="single" w:color="000000" w:sz="8" w:space="0"/>
                  </w:tcBorders>
                  <w:tcMar>
                    <w:top w:w="15" w:type="dxa"/>
                    <w:left w:w="15" w:type="dxa"/>
                    <w:right w:w="15" w:type="dxa"/>
                  </w:tcMar>
                  <w:vAlign w:val="center"/>
                </w:tcPr>
                <w:p>
                  <w:pPr>
                    <w:widowControl/>
                    <w:ind w:firstLine="0" w:firstLineChars="0"/>
                    <w:jc w:val="center"/>
                    <w:textAlignment w:val="center"/>
                    <w:rPr>
                      <w:color w:val="auto"/>
                      <w:kern w:val="0"/>
                      <w:sz w:val="21"/>
                      <w:szCs w:val="21"/>
                    </w:rPr>
                  </w:pPr>
                  <w:r>
                    <w:rPr>
                      <w:rFonts w:hint="eastAsia"/>
                      <w:color w:val="auto"/>
                      <w:sz w:val="21"/>
                      <w:szCs w:val="21"/>
                    </w:rPr>
                    <w:t>有组织</w:t>
                  </w:r>
                </w:p>
              </w:tc>
              <w:tc>
                <w:tcPr>
                  <w:tcW w:w="838" w:type="dxa"/>
                  <w:tcBorders>
                    <w:top w:val="single" w:color="auto" w:sz="4" w:space="0"/>
                    <w:left w:val="nil"/>
                    <w:bottom w:val="single" w:color="auto" w:sz="4"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1"/>
                      <w:szCs w:val="21"/>
                      <w:lang w:bidi="ar"/>
                    </w:rPr>
                    <w:t>0.765</w:t>
                  </w:r>
                </w:p>
              </w:tc>
              <w:tc>
                <w:tcPr>
                  <w:tcW w:w="103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0.3188</w:t>
                  </w:r>
                </w:p>
              </w:tc>
              <w:tc>
                <w:tcPr>
                  <w:tcW w:w="103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63.78</w:t>
                  </w:r>
                </w:p>
              </w:tc>
              <w:tc>
                <w:tcPr>
                  <w:tcW w:w="839" w:type="dxa"/>
                  <w:tcBorders>
                    <w:top w:val="single" w:color="auto" w:sz="4" w:space="0"/>
                    <w:left w:val="nil"/>
                    <w:bottom w:val="single" w:color="auto" w:sz="4"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bidi="ar"/>
                    </w:rPr>
                    <w:t>0.</w:t>
                  </w:r>
                  <w:r>
                    <w:rPr>
                      <w:rFonts w:hint="eastAsia"/>
                      <w:color w:val="auto"/>
                      <w:kern w:val="0"/>
                      <w:sz w:val="21"/>
                      <w:szCs w:val="21"/>
                      <w:lang w:val="en-US" w:eastAsia="zh-CN" w:bidi="ar"/>
                    </w:rPr>
                    <w:t>0077</w:t>
                  </w:r>
                </w:p>
              </w:tc>
              <w:tc>
                <w:tcPr>
                  <w:tcW w:w="1036" w:type="dxa"/>
                  <w:tcBorders>
                    <w:top w:val="single" w:color="auto" w:sz="4" w:space="0"/>
                    <w:left w:val="nil"/>
                    <w:bottom w:val="single" w:color="auto" w:sz="4"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bidi="ar"/>
                    </w:rPr>
                    <w:t>0.0</w:t>
                  </w:r>
                  <w:r>
                    <w:rPr>
                      <w:rFonts w:hint="eastAsia"/>
                      <w:color w:val="auto"/>
                      <w:kern w:val="0"/>
                      <w:sz w:val="21"/>
                      <w:szCs w:val="21"/>
                      <w:lang w:val="en-US" w:eastAsia="zh-CN" w:bidi="ar"/>
                    </w:rPr>
                    <w:t>032</w:t>
                  </w:r>
                </w:p>
              </w:tc>
              <w:tc>
                <w:tcPr>
                  <w:tcW w:w="1036" w:type="dxa"/>
                  <w:vMerge w:val="continue"/>
                  <w:tcBorders>
                    <w:left w:val="nil"/>
                    <w:right w:val="single" w:color="000000" w:sz="8" w:space="0"/>
                  </w:tcBorders>
                  <w:tcMar>
                    <w:top w:w="15" w:type="dxa"/>
                    <w:left w:w="15" w:type="dxa"/>
                    <w:right w:w="15" w:type="dxa"/>
                  </w:tcMar>
                  <w:vAlign w:val="center"/>
                </w:tcPr>
                <w:p>
                  <w:pPr>
                    <w:widowControl/>
                    <w:ind w:firstLine="0" w:firstLineChars="0"/>
                    <w:jc w:val="center"/>
                    <w:textAlignment w:val="center"/>
                    <w:rPr>
                      <w:color w:val="auto"/>
                      <w:kern w:val="0"/>
                      <w:sz w:val="21"/>
                      <w:szCs w:val="21"/>
                    </w:rPr>
                  </w:pPr>
                </w:p>
              </w:tc>
              <w:tc>
                <w:tcPr>
                  <w:tcW w:w="838" w:type="dxa"/>
                  <w:vMerge w:val="continue"/>
                  <w:tcBorders>
                    <w:left w:val="nil"/>
                    <w:right w:val="single" w:color="000000" w:sz="8" w:space="0"/>
                  </w:tcBorders>
                  <w:tcMar>
                    <w:top w:w="15" w:type="dxa"/>
                    <w:left w:w="15" w:type="dxa"/>
                    <w:right w:w="15" w:type="dxa"/>
                  </w:tcMar>
                  <w:vAlign w:val="center"/>
                </w:tcPr>
                <w:p>
                  <w:pPr>
                    <w:widowControl/>
                    <w:ind w:firstLine="0" w:firstLineChars="0"/>
                    <w:jc w:val="center"/>
                    <w:textAlignment w:val="center"/>
                    <w:rPr>
                      <w:color w:val="auto"/>
                      <w:kern w:val="0"/>
                      <w:sz w:val="21"/>
                      <w:szCs w:val="21"/>
                    </w:rPr>
                  </w:pPr>
                </w:p>
              </w:tc>
            </w:tr>
            <w:tr>
              <w:tblPrEx>
                <w:tblCellMar>
                  <w:top w:w="0" w:type="dxa"/>
                  <w:left w:w="0" w:type="dxa"/>
                  <w:bottom w:w="0" w:type="dxa"/>
                  <w:right w:w="0" w:type="dxa"/>
                </w:tblCellMar>
              </w:tblPrEx>
              <w:trPr>
                <w:trHeight w:val="283" w:hRule="atLeast"/>
              </w:trPr>
              <w:tc>
                <w:tcPr>
                  <w:tcW w:w="838"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widowControl/>
                    <w:ind w:firstLine="0" w:firstLineChars="0"/>
                    <w:jc w:val="center"/>
                    <w:rPr>
                      <w:color w:val="auto"/>
                      <w:sz w:val="21"/>
                      <w:szCs w:val="21"/>
                    </w:rPr>
                  </w:pPr>
                </w:p>
              </w:tc>
              <w:tc>
                <w:tcPr>
                  <w:tcW w:w="839"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color w:val="auto"/>
                      <w:kern w:val="0"/>
                      <w:sz w:val="21"/>
                      <w:szCs w:val="21"/>
                    </w:rPr>
                  </w:pPr>
                  <w:r>
                    <w:rPr>
                      <w:rFonts w:hint="eastAsia"/>
                      <w:color w:val="auto"/>
                      <w:kern w:val="0"/>
                      <w:sz w:val="21"/>
                      <w:szCs w:val="21"/>
                    </w:rPr>
                    <w:t>无组织</w:t>
                  </w:r>
                </w:p>
              </w:tc>
              <w:tc>
                <w:tcPr>
                  <w:tcW w:w="838"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1"/>
                      <w:szCs w:val="21"/>
                      <w:lang w:bidi="ar"/>
                    </w:rPr>
                    <w:t>0.135</w:t>
                  </w:r>
                </w:p>
              </w:tc>
              <w:tc>
                <w:tcPr>
                  <w:tcW w:w="103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0.0563</w:t>
                  </w:r>
                </w:p>
              </w:tc>
              <w:tc>
                <w:tcPr>
                  <w:tcW w:w="103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w:t>
                  </w:r>
                </w:p>
              </w:tc>
              <w:tc>
                <w:tcPr>
                  <w:tcW w:w="839"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0.0271</w:t>
                  </w:r>
                </w:p>
              </w:tc>
              <w:tc>
                <w:tcPr>
                  <w:tcW w:w="103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lang w:bidi="ar"/>
                    </w:rPr>
                  </w:pPr>
                  <w:r>
                    <w:rPr>
                      <w:rFonts w:hint="eastAsia"/>
                      <w:color w:val="auto"/>
                      <w:kern w:val="0"/>
                      <w:sz w:val="21"/>
                      <w:szCs w:val="21"/>
                      <w:lang w:bidi="ar"/>
                    </w:rPr>
                    <w:t>0.0113</w:t>
                  </w:r>
                </w:p>
              </w:tc>
              <w:tc>
                <w:tcPr>
                  <w:tcW w:w="1036" w:type="dxa"/>
                  <w:vMerge w:val="continue"/>
                  <w:tcBorders>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color w:val="auto"/>
                      <w:kern w:val="0"/>
                      <w:sz w:val="21"/>
                      <w:szCs w:val="21"/>
                    </w:rPr>
                  </w:pPr>
                </w:p>
              </w:tc>
              <w:tc>
                <w:tcPr>
                  <w:tcW w:w="838" w:type="dxa"/>
                  <w:vMerge w:val="continue"/>
                  <w:tcBorders>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color w:val="auto"/>
                      <w:kern w:val="0"/>
                      <w:sz w:val="21"/>
                      <w:szCs w:val="21"/>
                    </w:rPr>
                  </w:pPr>
                </w:p>
              </w:tc>
            </w:tr>
          </w:tbl>
          <w:p>
            <w:pPr>
              <w:spacing w:line="360" w:lineRule="auto"/>
              <w:ind w:firstLine="482" w:firstLineChars="200"/>
              <w:rPr>
                <w:rFonts w:hint="eastAsia" w:ascii="Times New Roman" w:eastAsia="宋体" w:cs="Times New Roman"/>
                <w:color w:val="auto"/>
              </w:rPr>
            </w:pPr>
            <w:r>
              <w:rPr>
                <w:rFonts w:hint="eastAsia" w:eastAsia="宋体" w:cs="Times New Roman"/>
                <w:b/>
                <w:bCs/>
                <w:snapToGrid w:val="0"/>
                <w:color w:val="auto"/>
                <w:lang w:val="en-US" w:eastAsia="zh-CN"/>
              </w:rPr>
              <w:t>4）</w:t>
            </w:r>
            <w:r>
              <w:rPr>
                <w:rFonts w:hint="eastAsia" w:eastAsia="宋体" w:cs="Times New Roman"/>
                <w:b/>
                <w:bCs/>
                <w:snapToGrid w:val="0"/>
                <w:color w:val="auto"/>
              </w:rPr>
              <w:t>成品</w:t>
            </w:r>
            <w:r>
              <w:rPr>
                <w:rFonts w:ascii="Times New Roman" w:eastAsia="宋体" w:cs="Times New Roman"/>
                <w:b/>
                <w:bCs/>
                <w:snapToGrid w:val="0"/>
                <w:color w:val="auto"/>
              </w:rPr>
              <w:t>料仓粉尘</w:t>
            </w:r>
          </w:p>
          <w:p>
            <w:pPr>
              <w:spacing w:line="360" w:lineRule="auto"/>
              <w:ind w:firstLine="480" w:firstLineChars="200"/>
              <w:jc w:val="both"/>
              <w:rPr>
                <w:rFonts w:hint="eastAsia" w:ascii="Times New Roman" w:eastAsia="宋体" w:cs="Times New Roman"/>
                <w:color w:val="auto"/>
              </w:rPr>
            </w:pPr>
            <w:r>
              <w:rPr>
                <w:rFonts w:hint="eastAsia" w:ascii="Times New Roman" w:eastAsia="宋体" w:cs="Times New Roman"/>
                <w:color w:val="auto"/>
              </w:rPr>
              <w:t>项目</w:t>
            </w:r>
            <w:r>
              <w:rPr>
                <w:rFonts w:hint="eastAsia" w:ascii="Times New Roman" w:eastAsia="宋体" w:cs="Times New Roman"/>
                <w:color w:val="auto"/>
                <w:lang w:eastAsia="zh-CN"/>
              </w:rPr>
              <w:t>成品堆存间内</w:t>
            </w:r>
            <w:r>
              <w:rPr>
                <w:rFonts w:hint="eastAsia" w:ascii="Times New Roman" w:eastAsia="宋体" w:cs="Times New Roman"/>
                <w:color w:val="auto"/>
              </w:rPr>
              <w:t>设1个成品料仓，</w:t>
            </w:r>
            <w:r>
              <w:rPr>
                <w:rFonts w:hint="eastAsia" w:cs="Times New Roman"/>
                <w:color w:val="auto"/>
                <w:lang w:eastAsia="zh-CN"/>
              </w:rPr>
              <w:t>细石料</w:t>
            </w:r>
            <w:r>
              <w:rPr>
                <w:rFonts w:ascii="Times New Roman" w:eastAsia="宋体" w:cs="Times New Roman"/>
                <w:color w:val="auto"/>
              </w:rPr>
              <w:t>进入仓内时，由于仓内气压大于仓外气压，产生的压力差引起空气流动，部分粉尘随着空气流动从</w:t>
            </w:r>
            <w:r>
              <w:rPr>
                <w:rFonts w:hint="eastAsia" w:ascii="Times New Roman" w:eastAsia="宋体" w:cs="Times New Roman"/>
                <w:color w:val="auto"/>
              </w:rPr>
              <w:t>顶端排出，成品料仓顶端</w:t>
            </w:r>
            <w:r>
              <w:rPr>
                <w:rFonts w:hint="eastAsia" w:ascii="Times New Roman" w:eastAsia="宋体" w:cs="Times New Roman"/>
                <w:color w:val="auto"/>
                <w:lang w:eastAsia="zh-CN"/>
              </w:rPr>
              <w:t>自带有</w:t>
            </w:r>
            <w:r>
              <w:rPr>
                <w:rFonts w:hint="eastAsia" w:ascii="Times New Roman" w:eastAsia="宋体" w:cs="Times New Roman"/>
                <w:color w:val="auto"/>
              </w:rPr>
              <w:t>脉冲布袋除尘器处理后排放，成品料仓排气口高度低于15m，根据相关要求应计为无组织粉尘，</w:t>
            </w:r>
            <w:r>
              <w:rPr>
                <w:rFonts w:ascii="Times New Roman" w:eastAsia="宋体" w:cs="Times New Roman"/>
                <w:color w:val="auto"/>
              </w:rPr>
              <w:t>根据类比</w:t>
            </w:r>
            <w:r>
              <w:rPr>
                <w:rFonts w:hint="eastAsia" w:ascii="Times New Roman" w:eastAsia="宋体" w:cs="Times New Roman"/>
                <w:color w:val="auto"/>
              </w:rPr>
              <w:t>和查阅资料</w:t>
            </w:r>
            <w:r>
              <w:rPr>
                <w:rFonts w:ascii="Times New Roman" w:eastAsia="宋体" w:cs="Times New Roman"/>
                <w:color w:val="auto"/>
              </w:rPr>
              <w:t>，</w:t>
            </w:r>
            <w:r>
              <w:rPr>
                <w:rFonts w:hint="eastAsia" w:ascii="Times New Roman" w:eastAsia="宋体" w:cs="Times New Roman"/>
                <w:color w:val="auto"/>
              </w:rPr>
              <w:t>成品</w:t>
            </w:r>
            <w:r>
              <w:rPr>
                <w:rFonts w:ascii="Times New Roman" w:eastAsia="宋体" w:cs="Times New Roman"/>
                <w:color w:val="auto"/>
              </w:rPr>
              <w:t>料仓装料过程中</w:t>
            </w:r>
            <w:r>
              <w:rPr>
                <w:rFonts w:hint="eastAsia" w:ascii="Times New Roman" w:eastAsia="宋体" w:cs="Times New Roman"/>
                <w:color w:val="auto"/>
              </w:rPr>
              <w:t>经滤芯布袋处理后排放的粉尘量</w:t>
            </w:r>
            <w:r>
              <w:rPr>
                <w:rFonts w:ascii="Times New Roman" w:eastAsia="宋体" w:cs="Times New Roman"/>
                <w:color w:val="auto"/>
              </w:rPr>
              <w:t>按总周转量的</w:t>
            </w:r>
            <w:r>
              <w:rPr>
                <w:rFonts w:ascii="Times New Roman" w:hAnsi="Times New Roman" w:eastAsia="宋体" w:cs="Times New Roman"/>
                <w:color w:val="auto"/>
              </w:rPr>
              <w:t>0.1%</w:t>
            </w:r>
            <w:r>
              <w:rPr>
                <w:rFonts w:ascii="Times New Roman" w:eastAsia="宋体" w:cs="Times New Roman"/>
                <w:color w:val="auto"/>
              </w:rPr>
              <w:t>计算，</w:t>
            </w:r>
            <w:r>
              <w:rPr>
                <w:rFonts w:hint="eastAsia" w:ascii="Times New Roman" w:eastAsia="宋体" w:cs="Times New Roman"/>
                <w:color w:val="auto"/>
              </w:rPr>
              <w:t>项目产品进入成品料仓的物料为</w:t>
            </w:r>
            <w:r>
              <w:rPr>
                <w:rFonts w:hint="eastAsia" w:ascii="Times New Roman" w:eastAsia="宋体" w:cs="Times New Roman"/>
                <w:color w:val="auto"/>
                <w:lang w:val="en-US" w:eastAsia="zh-CN"/>
              </w:rPr>
              <w:t>1800</w:t>
            </w:r>
            <w:r>
              <w:rPr>
                <w:rFonts w:hint="eastAsia" w:ascii="Times New Roman" w:eastAsia="宋体" w:cs="Times New Roman"/>
                <w:color w:val="auto"/>
              </w:rPr>
              <w:t>t/a，则料仓内粉尘产生量为</w:t>
            </w:r>
            <w:r>
              <w:rPr>
                <w:rFonts w:hint="eastAsia" w:ascii="Times New Roman" w:eastAsia="宋体" w:cs="Times New Roman"/>
                <w:color w:val="auto"/>
                <w:lang w:val="en-US" w:eastAsia="zh-CN"/>
              </w:rPr>
              <w:t>1.8</w:t>
            </w:r>
            <w:r>
              <w:rPr>
                <w:rFonts w:hint="eastAsia" w:ascii="Times New Roman" w:eastAsia="宋体" w:cs="Times New Roman"/>
                <w:color w:val="auto"/>
              </w:rPr>
              <w:t>t/a，成品料仓顶端设1套布袋除尘设施（除尘效率99%），收集的</w:t>
            </w:r>
            <w:r>
              <w:rPr>
                <w:rFonts w:hint="eastAsia" w:ascii="Times New Roman" w:eastAsia="宋体" w:cs="Times New Roman"/>
                <w:color w:val="auto"/>
                <w:lang w:val="en-US" w:eastAsia="zh-CN"/>
              </w:rPr>
              <w:t>1.782</w:t>
            </w:r>
            <w:r>
              <w:rPr>
                <w:rFonts w:hint="eastAsia" w:ascii="Times New Roman" w:eastAsia="宋体" w:cs="Times New Roman"/>
                <w:color w:val="auto"/>
              </w:rPr>
              <w:t>t/a落入料仓内，排气口排放的粉尘为0.0</w:t>
            </w:r>
            <w:r>
              <w:rPr>
                <w:rFonts w:hint="eastAsia" w:ascii="Times New Roman" w:eastAsia="宋体" w:cs="Times New Roman"/>
                <w:color w:val="auto"/>
                <w:lang w:val="en-US" w:eastAsia="zh-CN"/>
              </w:rPr>
              <w:t>075</w:t>
            </w:r>
            <w:r>
              <w:rPr>
                <w:rFonts w:hint="eastAsia" w:ascii="Times New Roman" w:eastAsia="宋体" w:cs="Times New Roman"/>
                <w:color w:val="auto"/>
              </w:rPr>
              <w:t>kg/h，0.</w:t>
            </w:r>
            <w:r>
              <w:rPr>
                <w:rFonts w:hint="eastAsia" w:ascii="Times New Roman" w:eastAsia="宋体" w:cs="Times New Roman"/>
                <w:color w:val="auto"/>
                <w:lang w:val="en-US" w:eastAsia="zh-CN"/>
              </w:rPr>
              <w:t>018</w:t>
            </w:r>
            <w:r>
              <w:rPr>
                <w:rFonts w:hint="eastAsia" w:ascii="Times New Roman" w:eastAsia="宋体" w:cs="Times New Roman"/>
                <w:color w:val="auto"/>
              </w:rPr>
              <w:t>t/a。</w:t>
            </w:r>
          </w:p>
          <w:p>
            <w:pPr>
              <w:ind w:firstLine="482"/>
              <w:rPr>
                <w:rFonts w:hint="eastAsia" w:ascii="Times New Roman" w:eastAsia="宋体" w:cs="Times New Roman"/>
                <w:b/>
                <w:color w:val="auto"/>
              </w:rPr>
            </w:pPr>
            <w:r>
              <w:rPr>
                <w:rFonts w:hint="eastAsia"/>
                <w:b/>
                <w:bCs/>
                <w:color w:val="auto"/>
                <w:kern w:val="1"/>
                <w:lang w:val="en-US" w:eastAsia="zh-CN"/>
              </w:rPr>
              <w:t>5</w:t>
            </w:r>
            <w:r>
              <w:rPr>
                <w:rFonts w:hint="eastAsia"/>
                <w:b/>
                <w:bCs/>
                <w:color w:val="auto"/>
                <w:kern w:val="1"/>
              </w:rPr>
              <w:t>）</w:t>
            </w:r>
            <w:r>
              <w:rPr>
                <w:rFonts w:hint="eastAsia" w:ascii="Times New Roman" w:eastAsia="宋体" w:cs="Times New Roman"/>
                <w:b/>
                <w:color w:val="auto"/>
              </w:rPr>
              <w:t>产品装车粉尘</w:t>
            </w:r>
          </w:p>
          <w:p>
            <w:pPr>
              <w:pStyle w:val="15"/>
              <w:ind w:firstLine="480"/>
              <w:rPr>
                <w:rFonts w:hint="eastAsia" w:eastAsia="宋体"/>
                <w:color w:val="auto"/>
                <w:kern w:val="1"/>
                <w:lang w:eastAsia="zh-CN"/>
              </w:rPr>
            </w:pPr>
            <w:r>
              <w:rPr>
                <w:rFonts w:hint="eastAsia" w:ascii="Times New Roman" w:eastAsia="宋体" w:cs="Times New Roman"/>
                <w:color w:val="auto"/>
                <w:sz w:val="24"/>
                <w:szCs w:val="24"/>
              </w:rPr>
              <w:t>项目生产的产品为散装产品，使用成品料仓配套的螺旋输送设备输送至罐车内，</w:t>
            </w:r>
            <w:r>
              <w:rPr>
                <w:rFonts w:ascii="Times New Roman" w:hAnsi="宋体" w:eastAsia="宋体" w:cs="Times New Roman"/>
                <w:color w:val="auto"/>
                <w:sz w:val="24"/>
                <w:szCs w:val="24"/>
              </w:rPr>
              <w:t>当物料进入罐车内时</w:t>
            </w:r>
            <w:r>
              <w:rPr>
                <w:rFonts w:hint="eastAsia" w:ascii="Times New Roman" w:hAnsi="宋体" w:eastAsia="宋体" w:cs="Times New Roman"/>
                <w:color w:val="auto"/>
                <w:sz w:val="24"/>
                <w:szCs w:val="24"/>
                <w:lang w:eastAsia="zh-CN"/>
              </w:rPr>
              <w:t>，由于料仓配套的输送设备、罐车均为全封闭，此部分产生的粉尘较少可忽略不计。</w:t>
            </w:r>
          </w:p>
          <w:p>
            <w:pPr>
              <w:pStyle w:val="32"/>
              <w:snapToGrid w:val="0"/>
              <w:ind w:firstLine="482"/>
              <w:rPr>
                <w:color w:val="000000" w:themeColor="text1"/>
              </w:rPr>
            </w:pPr>
            <w:r>
              <w:rPr>
                <w:rFonts w:hint="eastAsia"/>
                <w:b/>
                <w:bCs/>
                <w:kern w:val="1"/>
              </w:rPr>
              <w:t>5）</w:t>
            </w:r>
            <w:r>
              <w:rPr>
                <w:rFonts w:hint="eastAsia"/>
                <w:b/>
                <w:color w:val="000000" w:themeColor="text1"/>
              </w:rPr>
              <w:t>运输道路扬尘</w:t>
            </w:r>
          </w:p>
          <w:p>
            <w:pPr>
              <w:snapToGrid w:val="0"/>
              <w:ind w:firstLine="480"/>
              <w:rPr>
                <w:color w:val="000000" w:themeColor="text1"/>
              </w:rPr>
            </w:pPr>
            <w:r>
              <w:rPr>
                <w:rFonts w:hint="eastAsia"/>
                <w:color w:val="000000" w:themeColor="text1"/>
              </w:rPr>
              <w:t>本项目</w:t>
            </w:r>
            <w:r>
              <w:rPr>
                <w:rFonts w:hint="eastAsia"/>
                <w:color w:val="000000" w:themeColor="text1"/>
                <w:lang w:eastAsia="zh-CN"/>
              </w:rPr>
              <w:t>细石料</w:t>
            </w:r>
            <w:r>
              <w:rPr>
                <w:rFonts w:hint="eastAsia"/>
                <w:color w:val="000000" w:themeColor="text1"/>
              </w:rPr>
              <w:t>成品采用汽车进行运输外售，运输过程中会有扬尘产生。车辆行驶产生的扬尘，在完全干燥情况下按经验公式计算：</w:t>
            </w:r>
          </w:p>
          <w:p>
            <w:pPr>
              <w:snapToGrid w:val="0"/>
              <w:ind w:firstLine="480"/>
              <w:jc w:val="center"/>
              <w:textAlignment w:val="baseline"/>
              <w:rPr>
                <w:color w:val="000000" w:themeColor="text1"/>
              </w:rPr>
            </w:pPr>
            <w:r>
              <w:rPr>
                <w:color w:val="000000" w:themeColor="text1"/>
                <w:position w:val="-46"/>
              </w:rPr>
              <w:object>
                <v:shape id="_x0000_i1028" o:spt="75" type="#_x0000_t75" style="height:50.25pt;width:190.5pt;" o:ole="t" fillcolor="#6D6D6D"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rFonts w:hint="eastAsia"/>
                <w:color w:val="000000" w:themeColor="text1"/>
              </w:rPr>
              <w:t xml:space="preserve">  </w:t>
            </w:r>
          </w:p>
          <w:p>
            <w:pPr>
              <w:snapToGrid w:val="0"/>
              <w:ind w:firstLine="480"/>
              <w:rPr>
                <w:color w:val="000000" w:themeColor="text1"/>
              </w:rPr>
            </w:pPr>
            <w:r>
              <w:rPr>
                <w:color w:val="000000" w:themeColor="text1"/>
              </w:rPr>
              <w:t>式中：Q</w:t>
            </w:r>
            <w:r>
              <w:rPr>
                <w:color w:val="000000" w:themeColor="text1"/>
                <w:vertAlign w:val="subscript"/>
              </w:rPr>
              <w:t>P</w:t>
            </w:r>
            <w:r>
              <w:rPr>
                <w:color w:val="000000" w:themeColor="text1"/>
              </w:rPr>
              <w:t>—道路扬尘量（kg/km·辆）；</w:t>
            </w:r>
          </w:p>
          <w:p>
            <w:pPr>
              <w:snapToGrid w:val="0"/>
              <w:ind w:firstLine="1200" w:firstLineChars="500"/>
              <w:rPr>
                <w:color w:val="000000" w:themeColor="text1"/>
              </w:rPr>
            </w:pPr>
            <w:r>
              <w:rPr>
                <w:color w:val="000000" w:themeColor="text1"/>
              </w:rPr>
              <w:t>Q</w:t>
            </w:r>
            <w:r>
              <w:rPr>
                <w:color w:val="000000" w:themeColor="text1"/>
                <w:vertAlign w:val="subscript"/>
              </w:rPr>
              <w:t>P</w:t>
            </w:r>
            <w:r>
              <w:rPr>
                <w:color w:val="000000" w:themeColor="text1"/>
                <w:vertAlign w:val="superscript"/>
              </w:rPr>
              <w:t>1</w:t>
            </w:r>
            <w:r>
              <w:rPr>
                <w:color w:val="000000" w:themeColor="text1"/>
              </w:rPr>
              <w:t>—总扬尘量（kg/a）；</w:t>
            </w:r>
          </w:p>
          <w:p>
            <w:pPr>
              <w:snapToGrid w:val="0"/>
              <w:ind w:firstLine="1200" w:firstLineChars="500"/>
              <w:rPr>
                <w:color w:val="000000" w:themeColor="text1"/>
              </w:rPr>
            </w:pPr>
            <w:r>
              <w:rPr>
                <w:color w:val="000000" w:themeColor="text1"/>
              </w:rPr>
              <w:t>M—车辆载重（t/辆）；</w:t>
            </w:r>
          </w:p>
          <w:p>
            <w:pPr>
              <w:snapToGrid w:val="0"/>
              <w:ind w:firstLine="480"/>
              <w:rPr>
                <w:color w:val="000000" w:themeColor="text1"/>
              </w:rPr>
            </w:pPr>
            <w:r>
              <w:rPr>
                <w:color w:val="000000" w:themeColor="text1"/>
              </w:rPr>
              <w:t xml:space="preserve">      V—车辆速度（km/h）； </w:t>
            </w:r>
          </w:p>
          <w:p>
            <w:pPr>
              <w:snapToGrid w:val="0"/>
              <w:ind w:firstLine="480"/>
              <w:rPr>
                <w:color w:val="000000" w:themeColor="text1"/>
              </w:rPr>
            </w:pPr>
            <w:r>
              <w:rPr>
                <w:color w:val="000000" w:themeColor="text1"/>
              </w:rPr>
              <w:t xml:space="preserve">      P—道路灰尘覆盖量（kg/m</w:t>
            </w:r>
            <w:r>
              <w:rPr>
                <w:color w:val="000000" w:themeColor="text1"/>
                <w:vertAlign w:val="superscript"/>
              </w:rPr>
              <w:t>2</w:t>
            </w:r>
            <w:r>
              <w:rPr>
                <w:color w:val="000000" w:themeColor="text1"/>
              </w:rPr>
              <w:t>）；</w:t>
            </w:r>
          </w:p>
          <w:p>
            <w:pPr>
              <w:snapToGrid w:val="0"/>
              <w:ind w:firstLine="480"/>
              <w:rPr>
                <w:color w:val="000000" w:themeColor="text1"/>
              </w:rPr>
            </w:pPr>
            <w:r>
              <w:rPr>
                <w:color w:val="000000" w:themeColor="text1"/>
              </w:rPr>
              <w:t xml:space="preserve">      L—运输距离（km）；</w:t>
            </w:r>
          </w:p>
          <w:p>
            <w:pPr>
              <w:snapToGrid w:val="0"/>
              <w:ind w:firstLine="480"/>
              <w:rPr>
                <w:color w:val="000000" w:themeColor="text1"/>
              </w:rPr>
            </w:pPr>
            <w:r>
              <w:rPr>
                <w:color w:val="000000" w:themeColor="text1"/>
              </w:rPr>
              <w:t xml:space="preserve">      Q—运输量（t/a）。</w:t>
            </w:r>
          </w:p>
          <w:p>
            <w:pPr>
              <w:snapToGrid w:val="0"/>
              <w:ind w:firstLine="480"/>
              <w:rPr>
                <w:color w:val="000000" w:themeColor="text1"/>
              </w:rPr>
            </w:pPr>
            <w:r>
              <w:rPr>
                <w:rFonts w:hint="eastAsia"/>
                <w:color w:val="000000" w:themeColor="text1"/>
              </w:rPr>
              <w:t>项目</w:t>
            </w:r>
            <w:r>
              <w:rPr>
                <w:color w:val="000000" w:themeColor="text1"/>
                <w:spacing w:val="-8"/>
              </w:rPr>
              <w:t>采用</w:t>
            </w:r>
            <w:r>
              <w:rPr>
                <w:rFonts w:hint="eastAsia"/>
                <w:color w:val="000000" w:themeColor="text1"/>
              </w:rPr>
              <w:t>30</w:t>
            </w:r>
            <w:r>
              <w:rPr>
                <w:color w:val="000000" w:themeColor="text1"/>
              </w:rPr>
              <w:t>t自卸汽车运输，运输车辆时速约10km，由于矿区道路</w:t>
            </w:r>
            <w:r>
              <w:rPr>
                <w:rFonts w:hint="eastAsia"/>
                <w:color w:val="000000" w:themeColor="text1"/>
              </w:rPr>
              <w:t>以</w:t>
            </w:r>
            <w:r>
              <w:rPr>
                <w:color w:val="000000" w:themeColor="text1"/>
              </w:rPr>
              <w:t>泥结石碎路面</w:t>
            </w:r>
            <w:r>
              <w:rPr>
                <w:rFonts w:hint="eastAsia"/>
                <w:color w:val="000000" w:themeColor="text1"/>
              </w:rPr>
              <w:t>为主</w:t>
            </w:r>
            <w:r>
              <w:rPr>
                <w:color w:val="000000" w:themeColor="text1"/>
              </w:rPr>
              <w:t>，灰尘较多，则道路灰尘覆盖量P取0.5kg/m</w:t>
            </w:r>
            <w:r>
              <w:rPr>
                <w:color w:val="000000" w:themeColor="text1"/>
                <w:vertAlign w:val="superscript"/>
              </w:rPr>
              <w:t>2</w:t>
            </w:r>
            <w:r>
              <w:rPr>
                <w:color w:val="000000" w:themeColor="text1"/>
              </w:rPr>
              <w:t>。因此</w:t>
            </w:r>
            <w:r>
              <w:rPr>
                <w:rFonts w:hint="eastAsia"/>
                <w:color w:val="000000" w:themeColor="text1"/>
              </w:rPr>
              <w:t>，</w:t>
            </w:r>
            <w:r>
              <w:rPr>
                <w:color w:val="000000" w:themeColor="text1"/>
              </w:rPr>
              <w:t>道路扬尘量为</w:t>
            </w:r>
            <w:r>
              <w:rPr>
                <w:rFonts w:hint="eastAsia"/>
                <w:color w:val="000000" w:themeColor="text1"/>
              </w:rPr>
              <w:t>0.87</w:t>
            </w:r>
            <w:r>
              <w:rPr>
                <w:color w:val="000000" w:themeColor="text1"/>
              </w:rPr>
              <w:t>kg/km</w:t>
            </w:r>
            <w:r>
              <w:rPr>
                <w:rFonts w:hint="eastAsia"/>
                <w:color w:val="000000" w:themeColor="text1"/>
              </w:rPr>
              <w:t>·</w:t>
            </w:r>
            <w:r>
              <w:rPr>
                <w:color w:val="000000" w:themeColor="text1"/>
              </w:rPr>
              <w:t>辆</w:t>
            </w:r>
            <w:r>
              <w:rPr>
                <w:rFonts w:hint="eastAsia"/>
                <w:color w:val="000000" w:themeColor="text1"/>
              </w:rPr>
              <w:t>。</w:t>
            </w:r>
          </w:p>
          <w:p>
            <w:pPr>
              <w:snapToGrid w:val="0"/>
              <w:ind w:firstLine="480"/>
              <w:rPr>
                <w:b/>
                <w:bCs/>
                <w:kern w:val="1"/>
              </w:rPr>
            </w:pPr>
            <w:r>
              <w:rPr>
                <w:rFonts w:hint="eastAsia"/>
                <w:color w:val="000000" w:themeColor="text1"/>
              </w:rPr>
              <w:t>结合下文分析，项目</w:t>
            </w:r>
            <w:r>
              <w:rPr>
                <w:rFonts w:hint="eastAsia"/>
                <w:color w:val="000000" w:themeColor="text1"/>
                <w:lang w:eastAsia="zh-CN"/>
              </w:rPr>
              <w:t>细石料</w:t>
            </w:r>
            <w:r>
              <w:rPr>
                <w:rFonts w:hint="eastAsia"/>
                <w:color w:val="000000" w:themeColor="text1"/>
              </w:rPr>
              <w:t>年运输量为1800t/a，车辆在项目内道路往返长度约为0.25km，则道路运输扬尘源强为0.013t/a。</w:t>
            </w:r>
          </w:p>
          <w:p>
            <w:pPr>
              <w:ind w:firstLine="482"/>
              <w:rPr>
                <w:b/>
                <w:bCs/>
                <w:kern w:val="1"/>
              </w:rPr>
            </w:pPr>
            <w:r>
              <w:rPr>
                <w:rFonts w:hint="eastAsia"/>
                <w:b/>
                <w:bCs/>
                <w:kern w:val="1"/>
              </w:rPr>
              <w:t>6）粉尘达标判定分析</w:t>
            </w:r>
          </w:p>
          <w:p>
            <w:pPr>
              <w:ind w:firstLine="480"/>
              <w:rPr>
                <w:kern w:val="1"/>
              </w:rPr>
            </w:pPr>
            <w:r>
              <w:rPr>
                <w:rFonts w:hint="eastAsia"/>
                <w:kern w:val="1"/>
              </w:rPr>
              <w:fldChar w:fldCharType="begin"/>
            </w:r>
            <w:r>
              <w:rPr>
                <w:rFonts w:hint="eastAsia"/>
                <w:kern w:val="1"/>
              </w:rPr>
              <w:instrText xml:space="preserve"> = 1 \* GB3 \* MERGEFORMAT </w:instrText>
            </w:r>
            <w:r>
              <w:rPr>
                <w:rFonts w:hint="eastAsia"/>
                <w:kern w:val="1"/>
              </w:rPr>
              <w:fldChar w:fldCharType="separate"/>
            </w:r>
            <w:r>
              <w:t>①</w:t>
            </w:r>
            <w:r>
              <w:rPr>
                <w:rFonts w:hint="eastAsia"/>
                <w:kern w:val="1"/>
              </w:rPr>
              <w:fldChar w:fldCharType="end"/>
            </w:r>
            <w:r>
              <w:rPr>
                <w:rFonts w:hint="eastAsia"/>
                <w:kern w:val="1"/>
              </w:rPr>
              <w:t>无组织粉尘达标判定分析</w:t>
            </w:r>
          </w:p>
          <w:p>
            <w:pPr>
              <w:ind w:firstLine="480"/>
            </w:pPr>
            <w:r>
              <w:rPr>
                <w:rFonts w:hint="eastAsia"/>
              </w:rPr>
              <w:t>本项目无组织粉尘主要为原料卸料及堆存粉尘、破碎粉尘、</w:t>
            </w:r>
            <w:r>
              <w:rPr>
                <w:rFonts w:hint="eastAsia"/>
                <w:kern w:val="1"/>
              </w:rPr>
              <w:t>成品堆放车间粉尘</w:t>
            </w:r>
            <w:r>
              <w:rPr>
                <w:rFonts w:hint="eastAsia"/>
              </w:rPr>
              <w:t>粉尘及运输道路扬尘，第七章影响分析主要对项目原料卸料及堆存粉尘、破碎粉尘、和</w:t>
            </w:r>
            <w:r>
              <w:rPr>
                <w:rFonts w:hint="eastAsia"/>
                <w:kern w:val="1"/>
              </w:rPr>
              <w:t>成品堆放车间粉尘</w:t>
            </w:r>
            <w:r>
              <w:rPr>
                <w:rFonts w:hint="eastAsia"/>
              </w:rPr>
              <w:t>进行</w:t>
            </w:r>
            <w:r>
              <w:t>AERSCREEN模式计算</w:t>
            </w:r>
            <w:r>
              <w:rPr>
                <w:rFonts w:hint="eastAsia"/>
              </w:rPr>
              <w:t>，经前文分析核算，该部分无组织粉尘排放总量为0.0</w:t>
            </w:r>
            <w:r>
              <w:rPr>
                <w:rFonts w:hint="eastAsia"/>
                <w:lang w:val="en-US" w:eastAsia="zh-CN"/>
              </w:rPr>
              <w:t>81</w:t>
            </w:r>
            <w:r>
              <w:rPr>
                <w:rFonts w:hint="eastAsia"/>
              </w:rPr>
              <w:t>t/a，排放速率为0.0</w:t>
            </w:r>
            <w:r>
              <w:rPr>
                <w:rFonts w:hint="eastAsia"/>
                <w:lang w:val="en-US" w:eastAsia="zh-CN"/>
              </w:rPr>
              <w:t>338</w:t>
            </w:r>
            <w:r>
              <w:rPr>
                <w:rFonts w:hint="eastAsia"/>
              </w:rPr>
              <w:t>kg/h。</w:t>
            </w:r>
          </w:p>
          <w:p>
            <w:pPr>
              <w:pStyle w:val="3"/>
              <w:ind w:firstLine="480"/>
            </w:pPr>
            <w:r>
              <w:rPr>
                <w:rFonts w:hint="eastAsia"/>
              </w:rPr>
              <w:t>根据</w:t>
            </w:r>
            <w:r>
              <w:t>AERSCREEN模式计算</w:t>
            </w:r>
            <w:r>
              <w:rPr>
                <w:rFonts w:hint="eastAsia"/>
              </w:rPr>
              <w:t>可知，项目区无组织粉尘最大落地浓度为0.00</w:t>
            </w:r>
            <w:r>
              <w:rPr>
                <w:rFonts w:hint="eastAsia"/>
                <w:lang w:val="en-US" w:eastAsia="zh-CN"/>
              </w:rPr>
              <w:t>61</w:t>
            </w:r>
            <w:r>
              <w:rPr>
                <w:sz w:val="21"/>
                <w:szCs w:val="21"/>
              </w:rPr>
              <w:t>μg/m³</w:t>
            </w:r>
            <w:r>
              <w:rPr>
                <w:rFonts w:hint="eastAsia"/>
                <w:sz w:val="21"/>
                <w:szCs w:val="21"/>
              </w:rPr>
              <w:t>，小于</w:t>
            </w:r>
            <w:r>
              <w:rPr>
                <w:color w:val="000000" w:themeColor="text1"/>
              </w:rPr>
              <w:t>GB16297-1996《大气污染物综合排放标准》表2</w:t>
            </w:r>
            <w:r>
              <w:rPr>
                <w:rFonts w:hint="eastAsia"/>
              </w:rPr>
              <w:t>无组织排放监控浓度限值1mg</w:t>
            </w:r>
            <w:r>
              <w:rPr>
                <w:sz w:val="21"/>
                <w:szCs w:val="21"/>
              </w:rPr>
              <w:t>/m</w:t>
            </w:r>
            <w:r>
              <w:rPr>
                <w:sz w:val="24"/>
                <w:szCs w:val="24"/>
              </w:rPr>
              <w:t>³</w:t>
            </w:r>
            <w:r>
              <w:rPr>
                <w:rFonts w:hint="eastAsia"/>
              </w:rPr>
              <w:t>，故本项目产生的粉尘可达标排放。</w:t>
            </w:r>
          </w:p>
          <w:p>
            <w:pPr>
              <w:ind w:firstLine="480"/>
              <w:rPr>
                <w:kern w:val="1"/>
              </w:rPr>
            </w:pPr>
            <w:r>
              <w:rPr>
                <w:rFonts w:hint="eastAsia"/>
                <w:kern w:val="1"/>
              </w:rPr>
              <w:fldChar w:fldCharType="begin"/>
            </w:r>
            <w:r>
              <w:rPr>
                <w:rFonts w:hint="eastAsia"/>
                <w:kern w:val="1"/>
              </w:rPr>
              <w:instrText xml:space="preserve"> = 2 \* GB3 \* MERGEFORMAT </w:instrText>
            </w:r>
            <w:r>
              <w:rPr>
                <w:rFonts w:hint="eastAsia"/>
                <w:kern w:val="1"/>
              </w:rPr>
              <w:fldChar w:fldCharType="separate"/>
            </w:r>
            <w:r>
              <w:t>②</w:t>
            </w:r>
            <w:r>
              <w:rPr>
                <w:rFonts w:hint="eastAsia"/>
                <w:kern w:val="1"/>
              </w:rPr>
              <w:fldChar w:fldCharType="end"/>
            </w:r>
            <w:r>
              <w:rPr>
                <w:rFonts w:hint="eastAsia"/>
                <w:kern w:val="1"/>
              </w:rPr>
              <w:t>有组织粉尘达标判定分析</w:t>
            </w:r>
          </w:p>
          <w:p>
            <w:pPr>
              <w:pStyle w:val="3"/>
              <w:ind w:firstLine="480"/>
            </w:pPr>
            <w:r>
              <w:rPr>
                <w:rFonts w:hint="eastAsia"/>
              </w:rPr>
              <w:t>破碎过程产生的粉尘经布袋除尘器处理后经一根15m排气筒DA001呈有组织排放，排放量</w:t>
            </w:r>
            <w:r>
              <w:rPr>
                <w:szCs w:val="24"/>
              </w:rPr>
              <w:t>为</w:t>
            </w:r>
            <w:r>
              <w:rPr>
                <w:rFonts w:hint="eastAsia"/>
                <w:color w:val="000000" w:themeColor="text1"/>
                <w:kern w:val="0"/>
                <w:szCs w:val="24"/>
              </w:rPr>
              <w:t>0.0</w:t>
            </w:r>
            <w:r>
              <w:rPr>
                <w:rFonts w:hint="eastAsia"/>
                <w:color w:val="000000" w:themeColor="text1"/>
                <w:kern w:val="0"/>
                <w:szCs w:val="24"/>
                <w:lang w:val="en-US" w:eastAsia="zh-CN"/>
              </w:rPr>
              <w:t>032</w:t>
            </w:r>
            <w:r>
              <w:rPr>
                <w:rFonts w:hint="eastAsia"/>
                <w:szCs w:val="24"/>
              </w:rPr>
              <w:t>t</w:t>
            </w:r>
            <w:r>
              <w:rPr>
                <w:szCs w:val="24"/>
              </w:rPr>
              <w:t>/a</w:t>
            </w:r>
            <w:r>
              <w:rPr>
                <w:rFonts w:hint="eastAsia"/>
                <w:szCs w:val="24"/>
              </w:rPr>
              <w:t>、排放速率为</w:t>
            </w:r>
            <w:r>
              <w:rPr>
                <w:rFonts w:hint="eastAsia"/>
                <w:color w:val="000000"/>
                <w:kern w:val="0"/>
                <w:szCs w:val="24"/>
                <w:lang w:bidi="ar"/>
              </w:rPr>
              <w:t>0.0128</w:t>
            </w:r>
            <w:r>
              <w:rPr>
                <w:rFonts w:hint="eastAsia"/>
                <w:szCs w:val="24"/>
              </w:rPr>
              <w:t>kg/</w:t>
            </w:r>
            <w:r>
              <w:rPr>
                <w:rFonts w:hint="eastAsia"/>
              </w:rPr>
              <w:t>h</w:t>
            </w:r>
            <w:r>
              <w:t>。</w:t>
            </w:r>
            <w:r>
              <w:rPr>
                <w:rFonts w:hint="eastAsia"/>
              </w:rPr>
              <w:t>除尘器风机风量为</w:t>
            </w:r>
            <w:r>
              <w:rPr>
                <w:rFonts w:hint="eastAsia"/>
                <w:lang w:val="en-US" w:eastAsia="zh-CN"/>
              </w:rPr>
              <w:t>5</w:t>
            </w:r>
            <w:r>
              <w:rPr>
                <w:rFonts w:hint="eastAsia"/>
              </w:rPr>
              <w:t>000m</w:t>
            </w:r>
            <w:r>
              <w:rPr>
                <w:rFonts w:hint="eastAsia"/>
                <w:vertAlign w:val="superscript"/>
              </w:rPr>
              <w:t>3</w:t>
            </w:r>
            <w:r>
              <w:rPr>
                <w:rFonts w:hint="eastAsia"/>
              </w:rPr>
              <w:t>/h，排气筒废气年排放量为</w:t>
            </w:r>
            <w:r>
              <w:rPr>
                <w:rFonts w:hint="eastAsia"/>
                <w:lang w:val="en-US" w:eastAsia="zh-CN"/>
              </w:rPr>
              <w:t>1200</w:t>
            </w:r>
            <w:r>
              <w:rPr>
                <w:rFonts w:hint="eastAsia"/>
              </w:rPr>
              <w:t>万Nm</w:t>
            </w:r>
            <w:r>
              <w:rPr>
                <w:rFonts w:hint="eastAsia"/>
                <w:vertAlign w:val="superscript"/>
              </w:rPr>
              <w:t>3</w:t>
            </w:r>
            <w:r>
              <w:rPr>
                <w:rFonts w:hint="eastAsia"/>
              </w:rPr>
              <w:t>，故项目有组织粉尘排放浓度为</w:t>
            </w:r>
            <w:r>
              <w:rPr>
                <w:rFonts w:hint="eastAsia"/>
                <w:lang w:val="en-US" w:eastAsia="zh-CN"/>
              </w:rPr>
              <w:t>0.64</w:t>
            </w:r>
            <w:r>
              <w:rPr>
                <w:rFonts w:hint="eastAsia"/>
              </w:rPr>
              <w:t>m</w:t>
            </w:r>
            <w:r>
              <w:rPr>
                <w:sz w:val="21"/>
                <w:szCs w:val="21"/>
              </w:rPr>
              <w:t>g/m³</w:t>
            </w:r>
            <w:r>
              <w:rPr>
                <w:rFonts w:hint="eastAsia"/>
                <w:sz w:val="21"/>
                <w:szCs w:val="21"/>
              </w:rPr>
              <w:t>，小于</w:t>
            </w:r>
            <w:r>
              <w:rPr>
                <w:color w:val="000000" w:themeColor="text1"/>
              </w:rPr>
              <w:t>GB16297-1996《大气污染物综合排放标准》表2</w:t>
            </w:r>
            <w:r>
              <w:rPr>
                <w:rFonts w:hint="eastAsia"/>
              </w:rPr>
              <w:t>有组织排放监控浓度限值120mg</w:t>
            </w:r>
            <w:r>
              <w:rPr>
                <w:sz w:val="21"/>
                <w:szCs w:val="21"/>
              </w:rPr>
              <w:t>/m³</w:t>
            </w:r>
            <w:r>
              <w:rPr>
                <w:rFonts w:hint="eastAsia"/>
              </w:rPr>
              <w:t>，项目有组织粉尘可达标排放。</w:t>
            </w:r>
          </w:p>
          <w:p>
            <w:pPr>
              <w:pStyle w:val="3"/>
              <w:ind w:firstLine="482"/>
              <w:rPr>
                <w:b/>
                <w:bCs/>
              </w:rPr>
            </w:pPr>
            <w:r>
              <w:rPr>
                <w:rFonts w:hint="eastAsia"/>
                <w:b/>
                <w:bCs/>
              </w:rPr>
              <w:t>7</w:t>
            </w:r>
            <w:r>
              <w:rPr>
                <w:b/>
                <w:bCs/>
              </w:rPr>
              <w:t>)</w:t>
            </w:r>
            <w:r>
              <w:rPr>
                <w:rFonts w:hint="eastAsia"/>
                <w:b/>
                <w:bCs/>
              </w:rPr>
              <w:t>厨房油烟</w:t>
            </w:r>
          </w:p>
          <w:p>
            <w:pPr>
              <w:pStyle w:val="9"/>
              <w:ind w:firstLine="480"/>
              <w:rPr>
                <w:szCs w:val="30"/>
              </w:rPr>
            </w:pPr>
            <w:r>
              <w:rPr>
                <w:rFonts w:hint="eastAsia"/>
                <w:szCs w:val="30"/>
              </w:rPr>
              <w:t>厂区内设有食堂，</w:t>
            </w:r>
            <w:r>
              <w:rPr>
                <w:szCs w:val="30"/>
              </w:rPr>
              <w:t>食堂主要提供员工一日三餐</w:t>
            </w:r>
            <w:r>
              <w:rPr>
                <w:rFonts w:hint="eastAsia"/>
                <w:szCs w:val="30"/>
              </w:rPr>
              <w:t>，本次新建项目员工依托原有不再增加人员，就餐人数为10人</w:t>
            </w:r>
            <w:r>
              <w:rPr>
                <w:szCs w:val="30"/>
              </w:rPr>
              <w:t>。厨房每天炒制运行时间约为3h/d，服务天数300天/年。根据类比调查，人均食用油消耗量以30g/人计，则本项目总食用油消耗量</w:t>
            </w:r>
            <w:r>
              <w:rPr>
                <w:rFonts w:hint="eastAsia"/>
                <w:szCs w:val="30"/>
              </w:rPr>
              <w:t>0.3</w:t>
            </w:r>
            <w:r>
              <w:rPr>
                <w:szCs w:val="30"/>
              </w:rPr>
              <w:t>kg/d，由于烹饪时会有少量油类分解、挥发，据类比估计，分解、挥发量按</w:t>
            </w:r>
            <w:r>
              <w:rPr>
                <w:rFonts w:hint="eastAsia"/>
                <w:szCs w:val="30"/>
              </w:rPr>
              <w:t>3</w:t>
            </w:r>
            <w:r>
              <w:rPr>
                <w:szCs w:val="30"/>
              </w:rPr>
              <w:t>%计算，则厨房油烟产生量 0.0</w:t>
            </w:r>
            <w:r>
              <w:rPr>
                <w:rFonts w:hint="eastAsia"/>
                <w:szCs w:val="30"/>
              </w:rPr>
              <w:t>09</w:t>
            </w:r>
            <w:r>
              <w:rPr>
                <w:szCs w:val="30"/>
              </w:rPr>
              <w:t>kg/d，0.0</w:t>
            </w:r>
            <w:r>
              <w:rPr>
                <w:rFonts w:hint="eastAsia"/>
                <w:szCs w:val="30"/>
              </w:rPr>
              <w:t>027</w:t>
            </w:r>
            <w:r>
              <w:rPr>
                <w:szCs w:val="30"/>
              </w:rPr>
              <w:t>t/a。</w:t>
            </w:r>
          </w:p>
          <w:p>
            <w:pPr>
              <w:pStyle w:val="9"/>
              <w:spacing w:line="339" w:lineRule="auto"/>
              <w:ind w:firstLine="480"/>
              <w:jc w:val="left"/>
            </w:pPr>
            <w:r>
              <w:rPr>
                <w:rFonts w:hint="eastAsia"/>
              </w:rPr>
              <w:t>本次环评要求项目</w:t>
            </w:r>
            <w:r>
              <w:t>食堂灶头上方</w:t>
            </w:r>
            <w:r>
              <w:rPr>
                <w:rFonts w:hint="eastAsia"/>
              </w:rPr>
              <w:t>新设有</w:t>
            </w:r>
            <w:r>
              <w:rPr>
                <w:rFonts w:eastAsia="Times New Roman"/>
              </w:rPr>
              <w:t>1</w:t>
            </w:r>
            <w:r>
              <w:t>套油烟净化设施，风机风量为</w:t>
            </w:r>
            <w:r>
              <w:rPr>
                <w:rFonts w:hint="eastAsia"/>
              </w:rPr>
              <w:t>2000</w:t>
            </w:r>
            <w:r>
              <w:rPr>
                <w:rFonts w:eastAsia="Times New Roman"/>
              </w:rPr>
              <w:t>m</w:t>
            </w:r>
            <w:r>
              <w:rPr>
                <w:rFonts w:hint="eastAsia"/>
                <w:vertAlign w:val="superscript"/>
              </w:rPr>
              <w:t>3</w:t>
            </w:r>
            <w:r>
              <w:rPr>
                <w:rFonts w:eastAsia="Times New Roman"/>
              </w:rPr>
              <w:t>/h</w:t>
            </w:r>
            <w:r>
              <w:t>，处理效率为</w:t>
            </w:r>
            <w:r>
              <w:rPr>
                <w:rFonts w:eastAsia="Times New Roman"/>
              </w:rPr>
              <w:t>60%</w:t>
            </w:r>
            <w:r>
              <w:t>，油烟经油烟净化器处理后通过油烟管道排放，则油烟排放量为</w:t>
            </w:r>
            <w:r>
              <w:rPr>
                <w:rFonts w:eastAsia="Times New Roman"/>
              </w:rPr>
              <w:t>0.00</w:t>
            </w:r>
            <w:r>
              <w:rPr>
                <w:rFonts w:hint="eastAsia"/>
              </w:rPr>
              <w:t>11</w:t>
            </w:r>
            <w:r>
              <w:rPr>
                <w:rFonts w:eastAsia="Times New Roman"/>
              </w:rPr>
              <w:t>t/a</w:t>
            </w:r>
            <w:r>
              <w:rPr>
                <w:rFonts w:hint="eastAsia"/>
              </w:rPr>
              <w:t>、0.9056mg/m</w:t>
            </w:r>
            <w:r>
              <w:rPr>
                <w:rFonts w:hint="eastAsia"/>
                <w:vertAlign w:val="superscript"/>
              </w:rPr>
              <w:t>3</w:t>
            </w:r>
            <w:r>
              <w:t>。</w:t>
            </w:r>
          </w:p>
          <w:p>
            <w:pPr>
              <w:pStyle w:val="5"/>
              <w:tabs>
                <w:tab w:val="left" w:pos="3534"/>
              </w:tabs>
              <w:spacing w:before="0" w:after="0" w:line="360" w:lineRule="auto"/>
              <w:ind w:firstLine="0" w:firstLineChars="0"/>
              <w:jc w:val="center"/>
              <w:outlineLvl w:val="1"/>
              <w:rPr>
                <w:b w:val="0"/>
                <w:sz w:val="24"/>
                <w:szCs w:val="24"/>
              </w:rPr>
            </w:pPr>
            <w:r>
              <w:rPr>
                <w:rFonts w:ascii="Times New Roman" w:hAnsi="Times New Roman" w:eastAsia="宋体"/>
                <w:sz w:val="24"/>
                <w:szCs w:val="24"/>
              </w:rPr>
              <w:t>表5-</w:t>
            </w:r>
            <w:r>
              <w:rPr>
                <w:rFonts w:hint="eastAsia" w:ascii="Times New Roman" w:hAnsi="Times New Roman" w:eastAsia="宋体"/>
                <w:sz w:val="24"/>
                <w:szCs w:val="24"/>
              </w:rPr>
              <w:t xml:space="preserve">3   </w:t>
            </w:r>
            <w:r>
              <w:rPr>
                <w:rFonts w:ascii="Times New Roman" w:hAnsi="Times New Roman" w:eastAsia="宋体"/>
                <w:sz w:val="24"/>
                <w:szCs w:val="24"/>
              </w:rPr>
              <w:t>食堂油烟废气产生及排放情况一览表</w:t>
            </w:r>
          </w:p>
          <w:tbl>
            <w:tblPr>
              <w:tblStyle w:val="2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185"/>
              <w:gridCol w:w="1185"/>
              <w:gridCol w:w="1185"/>
              <w:gridCol w:w="11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85" w:type="dxa"/>
                  <w:vAlign w:val="center"/>
                </w:tcPr>
                <w:p>
                  <w:pPr>
                    <w:pStyle w:val="3"/>
                    <w:ind w:firstLine="0" w:firstLineChars="0"/>
                    <w:jc w:val="center"/>
                    <w:rPr>
                      <w:b/>
                      <w:bCs/>
                      <w:sz w:val="21"/>
                      <w:szCs w:val="21"/>
                    </w:rPr>
                  </w:pPr>
                  <w:r>
                    <w:rPr>
                      <w:rFonts w:hint="eastAsia"/>
                      <w:b/>
                      <w:bCs/>
                      <w:sz w:val="21"/>
                      <w:szCs w:val="21"/>
                    </w:rPr>
                    <w:t>排放源</w:t>
                  </w:r>
                </w:p>
              </w:tc>
              <w:tc>
                <w:tcPr>
                  <w:tcW w:w="1185" w:type="dxa"/>
                  <w:vAlign w:val="center"/>
                </w:tcPr>
                <w:p>
                  <w:pPr>
                    <w:pStyle w:val="3"/>
                    <w:ind w:firstLine="0" w:firstLineChars="0"/>
                    <w:jc w:val="center"/>
                    <w:rPr>
                      <w:b/>
                      <w:bCs/>
                      <w:sz w:val="21"/>
                      <w:szCs w:val="21"/>
                    </w:rPr>
                  </w:pPr>
                  <w:r>
                    <w:rPr>
                      <w:rFonts w:hint="eastAsia"/>
                      <w:b/>
                      <w:bCs/>
                      <w:sz w:val="21"/>
                      <w:szCs w:val="21"/>
                    </w:rPr>
                    <w:t>废气量（m</w:t>
                  </w:r>
                  <w:r>
                    <w:rPr>
                      <w:rFonts w:hint="eastAsia"/>
                      <w:b/>
                      <w:bCs/>
                      <w:sz w:val="21"/>
                      <w:szCs w:val="21"/>
                      <w:vertAlign w:val="superscript"/>
                    </w:rPr>
                    <w:t>3</w:t>
                  </w:r>
                  <w:r>
                    <w:rPr>
                      <w:rFonts w:hint="eastAsia"/>
                      <w:b/>
                      <w:bCs/>
                      <w:sz w:val="21"/>
                      <w:szCs w:val="21"/>
                    </w:rPr>
                    <w:t>/a）</w:t>
                  </w:r>
                </w:p>
              </w:tc>
              <w:tc>
                <w:tcPr>
                  <w:tcW w:w="1185" w:type="dxa"/>
                  <w:vAlign w:val="center"/>
                </w:tcPr>
                <w:p>
                  <w:pPr>
                    <w:pStyle w:val="3"/>
                    <w:ind w:firstLine="0" w:firstLineChars="0"/>
                    <w:jc w:val="center"/>
                    <w:rPr>
                      <w:b/>
                      <w:bCs/>
                      <w:sz w:val="21"/>
                      <w:szCs w:val="21"/>
                    </w:rPr>
                  </w:pPr>
                  <w:r>
                    <w:rPr>
                      <w:rFonts w:hint="eastAsia"/>
                      <w:b/>
                      <w:bCs/>
                      <w:sz w:val="21"/>
                      <w:szCs w:val="21"/>
                    </w:rPr>
                    <w:t>产生浓度（mg/m</w:t>
                  </w:r>
                  <w:r>
                    <w:rPr>
                      <w:rFonts w:hint="eastAsia"/>
                      <w:b/>
                      <w:bCs/>
                      <w:sz w:val="21"/>
                      <w:szCs w:val="21"/>
                      <w:vertAlign w:val="superscript"/>
                    </w:rPr>
                    <w:t>3</w:t>
                  </w:r>
                  <w:r>
                    <w:rPr>
                      <w:rFonts w:hint="eastAsia"/>
                      <w:b/>
                      <w:bCs/>
                      <w:sz w:val="21"/>
                      <w:szCs w:val="21"/>
                    </w:rPr>
                    <w:t>）</w:t>
                  </w:r>
                </w:p>
              </w:tc>
              <w:tc>
                <w:tcPr>
                  <w:tcW w:w="1185" w:type="dxa"/>
                  <w:vAlign w:val="center"/>
                </w:tcPr>
                <w:p>
                  <w:pPr>
                    <w:pStyle w:val="3"/>
                    <w:ind w:firstLine="0" w:firstLineChars="0"/>
                    <w:jc w:val="center"/>
                    <w:rPr>
                      <w:b/>
                      <w:bCs/>
                      <w:sz w:val="21"/>
                      <w:szCs w:val="21"/>
                    </w:rPr>
                  </w:pPr>
                  <w:r>
                    <w:rPr>
                      <w:rFonts w:hint="eastAsia"/>
                      <w:b/>
                      <w:bCs/>
                      <w:sz w:val="21"/>
                      <w:szCs w:val="21"/>
                    </w:rPr>
                    <w:t>产生量（t/a）</w:t>
                  </w:r>
                </w:p>
              </w:tc>
              <w:tc>
                <w:tcPr>
                  <w:tcW w:w="1185" w:type="dxa"/>
                  <w:vAlign w:val="center"/>
                </w:tcPr>
                <w:p>
                  <w:pPr>
                    <w:pStyle w:val="3"/>
                    <w:ind w:firstLine="0" w:firstLineChars="0"/>
                    <w:jc w:val="center"/>
                    <w:rPr>
                      <w:b/>
                      <w:bCs/>
                      <w:sz w:val="21"/>
                      <w:szCs w:val="21"/>
                    </w:rPr>
                  </w:pPr>
                  <w:r>
                    <w:rPr>
                      <w:rFonts w:hint="eastAsia"/>
                      <w:b/>
                      <w:bCs/>
                      <w:sz w:val="21"/>
                      <w:szCs w:val="21"/>
                    </w:rPr>
                    <w:t>排放浓度（mg/m</w:t>
                  </w:r>
                  <w:r>
                    <w:rPr>
                      <w:rFonts w:hint="eastAsia"/>
                      <w:b/>
                      <w:bCs/>
                      <w:sz w:val="21"/>
                      <w:szCs w:val="21"/>
                      <w:vertAlign w:val="superscript"/>
                    </w:rPr>
                    <w:t>3</w:t>
                  </w:r>
                  <w:r>
                    <w:rPr>
                      <w:rFonts w:hint="eastAsia"/>
                      <w:b/>
                      <w:bCs/>
                      <w:sz w:val="21"/>
                      <w:szCs w:val="21"/>
                    </w:rPr>
                    <w:t>）</w:t>
                  </w:r>
                </w:p>
              </w:tc>
              <w:tc>
                <w:tcPr>
                  <w:tcW w:w="1186" w:type="dxa"/>
                  <w:vAlign w:val="center"/>
                </w:tcPr>
                <w:p>
                  <w:pPr>
                    <w:pStyle w:val="3"/>
                    <w:ind w:firstLine="0" w:firstLineChars="0"/>
                    <w:jc w:val="center"/>
                    <w:rPr>
                      <w:b/>
                      <w:bCs/>
                      <w:sz w:val="21"/>
                      <w:szCs w:val="21"/>
                    </w:rPr>
                  </w:pPr>
                  <w:r>
                    <w:rPr>
                      <w:rFonts w:hint="eastAsia"/>
                      <w:b/>
                      <w:bCs/>
                      <w:sz w:val="21"/>
                      <w:szCs w:val="21"/>
                    </w:rPr>
                    <w:t>排放量（t/a）</w:t>
                  </w:r>
                </w:p>
              </w:tc>
              <w:tc>
                <w:tcPr>
                  <w:tcW w:w="1186" w:type="dxa"/>
                  <w:vAlign w:val="center"/>
                </w:tcPr>
                <w:p>
                  <w:pPr>
                    <w:pStyle w:val="3"/>
                    <w:ind w:firstLine="0" w:firstLineChars="0"/>
                    <w:jc w:val="center"/>
                    <w:rPr>
                      <w:b/>
                      <w:bCs/>
                      <w:sz w:val="21"/>
                      <w:szCs w:val="21"/>
                    </w:rPr>
                  </w:pPr>
                  <w:r>
                    <w:rPr>
                      <w:rFonts w:hint="eastAsia"/>
                      <w:b/>
                      <w:bCs/>
                      <w:sz w:val="21"/>
                      <w:szCs w:val="21"/>
                    </w:rPr>
                    <w:t>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5" w:type="dxa"/>
                  <w:vAlign w:val="center"/>
                </w:tcPr>
                <w:p>
                  <w:pPr>
                    <w:pStyle w:val="3"/>
                    <w:ind w:firstLine="0" w:firstLineChars="0"/>
                    <w:jc w:val="center"/>
                    <w:rPr>
                      <w:sz w:val="21"/>
                      <w:szCs w:val="21"/>
                    </w:rPr>
                  </w:pPr>
                  <w:r>
                    <w:rPr>
                      <w:rFonts w:hint="eastAsia"/>
                      <w:sz w:val="21"/>
                      <w:szCs w:val="21"/>
                    </w:rPr>
                    <w:t>食堂</w:t>
                  </w:r>
                </w:p>
              </w:tc>
              <w:tc>
                <w:tcPr>
                  <w:tcW w:w="1185" w:type="dxa"/>
                  <w:vAlign w:val="center"/>
                </w:tcPr>
                <w:p>
                  <w:pPr>
                    <w:pStyle w:val="3"/>
                    <w:ind w:firstLine="0" w:firstLineChars="0"/>
                    <w:jc w:val="center"/>
                    <w:rPr>
                      <w:sz w:val="21"/>
                      <w:szCs w:val="21"/>
                    </w:rPr>
                  </w:pPr>
                  <w:r>
                    <w:rPr>
                      <w:rFonts w:hint="eastAsia"/>
                      <w:sz w:val="21"/>
                      <w:szCs w:val="21"/>
                    </w:rPr>
                    <w:t>2000</w:t>
                  </w:r>
                </w:p>
              </w:tc>
              <w:tc>
                <w:tcPr>
                  <w:tcW w:w="1185" w:type="dxa"/>
                  <w:vAlign w:val="center"/>
                </w:tcPr>
                <w:p>
                  <w:pPr>
                    <w:pStyle w:val="3"/>
                    <w:ind w:firstLine="0" w:firstLineChars="0"/>
                    <w:jc w:val="center"/>
                    <w:rPr>
                      <w:sz w:val="21"/>
                      <w:szCs w:val="21"/>
                    </w:rPr>
                  </w:pPr>
                  <w:r>
                    <w:rPr>
                      <w:rFonts w:hint="eastAsia"/>
                      <w:sz w:val="21"/>
                      <w:szCs w:val="21"/>
                    </w:rPr>
                    <w:t>1.5</w:t>
                  </w:r>
                </w:p>
              </w:tc>
              <w:tc>
                <w:tcPr>
                  <w:tcW w:w="1185" w:type="dxa"/>
                  <w:vAlign w:val="center"/>
                </w:tcPr>
                <w:p>
                  <w:pPr>
                    <w:pStyle w:val="3"/>
                    <w:ind w:firstLine="0" w:firstLineChars="0"/>
                    <w:jc w:val="center"/>
                    <w:rPr>
                      <w:sz w:val="21"/>
                      <w:szCs w:val="21"/>
                    </w:rPr>
                  </w:pPr>
                  <w:r>
                    <w:rPr>
                      <w:rFonts w:hint="eastAsia"/>
                      <w:sz w:val="21"/>
                      <w:szCs w:val="21"/>
                    </w:rPr>
                    <w:t>0.009</w:t>
                  </w:r>
                </w:p>
              </w:tc>
              <w:tc>
                <w:tcPr>
                  <w:tcW w:w="1185" w:type="dxa"/>
                  <w:vAlign w:val="center"/>
                </w:tcPr>
                <w:p>
                  <w:pPr>
                    <w:pStyle w:val="3"/>
                    <w:ind w:firstLine="0" w:firstLineChars="0"/>
                    <w:jc w:val="center"/>
                    <w:rPr>
                      <w:sz w:val="21"/>
                      <w:szCs w:val="21"/>
                    </w:rPr>
                  </w:pPr>
                  <w:r>
                    <w:rPr>
                      <w:rFonts w:hint="eastAsia"/>
                      <w:sz w:val="21"/>
                      <w:szCs w:val="21"/>
                    </w:rPr>
                    <w:t>0.6</w:t>
                  </w:r>
                </w:p>
              </w:tc>
              <w:tc>
                <w:tcPr>
                  <w:tcW w:w="1186" w:type="dxa"/>
                  <w:vAlign w:val="center"/>
                </w:tcPr>
                <w:p>
                  <w:pPr>
                    <w:pStyle w:val="3"/>
                    <w:ind w:firstLine="0" w:firstLineChars="0"/>
                    <w:jc w:val="center"/>
                    <w:rPr>
                      <w:sz w:val="21"/>
                      <w:szCs w:val="21"/>
                    </w:rPr>
                  </w:pPr>
                  <w:r>
                    <w:rPr>
                      <w:rFonts w:hint="eastAsia"/>
                      <w:sz w:val="21"/>
                      <w:szCs w:val="21"/>
                    </w:rPr>
                    <w:t>0.0011</w:t>
                  </w:r>
                </w:p>
              </w:tc>
              <w:tc>
                <w:tcPr>
                  <w:tcW w:w="1186" w:type="dxa"/>
                  <w:vAlign w:val="center"/>
                </w:tcPr>
                <w:p>
                  <w:pPr>
                    <w:pStyle w:val="3"/>
                    <w:ind w:firstLine="0" w:firstLineChars="0"/>
                    <w:jc w:val="center"/>
                    <w:rPr>
                      <w:sz w:val="21"/>
                      <w:szCs w:val="21"/>
                    </w:rPr>
                  </w:pPr>
                  <w:r>
                    <w:rPr>
                      <w:rFonts w:hint="eastAsia"/>
                      <w:sz w:val="21"/>
                      <w:szCs w:val="21"/>
                    </w:rPr>
                    <w:t>60%</w:t>
                  </w:r>
                </w:p>
              </w:tc>
            </w:tr>
          </w:tbl>
          <w:p>
            <w:pPr>
              <w:adjustRightInd w:val="0"/>
              <w:snapToGrid w:val="0"/>
              <w:rPr>
                <w:b/>
                <w:bCs/>
                <w:color w:val="000000" w:themeColor="text1"/>
              </w:rPr>
            </w:pPr>
            <w:r>
              <w:rPr>
                <w:rFonts w:hint="eastAsia"/>
                <w:b/>
                <w:bCs/>
                <w:color w:val="000000" w:themeColor="text1"/>
              </w:rPr>
              <w:t>（2）</w:t>
            </w:r>
            <w:r>
              <w:rPr>
                <w:b/>
                <w:bCs/>
                <w:color w:val="000000" w:themeColor="text1"/>
              </w:rPr>
              <w:t>废水</w:t>
            </w:r>
          </w:p>
          <w:p>
            <w:pPr>
              <w:adjustRightInd w:val="0"/>
              <w:snapToGrid w:val="0"/>
              <w:spacing w:line="360" w:lineRule="auto"/>
              <w:ind w:firstLine="480" w:firstLineChars="200"/>
              <w:rPr>
                <w:color w:val="000000" w:themeColor="text1"/>
                <w:sz w:val="24"/>
              </w:rPr>
            </w:pPr>
            <w:r>
              <w:rPr>
                <w:rFonts w:hint="eastAsia"/>
                <w:color w:val="000000" w:themeColor="text1"/>
                <w:sz w:val="24"/>
                <w:lang w:eastAsia="zh-CN"/>
              </w:rPr>
              <w:t>本</w:t>
            </w:r>
            <w:r>
              <w:rPr>
                <w:rFonts w:hint="eastAsia"/>
                <w:color w:val="000000" w:themeColor="text1"/>
                <w:sz w:val="24"/>
              </w:rPr>
              <w:t>项目运营期</w:t>
            </w:r>
            <w:r>
              <w:rPr>
                <w:rFonts w:hint="eastAsia"/>
                <w:color w:val="000000" w:themeColor="text1"/>
                <w:sz w:val="24"/>
                <w:lang w:eastAsia="zh-CN"/>
              </w:rPr>
              <w:t>无</w:t>
            </w:r>
            <w:r>
              <w:rPr>
                <w:rFonts w:hint="eastAsia"/>
                <w:color w:val="000000" w:themeColor="text1"/>
                <w:sz w:val="24"/>
              </w:rPr>
              <w:t>生产废水</w:t>
            </w:r>
            <w:r>
              <w:rPr>
                <w:rFonts w:hint="eastAsia"/>
                <w:color w:val="000000" w:themeColor="text1"/>
                <w:sz w:val="24"/>
                <w:lang w:eastAsia="zh-CN"/>
              </w:rPr>
              <w:t>产生</w:t>
            </w:r>
            <w:r>
              <w:rPr>
                <w:rFonts w:hint="eastAsia"/>
                <w:color w:val="000000" w:themeColor="text1"/>
                <w:sz w:val="24"/>
              </w:rPr>
              <w:t>、初期雨水及生活污水。</w:t>
            </w:r>
          </w:p>
          <w:p>
            <w:pPr>
              <w:adjustRightInd w:val="0"/>
              <w:snapToGrid w:val="0"/>
              <w:spacing w:line="360" w:lineRule="auto"/>
              <w:ind w:firstLine="482" w:firstLineChars="200"/>
              <w:rPr>
                <w:b/>
                <w:color w:val="000000" w:themeColor="text1"/>
                <w:sz w:val="24"/>
              </w:rPr>
            </w:pPr>
            <w:r>
              <w:rPr>
                <w:rFonts w:hint="eastAsia"/>
                <w:b/>
                <w:color w:val="000000" w:themeColor="text1"/>
                <w:sz w:val="24"/>
                <w:lang w:val="en-US" w:eastAsia="zh-CN"/>
              </w:rPr>
              <w:t>1）</w:t>
            </w:r>
            <w:r>
              <w:rPr>
                <w:rFonts w:hint="eastAsia"/>
                <w:b/>
                <w:color w:val="000000" w:themeColor="text1"/>
                <w:sz w:val="24"/>
              </w:rPr>
              <w:t>生产</w:t>
            </w:r>
            <w:r>
              <w:rPr>
                <w:rFonts w:hint="eastAsia"/>
                <w:b/>
                <w:color w:val="000000" w:themeColor="text1"/>
                <w:sz w:val="24"/>
                <w:lang w:eastAsia="zh-CN"/>
              </w:rPr>
              <w:t>用</w:t>
            </w:r>
            <w:r>
              <w:rPr>
                <w:rFonts w:hint="eastAsia"/>
                <w:b/>
                <w:color w:val="000000" w:themeColor="text1"/>
                <w:sz w:val="24"/>
              </w:rPr>
              <w:t>水</w:t>
            </w:r>
          </w:p>
          <w:p>
            <w:pPr>
              <w:adjustRightInd w:val="0"/>
              <w:snapToGrid w:val="0"/>
              <w:spacing w:line="360" w:lineRule="auto"/>
              <w:ind w:firstLine="480" w:firstLineChars="200"/>
              <w:rPr>
                <w:rFonts w:hint="default" w:eastAsia="宋体"/>
                <w:color w:val="000000" w:themeColor="text1"/>
                <w:sz w:val="24"/>
                <w:vertAlign w:val="baseline"/>
                <w:lang w:val="en-US" w:eastAsia="zh-CN"/>
              </w:rPr>
            </w:pPr>
            <w:r>
              <w:rPr>
                <w:rFonts w:hint="eastAsia"/>
                <w:color w:val="000000" w:themeColor="text1"/>
                <w:sz w:val="24"/>
              </w:rPr>
              <w:t>项目生产</w:t>
            </w:r>
            <w:r>
              <w:rPr>
                <w:rFonts w:hint="eastAsia"/>
                <w:color w:val="000000" w:themeColor="text1"/>
                <w:sz w:val="24"/>
                <w:lang w:eastAsia="zh-CN"/>
              </w:rPr>
              <w:t>用</w:t>
            </w:r>
            <w:r>
              <w:rPr>
                <w:rFonts w:hint="eastAsia"/>
                <w:color w:val="000000" w:themeColor="text1"/>
                <w:sz w:val="24"/>
              </w:rPr>
              <w:t>水主要为</w:t>
            </w:r>
            <w:r>
              <w:rPr>
                <w:rFonts w:hint="eastAsia"/>
                <w:color w:val="000000" w:themeColor="text1"/>
                <w:sz w:val="24"/>
                <w:lang w:eastAsia="zh-CN"/>
              </w:rPr>
              <w:t>进料喷洒水</w:t>
            </w:r>
            <w:r>
              <w:rPr>
                <w:rFonts w:hint="eastAsia"/>
                <w:color w:val="000000" w:themeColor="text1"/>
                <w:sz w:val="24"/>
              </w:rPr>
              <w:t>、</w:t>
            </w:r>
            <w:r>
              <w:rPr>
                <w:rFonts w:hint="eastAsia"/>
                <w:color w:val="000000" w:themeColor="text1"/>
                <w:sz w:val="24"/>
                <w:lang w:eastAsia="zh-CN"/>
              </w:rPr>
              <w:t>原料堆场喷洒水，该部分水随生产过程自然蒸发，不产生废水。根据业主经验数据，用水量约为</w:t>
            </w:r>
            <w:r>
              <w:rPr>
                <w:rFonts w:hint="eastAsia"/>
                <w:color w:val="000000" w:themeColor="text1"/>
                <w:sz w:val="24"/>
                <w:lang w:val="en-US" w:eastAsia="zh-CN"/>
              </w:rPr>
              <w:t>0.02m</w:t>
            </w:r>
            <w:r>
              <w:rPr>
                <w:rFonts w:hint="eastAsia"/>
                <w:color w:val="000000" w:themeColor="text1"/>
                <w:sz w:val="24"/>
                <w:vertAlign w:val="superscript"/>
                <w:lang w:val="en-US" w:eastAsia="zh-CN"/>
              </w:rPr>
              <w:t>3</w:t>
            </w:r>
            <w:r>
              <w:rPr>
                <w:rFonts w:hint="eastAsia"/>
                <w:color w:val="000000" w:themeColor="text1"/>
                <w:sz w:val="24"/>
                <w:lang w:val="en-US" w:eastAsia="zh-CN"/>
              </w:rPr>
              <w:t>/t-原料，项目原料年用量为1800t，故项目原料堆场、进料喷洒水年用水量均为36m</w:t>
            </w:r>
            <w:r>
              <w:rPr>
                <w:rFonts w:hint="eastAsia"/>
                <w:color w:val="000000" w:themeColor="text1"/>
                <w:sz w:val="24"/>
                <w:vertAlign w:val="superscript"/>
                <w:lang w:val="en-US" w:eastAsia="zh-CN"/>
              </w:rPr>
              <w:t>3</w:t>
            </w:r>
            <w:r>
              <w:rPr>
                <w:rFonts w:hint="eastAsia"/>
                <w:color w:val="000000" w:themeColor="text1"/>
                <w:sz w:val="24"/>
                <w:lang w:val="en-US" w:eastAsia="zh-CN"/>
              </w:rPr>
              <w:t>，则生产用水量为72m</w:t>
            </w:r>
            <w:r>
              <w:rPr>
                <w:rFonts w:hint="eastAsia"/>
                <w:color w:val="000000" w:themeColor="text1"/>
                <w:sz w:val="24"/>
                <w:vertAlign w:val="superscript"/>
                <w:lang w:val="en-US" w:eastAsia="zh-CN"/>
              </w:rPr>
              <w:t>3</w:t>
            </w:r>
            <w:r>
              <w:rPr>
                <w:rFonts w:hint="eastAsia"/>
                <w:color w:val="000000" w:themeColor="text1"/>
                <w:sz w:val="24"/>
                <w:vertAlign w:val="baseline"/>
                <w:lang w:val="en-US" w:eastAsia="zh-CN"/>
              </w:rPr>
              <w:t>/a，</w:t>
            </w:r>
            <w:r>
              <w:rPr>
                <w:rFonts w:hint="eastAsia"/>
                <w:color w:val="000000" w:themeColor="text1"/>
                <w:sz w:val="24"/>
                <w:lang w:val="en-US" w:eastAsia="zh-CN"/>
              </w:rPr>
              <w:t>0.24m</w:t>
            </w:r>
            <w:r>
              <w:rPr>
                <w:rFonts w:hint="eastAsia"/>
                <w:color w:val="000000" w:themeColor="text1"/>
                <w:sz w:val="24"/>
                <w:vertAlign w:val="superscript"/>
                <w:lang w:val="en-US" w:eastAsia="zh-CN"/>
              </w:rPr>
              <w:t>3</w:t>
            </w:r>
            <w:r>
              <w:rPr>
                <w:rFonts w:hint="eastAsia"/>
                <w:color w:val="000000" w:themeColor="text1"/>
                <w:sz w:val="24"/>
                <w:vertAlign w:val="baseline"/>
                <w:lang w:val="en-US" w:eastAsia="zh-CN"/>
              </w:rPr>
              <w:t>/d。</w:t>
            </w:r>
          </w:p>
          <w:p>
            <w:pPr>
              <w:pStyle w:val="3"/>
              <w:ind w:firstLine="480"/>
              <w:rPr>
                <w:rFonts w:hint="eastAsia" w:eastAsia="宋体"/>
                <w:b/>
                <w:bCs/>
                <w:color w:val="auto"/>
                <w:lang w:eastAsia="zh-CN"/>
              </w:rPr>
            </w:pPr>
            <w:r>
              <w:rPr>
                <w:rFonts w:hint="eastAsia"/>
                <w:b/>
                <w:bCs/>
                <w:color w:val="auto"/>
                <w:lang w:val="en-US" w:eastAsia="zh-CN"/>
              </w:rPr>
              <w:t>2）</w:t>
            </w:r>
            <w:r>
              <w:rPr>
                <w:rFonts w:hint="eastAsia"/>
                <w:b/>
                <w:bCs/>
                <w:color w:val="auto"/>
                <w:lang w:eastAsia="zh-CN"/>
              </w:rPr>
              <w:t>员工办公生活废水</w:t>
            </w:r>
          </w:p>
          <w:p>
            <w:pPr>
              <w:pStyle w:val="3"/>
              <w:ind w:firstLine="480"/>
              <w:rPr>
                <w:rFonts w:hint="eastAsia" w:eastAsia="宋体"/>
                <w:color w:val="auto"/>
                <w:lang w:eastAsia="zh-CN"/>
              </w:rPr>
            </w:pPr>
            <w:r>
              <w:rPr>
                <w:color w:val="auto"/>
              </w:rPr>
              <w:t>项目员工</w:t>
            </w:r>
            <w:r>
              <w:rPr>
                <w:rFonts w:hint="eastAsia"/>
                <w:color w:val="auto"/>
                <w:lang w:eastAsia="zh-CN"/>
              </w:rPr>
              <w:t>依托石材厂不新增人员，共</w:t>
            </w:r>
            <w:r>
              <w:rPr>
                <w:rFonts w:hint="eastAsia"/>
                <w:color w:val="auto"/>
                <w:lang w:val="en-US" w:eastAsia="zh-CN"/>
              </w:rPr>
              <w:t>1</w:t>
            </w:r>
            <w:r>
              <w:rPr>
                <w:rFonts w:hint="eastAsia"/>
                <w:color w:val="auto"/>
              </w:rPr>
              <w:t>0</w:t>
            </w:r>
            <w:r>
              <w:rPr>
                <w:color w:val="auto"/>
              </w:rPr>
              <w:t>人，</w:t>
            </w:r>
            <w:r>
              <w:rPr>
                <w:rFonts w:hint="eastAsia"/>
                <w:color w:val="auto"/>
                <w:lang w:eastAsia="zh-CN"/>
              </w:rPr>
              <w:t>其中</w:t>
            </w:r>
            <w:r>
              <w:rPr>
                <w:rFonts w:hint="eastAsia"/>
                <w:color w:val="auto"/>
                <w:lang w:val="en-US" w:eastAsia="zh-CN"/>
              </w:rPr>
              <w:t>4</w:t>
            </w:r>
            <w:r>
              <w:rPr>
                <w:rFonts w:hint="eastAsia"/>
                <w:color w:val="auto"/>
              </w:rPr>
              <w:t>人在厂区食宿，其余</w:t>
            </w:r>
            <w:r>
              <w:rPr>
                <w:rFonts w:hint="eastAsia"/>
                <w:color w:val="auto"/>
                <w:lang w:val="en-US" w:eastAsia="zh-CN"/>
              </w:rPr>
              <w:t>6</w:t>
            </w:r>
            <w:r>
              <w:rPr>
                <w:rFonts w:hint="eastAsia"/>
                <w:color w:val="auto"/>
              </w:rPr>
              <w:t>人均不在厂区</w:t>
            </w:r>
            <w:r>
              <w:rPr>
                <w:rFonts w:hint="eastAsia"/>
                <w:color w:val="auto"/>
                <w:lang w:eastAsia="zh-CN"/>
              </w:rPr>
              <w:t>住</w:t>
            </w:r>
            <w:r>
              <w:rPr>
                <w:rFonts w:hint="eastAsia"/>
                <w:color w:val="auto"/>
              </w:rPr>
              <w:t>宿，</w:t>
            </w:r>
            <w:r>
              <w:rPr>
                <w:color w:val="auto"/>
              </w:rPr>
              <w:t>工作人员生活用水量参照DB53/T168-2019《云南省地方标准用水定额》</w:t>
            </w:r>
            <w:r>
              <w:rPr>
                <w:rFonts w:hint="eastAsia"/>
                <w:color w:val="auto"/>
                <w:lang w:eastAsia="zh-CN"/>
              </w:rPr>
              <w:t>表</w:t>
            </w:r>
            <w:r>
              <w:rPr>
                <w:rFonts w:hint="eastAsia"/>
                <w:color w:val="auto"/>
                <w:lang w:val="en-US" w:eastAsia="zh-CN"/>
              </w:rPr>
              <w:t>13农村居民生活用水定额</w:t>
            </w:r>
            <w:r>
              <w:rPr>
                <w:color w:val="auto"/>
              </w:rPr>
              <w:t>，</w:t>
            </w:r>
            <w:r>
              <w:rPr>
                <w:rFonts w:hint="eastAsia"/>
                <w:color w:val="auto"/>
                <w:lang w:eastAsia="zh-CN"/>
              </w:rPr>
              <w:t>在厂区食宿的</w:t>
            </w:r>
            <w:r>
              <w:rPr>
                <w:color w:val="auto"/>
              </w:rPr>
              <w:t>员工生活用水量按</w:t>
            </w:r>
            <w:r>
              <w:rPr>
                <w:rFonts w:hint="eastAsia"/>
                <w:color w:val="auto"/>
                <w:lang w:val="en-US" w:eastAsia="zh-CN"/>
              </w:rPr>
              <w:t>8</w:t>
            </w:r>
            <w:r>
              <w:rPr>
                <w:rFonts w:hint="eastAsia"/>
                <w:color w:val="auto"/>
              </w:rPr>
              <w:t>0</w:t>
            </w:r>
            <w:r>
              <w:rPr>
                <w:color w:val="auto"/>
              </w:rPr>
              <w:t>L/（人·d）计，</w:t>
            </w:r>
            <w:r>
              <w:rPr>
                <w:rFonts w:hint="eastAsia"/>
                <w:color w:val="auto"/>
                <w:lang w:eastAsia="zh-CN"/>
              </w:rPr>
              <w:t>不在厂区住宿的</w:t>
            </w:r>
            <w:r>
              <w:rPr>
                <w:color w:val="auto"/>
              </w:rPr>
              <w:t>员工生活用水量按</w:t>
            </w:r>
            <w:r>
              <w:rPr>
                <w:rFonts w:hint="eastAsia"/>
                <w:color w:val="auto"/>
                <w:lang w:val="en-US" w:eastAsia="zh-CN"/>
              </w:rPr>
              <w:t>3</w:t>
            </w:r>
            <w:r>
              <w:rPr>
                <w:rFonts w:hint="eastAsia"/>
                <w:color w:val="auto"/>
              </w:rPr>
              <w:t>0</w:t>
            </w:r>
            <w:r>
              <w:rPr>
                <w:color w:val="auto"/>
              </w:rPr>
              <w:t>L/（人·d）计</w:t>
            </w:r>
            <w:r>
              <w:rPr>
                <w:rFonts w:hint="eastAsia"/>
                <w:color w:val="auto"/>
                <w:lang w:eastAsia="zh-CN"/>
              </w:rPr>
              <w:t>，</w:t>
            </w:r>
            <w:r>
              <w:rPr>
                <w:rFonts w:hint="eastAsia"/>
                <w:color w:val="auto"/>
              </w:rPr>
              <w:t>其中</w:t>
            </w:r>
            <w:r>
              <w:rPr>
                <w:rFonts w:hint="eastAsia"/>
                <w:color w:val="auto"/>
                <w:lang w:eastAsia="zh-CN"/>
              </w:rPr>
              <w:t>，厨房</w:t>
            </w:r>
            <w:r>
              <w:rPr>
                <w:rFonts w:hint="eastAsia"/>
                <w:color w:val="auto"/>
              </w:rPr>
              <w:t>用水按</w:t>
            </w:r>
            <w:r>
              <w:rPr>
                <w:rFonts w:hint="eastAsia"/>
                <w:color w:val="auto"/>
                <w:lang w:val="en-US" w:eastAsia="zh-CN"/>
              </w:rPr>
              <w:t>15</w:t>
            </w:r>
            <w:r>
              <w:rPr>
                <w:color w:val="auto"/>
              </w:rPr>
              <w:t>L/（人·d）</w:t>
            </w:r>
            <w:r>
              <w:rPr>
                <w:rFonts w:hint="eastAsia"/>
                <w:color w:val="auto"/>
              </w:rPr>
              <w:t>计，</w:t>
            </w:r>
            <w:r>
              <w:rPr>
                <w:color w:val="auto"/>
              </w:rPr>
              <w:t>则</w:t>
            </w:r>
            <w:r>
              <w:rPr>
                <w:rFonts w:hint="eastAsia"/>
                <w:color w:val="auto"/>
                <w:lang w:eastAsia="zh-CN"/>
              </w:rPr>
              <w:t>厂区厨房用水量</w:t>
            </w:r>
            <w:r>
              <w:rPr>
                <w:rFonts w:hint="eastAsia"/>
                <w:color w:val="auto"/>
                <w:lang w:val="en-US" w:eastAsia="zh-CN"/>
              </w:rPr>
              <w:t>0.15</w:t>
            </w:r>
            <w:r>
              <w:rPr>
                <w:color w:val="auto"/>
              </w:rPr>
              <w:t>m</w:t>
            </w:r>
            <w:r>
              <w:rPr>
                <w:color w:val="auto"/>
                <w:vertAlign w:val="superscript"/>
              </w:rPr>
              <w:t>3</w:t>
            </w:r>
            <w:r>
              <w:rPr>
                <w:color w:val="auto"/>
              </w:rPr>
              <w:t>/d，</w:t>
            </w:r>
            <w:r>
              <w:rPr>
                <w:rFonts w:hint="eastAsia"/>
                <w:color w:val="auto"/>
                <w:lang w:val="en-US" w:eastAsia="zh-CN"/>
              </w:rPr>
              <w:t>45</w:t>
            </w:r>
            <w:r>
              <w:rPr>
                <w:color w:val="auto"/>
              </w:rPr>
              <w:t>m</w:t>
            </w:r>
            <w:r>
              <w:rPr>
                <w:color w:val="auto"/>
                <w:vertAlign w:val="superscript"/>
              </w:rPr>
              <w:t>3</w:t>
            </w:r>
            <w:r>
              <w:rPr>
                <w:color w:val="auto"/>
              </w:rPr>
              <w:t>/a，</w:t>
            </w:r>
            <w:r>
              <w:rPr>
                <w:rFonts w:hint="eastAsia"/>
                <w:color w:val="auto"/>
                <w:lang w:eastAsia="zh-CN"/>
              </w:rPr>
              <w:t>项目设有旱厕，</w:t>
            </w:r>
            <w:r>
              <w:rPr>
                <w:color w:val="auto"/>
              </w:rPr>
              <w:t>员工办公生活用水</w:t>
            </w:r>
            <w:r>
              <w:rPr>
                <w:rFonts w:hint="eastAsia"/>
                <w:color w:val="auto"/>
                <w:lang w:eastAsia="zh-CN"/>
              </w:rPr>
              <w:t>主要为清洗用水，用水</w:t>
            </w:r>
            <w:r>
              <w:rPr>
                <w:color w:val="auto"/>
              </w:rPr>
              <w:t>量为</w:t>
            </w:r>
            <w:r>
              <w:rPr>
                <w:rFonts w:hint="eastAsia"/>
                <w:color w:val="auto"/>
                <w:lang w:val="en-US" w:eastAsia="zh-CN"/>
              </w:rPr>
              <w:t>0.35</w:t>
            </w:r>
            <w:r>
              <w:rPr>
                <w:color w:val="auto"/>
              </w:rPr>
              <w:t>m</w:t>
            </w:r>
            <w:r>
              <w:rPr>
                <w:color w:val="auto"/>
                <w:vertAlign w:val="superscript"/>
              </w:rPr>
              <w:t>3</w:t>
            </w:r>
            <w:r>
              <w:rPr>
                <w:color w:val="auto"/>
              </w:rPr>
              <w:t>/d，</w:t>
            </w:r>
            <w:r>
              <w:rPr>
                <w:rFonts w:hint="eastAsia"/>
                <w:color w:val="auto"/>
                <w:lang w:val="en-US" w:eastAsia="zh-CN"/>
              </w:rPr>
              <w:t>105</w:t>
            </w:r>
            <w:r>
              <w:rPr>
                <w:color w:val="auto"/>
              </w:rPr>
              <w:t>m</w:t>
            </w:r>
            <w:r>
              <w:rPr>
                <w:color w:val="auto"/>
                <w:vertAlign w:val="superscript"/>
              </w:rPr>
              <w:t>3</w:t>
            </w:r>
            <w:r>
              <w:rPr>
                <w:color w:val="auto"/>
              </w:rPr>
              <w:t>/a，产</w:t>
            </w:r>
            <w:r>
              <w:rPr>
                <w:rFonts w:hint="eastAsia"/>
                <w:color w:val="auto"/>
              </w:rPr>
              <w:t>污</w:t>
            </w:r>
            <w:r>
              <w:rPr>
                <w:color w:val="auto"/>
              </w:rPr>
              <w:t>系数按照0.</w:t>
            </w:r>
            <w:r>
              <w:rPr>
                <w:rFonts w:hint="eastAsia"/>
                <w:color w:val="auto"/>
                <w:lang w:val="en-US" w:eastAsia="zh-CN"/>
              </w:rPr>
              <w:t>8</w:t>
            </w:r>
            <w:r>
              <w:rPr>
                <w:color w:val="auto"/>
              </w:rPr>
              <w:t>计，可知项目则</w:t>
            </w:r>
            <w:r>
              <w:rPr>
                <w:rFonts w:hint="eastAsia"/>
                <w:color w:val="auto"/>
                <w:lang w:eastAsia="zh-CN"/>
              </w:rPr>
              <w:t>厂区厨房废水量</w:t>
            </w:r>
            <w:r>
              <w:rPr>
                <w:rFonts w:hint="eastAsia"/>
                <w:color w:val="auto"/>
                <w:lang w:val="en-US" w:eastAsia="zh-CN"/>
              </w:rPr>
              <w:t>0.12</w:t>
            </w:r>
            <w:r>
              <w:rPr>
                <w:color w:val="auto"/>
              </w:rPr>
              <w:t>m</w:t>
            </w:r>
            <w:r>
              <w:rPr>
                <w:color w:val="auto"/>
                <w:vertAlign w:val="superscript"/>
              </w:rPr>
              <w:t>3</w:t>
            </w:r>
            <w:r>
              <w:rPr>
                <w:color w:val="auto"/>
              </w:rPr>
              <w:t>/d，</w:t>
            </w:r>
            <w:r>
              <w:rPr>
                <w:rFonts w:hint="eastAsia"/>
                <w:color w:val="auto"/>
                <w:lang w:val="en-US" w:eastAsia="zh-CN"/>
              </w:rPr>
              <w:t>36</w:t>
            </w:r>
            <w:r>
              <w:rPr>
                <w:color w:val="auto"/>
              </w:rPr>
              <w:t>m</w:t>
            </w:r>
            <w:r>
              <w:rPr>
                <w:color w:val="auto"/>
                <w:vertAlign w:val="superscript"/>
              </w:rPr>
              <w:t>3</w:t>
            </w:r>
            <w:r>
              <w:rPr>
                <w:color w:val="auto"/>
              </w:rPr>
              <w:t>/a，</w:t>
            </w:r>
            <w:r>
              <w:rPr>
                <w:rFonts w:hint="eastAsia"/>
                <w:color w:val="auto"/>
                <w:lang w:eastAsia="zh-CN"/>
              </w:rPr>
              <w:t>员工清洗废</w:t>
            </w:r>
            <w:r>
              <w:rPr>
                <w:color w:val="auto"/>
              </w:rPr>
              <w:t>水量为</w:t>
            </w:r>
            <w:r>
              <w:rPr>
                <w:rFonts w:hint="eastAsia"/>
                <w:color w:val="auto"/>
                <w:lang w:val="en-US" w:eastAsia="zh-CN"/>
              </w:rPr>
              <w:t>0.28</w:t>
            </w:r>
            <w:r>
              <w:rPr>
                <w:color w:val="auto"/>
              </w:rPr>
              <w:t>m</w:t>
            </w:r>
            <w:r>
              <w:rPr>
                <w:color w:val="auto"/>
                <w:vertAlign w:val="superscript"/>
              </w:rPr>
              <w:t>3</w:t>
            </w:r>
            <w:r>
              <w:rPr>
                <w:color w:val="auto"/>
              </w:rPr>
              <w:t>/d，</w:t>
            </w:r>
            <w:r>
              <w:rPr>
                <w:rFonts w:hint="eastAsia"/>
                <w:color w:val="auto"/>
                <w:lang w:val="en-US" w:eastAsia="zh-CN"/>
              </w:rPr>
              <w:t>84</w:t>
            </w:r>
            <w:r>
              <w:rPr>
                <w:color w:val="auto"/>
              </w:rPr>
              <w:t>m</w:t>
            </w:r>
            <w:r>
              <w:rPr>
                <w:color w:val="auto"/>
                <w:vertAlign w:val="superscript"/>
              </w:rPr>
              <w:t>3</w:t>
            </w:r>
            <w:r>
              <w:rPr>
                <w:color w:val="auto"/>
              </w:rPr>
              <w:t>/a，</w:t>
            </w:r>
            <w:r>
              <w:rPr>
                <w:rFonts w:hint="eastAsia"/>
                <w:color w:val="auto"/>
                <w:lang w:eastAsia="zh-CN"/>
              </w:rPr>
              <w:t>厨房</w:t>
            </w:r>
            <w:r>
              <w:rPr>
                <w:rFonts w:hint="eastAsia"/>
                <w:color w:val="auto"/>
              </w:rPr>
              <w:t>废水经隔油池处理后与生活废水一同进入</w:t>
            </w:r>
            <w:r>
              <w:rPr>
                <w:rFonts w:hint="eastAsia"/>
                <w:color w:val="auto"/>
                <w:lang w:eastAsia="zh-CN"/>
              </w:rPr>
              <w:t>原有生产废水沉淀池（</w:t>
            </w:r>
            <w:r>
              <w:rPr>
                <w:rFonts w:hint="eastAsia"/>
                <w:color w:val="auto"/>
                <w:lang w:val="en-US" w:eastAsia="zh-CN"/>
              </w:rPr>
              <w:t>36m</w:t>
            </w:r>
            <w:r>
              <w:rPr>
                <w:rFonts w:hint="eastAsia"/>
                <w:color w:val="auto"/>
                <w:vertAlign w:val="superscript"/>
                <w:lang w:val="en-US" w:eastAsia="zh-CN"/>
              </w:rPr>
              <w:t>3</w:t>
            </w:r>
            <w:r>
              <w:rPr>
                <w:rFonts w:hint="eastAsia"/>
                <w:color w:val="auto"/>
                <w:lang w:eastAsia="zh-CN"/>
              </w:rPr>
              <w:t>）</w:t>
            </w:r>
            <w:r>
              <w:rPr>
                <w:rFonts w:hint="eastAsia"/>
                <w:color w:val="auto"/>
              </w:rPr>
              <w:t>，</w:t>
            </w:r>
            <w:r>
              <w:rPr>
                <w:rFonts w:hint="eastAsia"/>
                <w:color w:val="auto"/>
                <w:lang w:eastAsia="zh-CN"/>
              </w:rPr>
              <w:t>经沉淀处理后，回用于原有石材加工项目生产。</w:t>
            </w:r>
          </w:p>
          <w:p>
            <w:pPr>
              <w:pStyle w:val="3"/>
              <w:ind w:firstLine="480"/>
              <w:rPr>
                <w:b/>
                <w:bCs/>
                <w:color w:val="auto"/>
              </w:rPr>
            </w:pPr>
            <w:r>
              <w:rPr>
                <w:rStyle w:val="26"/>
                <w:rFonts w:hint="eastAsia"/>
                <w:b/>
                <w:bCs/>
                <w:color w:val="auto"/>
                <w:lang w:val="en-US" w:eastAsia="zh-CN"/>
              </w:rPr>
              <w:t>3）</w:t>
            </w:r>
            <w:r>
              <w:rPr>
                <w:rFonts w:hint="eastAsia"/>
                <w:b/>
                <w:bCs/>
                <w:color w:val="auto"/>
              </w:rPr>
              <w:t>初期雨水</w:t>
            </w:r>
          </w:p>
          <w:p>
            <w:pPr>
              <w:pStyle w:val="3"/>
              <w:ind w:firstLine="480"/>
              <w:rPr>
                <w:color w:val="auto"/>
              </w:rPr>
            </w:pPr>
            <w:r>
              <w:rPr>
                <w:rFonts w:hint="eastAsia"/>
                <w:color w:val="auto"/>
              </w:rPr>
              <w:t>厂区内由于存在物料逸散等，雨水冲刷厂区内地表后会产生一定量的泥沙、粉尘等，直接外排悬浮物含量较大，设置阻塞雨水管道，</w:t>
            </w:r>
            <w:r>
              <w:rPr>
                <w:rFonts w:hint="eastAsia"/>
                <w:color w:val="auto"/>
                <w:lang w:eastAsia="zh-CN"/>
              </w:rPr>
              <w:t>现状石材</w:t>
            </w:r>
            <w:r>
              <w:rPr>
                <w:rFonts w:hint="eastAsia"/>
                <w:color w:val="auto"/>
              </w:rPr>
              <w:t>厂</w:t>
            </w:r>
            <w:r>
              <w:rPr>
                <w:rFonts w:hint="eastAsia"/>
                <w:color w:val="auto"/>
                <w:lang w:eastAsia="zh-CN"/>
              </w:rPr>
              <w:t>厂</w:t>
            </w:r>
            <w:r>
              <w:rPr>
                <w:rFonts w:hint="eastAsia"/>
                <w:color w:val="auto"/>
              </w:rPr>
              <w:t>区内设有雨水收集沟道，</w:t>
            </w:r>
            <w:r>
              <w:rPr>
                <w:rFonts w:hint="eastAsia"/>
                <w:color w:val="auto"/>
                <w:lang w:eastAsia="zh-CN"/>
              </w:rPr>
              <w:t>雨水经通过雨水沟进入生产沉淀池，雨污混流，本次环评提出新建初期雨水收集池，</w:t>
            </w:r>
            <w:r>
              <w:rPr>
                <w:rFonts w:hint="eastAsia"/>
                <w:color w:val="auto"/>
                <w:sz w:val="24"/>
              </w:rPr>
              <w:t>同时，项目在截排水沟汇入初期雨水收集池前设置截断阀门，只对厂区初期雨水</w:t>
            </w:r>
            <w:r>
              <w:rPr>
                <w:rFonts w:hint="eastAsia"/>
                <w:color w:val="auto"/>
                <w:sz w:val="24"/>
                <w:lang w:eastAsia="zh-CN"/>
              </w:rPr>
              <w:t>进行</w:t>
            </w:r>
            <w:r>
              <w:rPr>
                <w:rFonts w:hint="eastAsia"/>
                <w:color w:val="auto"/>
                <w:sz w:val="24"/>
              </w:rPr>
              <w:t>收集、处理</w:t>
            </w:r>
            <w:r>
              <w:rPr>
                <w:rFonts w:hint="eastAsia"/>
                <w:color w:val="auto"/>
                <w:sz w:val="24"/>
                <w:lang w:eastAsia="zh-CN"/>
              </w:rPr>
              <w:t>，</w:t>
            </w:r>
            <w:r>
              <w:rPr>
                <w:rFonts w:hint="eastAsia"/>
                <w:color w:val="auto"/>
              </w:rPr>
              <w:t>初期雨水进行收集后引入初期雨水收集池进行沉淀处理后作为</w:t>
            </w:r>
            <w:r>
              <w:rPr>
                <w:rFonts w:hint="eastAsia"/>
                <w:color w:val="auto"/>
                <w:lang w:eastAsia="zh-CN"/>
              </w:rPr>
              <w:t>原有项目</w:t>
            </w:r>
            <w:r>
              <w:rPr>
                <w:rFonts w:hint="eastAsia"/>
                <w:color w:val="auto"/>
              </w:rPr>
              <w:t>生产使用</w:t>
            </w:r>
            <w:r>
              <w:rPr>
                <w:rFonts w:hint="eastAsia"/>
                <w:color w:val="auto"/>
                <w:lang w:eastAsia="zh-CN"/>
              </w:rPr>
              <w:t>。</w:t>
            </w:r>
            <w:r>
              <w:rPr>
                <w:rFonts w:hint="eastAsia"/>
                <w:color w:val="auto"/>
              </w:rPr>
              <w:t>项目初期雨水按照以下公式进行计算：</w:t>
            </w:r>
          </w:p>
          <w:p>
            <w:pPr>
              <w:pStyle w:val="3"/>
              <w:ind w:firstLine="480"/>
              <w:jc w:val="center"/>
              <w:rPr>
                <w:color w:val="auto"/>
              </w:rPr>
            </w:pPr>
            <w:r>
              <w:rPr>
                <w:color w:val="auto"/>
                <w:position w:val="-10"/>
              </w:rPr>
              <w:object>
                <v:shape id="_x0000_i1029" o:spt="75" type="#_x0000_t75" style="height:15.75pt;width:66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p>
          <w:p>
            <w:pPr>
              <w:pStyle w:val="3"/>
              <w:ind w:firstLine="480"/>
              <w:rPr>
                <w:color w:val="auto"/>
              </w:rPr>
            </w:pPr>
            <w:r>
              <w:rPr>
                <w:rFonts w:hint="eastAsia"/>
                <w:color w:val="auto"/>
              </w:rPr>
              <w:t>式中：Q——雨水流量（L/s）；</w:t>
            </w:r>
          </w:p>
          <w:p>
            <w:pPr>
              <w:pStyle w:val="3"/>
              <w:ind w:firstLine="1200" w:firstLineChars="500"/>
              <w:rPr>
                <w:color w:val="auto"/>
              </w:rPr>
            </w:pPr>
            <w:r>
              <w:rPr>
                <w:rFonts w:hint="eastAsia" w:ascii="微软雅黑" w:hAnsi="微软雅黑" w:eastAsia="微软雅黑" w:cs="微软雅黑"/>
                <w:color w:val="auto"/>
              </w:rPr>
              <w:t>φ</w:t>
            </w:r>
            <w:r>
              <w:rPr>
                <w:rFonts w:hint="eastAsia"/>
                <w:color w:val="auto"/>
              </w:rPr>
              <w:t>——径流系数（取0</w:t>
            </w:r>
            <w:r>
              <w:rPr>
                <w:rFonts w:hint="eastAsia"/>
                <w:color w:val="auto"/>
                <w:lang w:val="en-US" w:eastAsia="zh-CN"/>
              </w:rPr>
              <w:t>.6</w:t>
            </w:r>
            <w:r>
              <w:rPr>
                <w:rFonts w:hint="eastAsia"/>
                <w:color w:val="auto"/>
              </w:rPr>
              <w:t>）；</w:t>
            </w:r>
          </w:p>
          <w:p>
            <w:pPr>
              <w:pStyle w:val="3"/>
              <w:ind w:firstLine="480"/>
              <w:rPr>
                <w:color w:val="auto"/>
              </w:rPr>
            </w:pPr>
            <w:r>
              <w:rPr>
                <w:rFonts w:hint="eastAsia"/>
                <w:color w:val="auto"/>
              </w:rPr>
              <w:t xml:space="preserve">      q——设计暴雨强度（L/</w:t>
            </w:r>
            <w:r>
              <w:rPr>
                <w:color w:val="auto"/>
              </w:rPr>
              <w:t>s</w:t>
            </w:r>
            <w:r>
              <w:rPr>
                <w:rFonts w:eastAsia="微软雅黑"/>
                <w:color w:val="auto"/>
              </w:rPr>
              <w:t>⋅hm</w:t>
            </w:r>
            <w:r>
              <w:rPr>
                <w:rFonts w:eastAsia="微软雅黑"/>
                <w:color w:val="auto"/>
                <w:vertAlign w:val="superscript"/>
              </w:rPr>
              <w:t>2</w:t>
            </w:r>
            <w:r>
              <w:rPr>
                <w:rFonts w:hint="eastAsia"/>
                <w:color w:val="auto"/>
              </w:rPr>
              <w:t>）</w:t>
            </w:r>
          </w:p>
          <w:p>
            <w:pPr>
              <w:pStyle w:val="3"/>
              <w:ind w:firstLine="480"/>
              <w:rPr>
                <w:color w:val="auto"/>
              </w:rPr>
            </w:pPr>
            <w:r>
              <w:rPr>
                <w:rFonts w:hint="eastAsia"/>
                <w:color w:val="auto"/>
              </w:rPr>
              <w:t xml:space="preserve">      F——汇水面积</w:t>
            </w:r>
          </w:p>
          <w:p>
            <w:pPr>
              <w:pStyle w:val="3"/>
              <w:ind w:firstLine="480"/>
              <w:rPr>
                <w:color w:val="auto"/>
              </w:rPr>
            </w:pPr>
            <w:r>
              <w:rPr>
                <w:rFonts w:hint="eastAsia"/>
                <w:color w:val="auto"/>
              </w:rPr>
              <w:t>降雨强度按昆明市暴雨强度公式计算：</w:t>
            </w:r>
          </w:p>
          <w:p>
            <w:pPr>
              <w:pStyle w:val="3"/>
              <w:ind w:firstLine="480"/>
              <w:jc w:val="center"/>
              <w:rPr>
                <w:color w:val="auto"/>
              </w:rPr>
            </w:pPr>
            <w:r>
              <w:rPr>
                <w:rFonts w:hint="eastAsia"/>
                <w:color w:val="auto"/>
              </w:rPr>
              <w:t>q=700（1+0.755lgP）/(t</w:t>
            </w:r>
            <w:r>
              <w:rPr>
                <w:rFonts w:hint="eastAsia"/>
                <w:color w:val="auto"/>
                <w:vertAlign w:val="superscript"/>
              </w:rPr>
              <w:t>0.496</w:t>
            </w:r>
            <w:r>
              <w:rPr>
                <w:rFonts w:hint="eastAsia"/>
                <w:color w:val="auto"/>
              </w:rPr>
              <w:t>)</w:t>
            </w:r>
          </w:p>
          <w:p>
            <w:pPr>
              <w:pStyle w:val="3"/>
              <w:ind w:firstLine="480"/>
              <w:rPr>
                <w:color w:val="auto"/>
              </w:rPr>
            </w:pPr>
            <w:r>
              <w:rPr>
                <w:color w:val="auto"/>
              </w:rPr>
              <w:t>式中: P</w:t>
            </w:r>
            <w:r>
              <w:rPr>
                <w:rFonts w:hint="eastAsia"/>
                <w:color w:val="auto"/>
              </w:rPr>
              <w:t>——</w:t>
            </w:r>
            <w:r>
              <w:rPr>
                <w:color w:val="auto"/>
              </w:rPr>
              <w:t>设计降雨 重现期2a</w:t>
            </w:r>
            <w:r>
              <w:rPr>
                <w:rFonts w:hint="eastAsia"/>
                <w:color w:val="auto"/>
              </w:rPr>
              <w:t>；</w:t>
            </w:r>
          </w:p>
          <w:p>
            <w:pPr>
              <w:pStyle w:val="3"/>
              <w:ind w:firstLine="1200" w:firstLineChars="500"/>
              <w:rPr>
                <w:color w:val="auto"/>
              </w:rPr>
            </w:pPr>
            <w:r>
              <w:rPr>
                <w:color w:val="auto"/>
              </w:rPr>
              <w:t>t</w:t>
            </w:r>
            <w:r>
              <w:rPr>
                <w:rFonts w:hint="eastAsia"/>
                <w:color w:val="auto"/>
              </w:rPr>
              <w:t>——</w:t>
            </w:r>
            <w:r>
              <w:rPr>
                <w:color w:val="auto"/>
              </w:rPr>
              <w:t>降雨历时(min)</w:t>
            </w:r>
            <w:r>
              <w:rPr>
                <w:rFonts w:hint="eastAsia"/>
                <w:color w:val="auto"/>
              </w:rPr>
              <w:t>；</w:t>
            </w:r>
            <w:r>
              <w:rPr>
                <w:color w:val="auto"/>
              </w:rPr>
              <w:t xml:space="preserve"> 本次核算取降雨前15min</w:t>
            </w:r>
            <w:r>
              <w:rPr>
                <w:rFonts w:hint="eastAsia"/>
                <w:color w:val="auto"/>
              </w:rPr>
              <w:t>；</w:t>
            </w:r>
          </w:p>
          <w:p>
            <w:pPr>
              <w:pStyle w:val="3"/>
              <w:ind w:firstLine="480"/>
              <w:rPr>
                <w:color w:val="auto"/>
              </w:rPr>
            </w:pPr>
            <w:r>
              <w:rPr>
                <w:rFonts w:hint="eastAsia"/>
                <w:color w:val="auto"/>
              </w:rPr>
              <w:t>按照上述公式进行计算，项目暴雨天气时设计暴雨强度225.33L/</w:t>
            </w:r>
            <w:r>
              <w:rPr>
                <w:color w:val="auto"/>
              </w:rPr>
              <w:t>s</w:t>
            </w:r>
            <w:r>
              <w:rPr>
                <w:rFonts w:eastAsia="微软雅黑"/>
                <w:color w:val="auto"/>
              </w:rPr>
              <w:t>⋅hm</w:t>
            </w:r>
            <w:r>
              <w:rPr>
                <w:rFonts w:eastAsia="微软雅黑"/>
                <w:color w:val="auto"/>
                <w:vertAlign w:val="superscript"/>
              </w:rPr>
              <w:t>2</w:t>
            </w:r>
            <w:r>
              <w:rPr>
                <w:rFonts w:hint="eastAsia"/>
                <w:color w:val="auto"/>
              </w:rPr>
              <w:t>，即初期降雨15min汇水量为</w:t>
            </w:r>
            <w:r>
              <w:rPr>
                <w:rFonts w:hint="eastAsia"/>
                <w:color w:val="auto"/>
                <w:lang w:val="en-US" w:eastAsia="zh-CN"/>
              </w:rPr>
              <w:t>48.67</w:t>
            </w:r>
            <w:r>
              <w:rPr>
                <w:rFonts w:eastAsia="微软雅黑"/>
                <w:color w:val="auto"/>
              </w:rPr>
              <w:t>m</w:t>
            </w:r>
            <w:r>
              <w:rPr>
                <w:rFonts w:hint="eastAsia" w:eastAsia="微软雅黑"/>
                <w:color w:val="auto"/>
                <w:vertAlign w:val="superscript"/>
              </w:rPr>
              <w:t>3</w:t>
            </w:r>
            <w:r>
              <w:rPr>
                <w:rFonts w:hint="eastAsia"/>
                <w:color w:val="auto"/>
              </w:rPr>
              <w:t>。下雨天数按100天计，故年</w:t>
            </w:r>
            <w:r>
              <w:rPr>
                <w:rFonts w:hint="eastAsia"/>
                <w:color w:val="auto"/>
                <w:lang w:eastAsia="zh-CN"/>
              </w:rPr>
              <w:t>初期雨</w:t>
            </w:r>
            <w:r>
              <w:rPr>
                <w:rFonts w:hint="eastAsia"/>
                <w:color w:val="auto"/>
              </w:rPr>
              <w:t>水量为</w:t>
            </w:r>
            <w:r>
              <w:rPr>
                <w:rFonts w:hint="eastAsia"/>
                <w:color w:val="auto"/>
                <w:lang w:val="en-US" w:eastAsia="zh-CN"/>
              </w:rPr>
              <w:t>4867</w:t>
            </w:r>
            <w:r>
              <w:rPr>
                <w:color w:val="auto"/>
              </w:rPr>
              <w:t>m</w:t>
            </w:r>
            <w:r>
              <w:rPr>
                <w:rFonts w:hint="eastAsia"/>
                <w:color w:val="auto"/>
                <w:vertAlign w:val="superscript"/>
              </w:rPr>
              <w:t>3</w:t>
            </w:r>
            <w:r>
              <w:rPr>
                <w:rFonts w:hint="eastAsia"/>
                <w:color w:val="auto"/>
              </w:rPr>
              <w:t>/a</w:t>
            </w:r>
            <w:r>
              <w:rPr>
                <w:rFonts w:hint="eastAsia"/>
                <w:color w:val="auto"/>
                <w:lang w:eastAsia="zh-CN"/>
              </w:rPr>
              <w:t>，平均每天初期雨水量为</w:t>
            </w:r>
            <w:r>
              <w:rPr>
                <w:rFonts w:hint="eastAsia"/>
                <w:color w:val="auto"/>
                <w:lang w:val="en-US" w:eastAsia="zh-CN"/>
              </w:rPr>
              <w:t>16.22m</w:t>
            </w:r>
            <w:r>
              <w:rPr>
                <w:rFonts w:hint="eastAsia"/>
                <w:color w:val="auto"/>
                <w:vertAlign w:val="superscript"/>
                <w:lang w:val="en-US" w:eastAsia="zh-CN"/>
              </w:rPr>
              <w:t>3</w:t>
            </w:r>
            <w:r>
              <w:rPr>
                <w:rFonts w:hint="eastAsia"/>
                <w:color w:val="auto"/>
              </w:rPr>
              <w:t>。</w:t>
            </w:r>
          </w:p>
          <w:p>
            <w:pPr>
              <w:pStyle w:val="3"/>
              <w:ind w:firstLine="480"/>
              <w:rPr>
                <w:color w:val="auto"/>
                <w:sz w:val="24"/>
              </w:rPr>
            </w:pPr>
            <w:r>
              <w:rPr>
                <w:rFonts w:hint="eastAsia"/>
                <w:color w:val="auto"/>
                <w:sz w:val="24"/>
              </w:rPr>
              <w:t>初期雨水收集池按1.</w:t>
            </w:r>
            <w:r>
              <w:rPr>
                <w:rFonts w:hint="eastAsia"/>
                <w:color w:val="auto"/>
                <w:sz w:val="24"/>
                <w:lang w:val="en-US" w:eastAsia="zh-CN"/>
              </w:rPr>
              <w:t>2</w:t>
            </w:r>
            <w:r>
              <w:rPr>
                <w:rFonts w:hint="eastAsia"/>
                <w:color w:val="auto"/>
                <w:sz w:val="24"/>
              </w:rPr>
              <w:t>倍进行设计</w:t>
            </w:r>
            <w:r>
              <w:rPr>
                <w:rFonts w:hint="eastAsia"/>
                <w:color w:val="auto"/>
                <w:sz w:val="24"/>
                <w:lang w:eastAsia="zh-CN"/>
              </w:rPr>
              <w:t>，</w:t>
            </w:r>
            <w:r>
              <w:rPr>
                <w:rFonts w:hint="eastAsia"/>
                <w:color w:val="auto"/>
              </w:rPr>
              <w:t>则项目应建设一座容积为</w:t>
            </w:r>
            <w:r>
              <w:rPr>
                <w:rFonts w:hint="eastAsia"/>
                <w:color w:val="auto"/>
                <w:lang w:val="en-US" w:eastAsia="zh-CN"/>
              </w:rPr>
              <w:t>60</w:t>
            </w:r>
            <w:r>
              <w:rPr>
                <w:rFonts w:eastAsia="微软雅黑"/>
                <w:color w:val="auto"/>
              </w:rPr>
              <w:t>m</w:t>
            </w:r>
            <w:r>
              <w:rPr>
                <w:rFonts w:hint="eastAsia" w:eastAsia="微软雅黑"/>
                <w:color w:val="auto"/>
                <w:vertAlign w:val="superscript"/>
              </w:rPr>
              <w:t>3</w:t>
            </w:r>
            <w:r>
              <w:rPr>
                <w:rFonts w:hint="eastAsia"/>
                <w:color w:val="auto"/>
              </w:rPr>
              <w:t>的雨水收集池，初期雨水经</w:t>
            </w:r>
            <w:r>
              <w:rPr>
                <w:rFonts w:hint="eastAsia"/>
                <w:color w:val="auto"/>
                <w:lang w:eastAsia="zh-CN"/>
              </w:rPr>
              <w:t>雨</w:t>
            </w:r>
            <w:r>
              <w:rPr>
                <w:rFonts w:hint="eastAsia"/>
                <w:color w:val="auto"/>
              </w:rPr>
              <w:t>水沉淀池处理后回用于</w:t>
            </w:r>
            <w:r>
              <w:rPr>
                <w:rFonts w:hint="eastAsia"/>
                <w:color w:val="auto"/>
                <w:lang w:eastAsia="zh-CN"/>
              </w:rPr>
              <w:t>原有项目</w:t>
            </w:r>
            <w:r>
              <w:rPr>
                <w:rFonts w:hint="eastAsia"/>
                <w:color w:val="auto"/>
              </w:rPr>
              <w:t>生产</w:t>
            </w:r>
            <w:r>
              <w:rPr>
                <w:rFonts w:hint="eastAsia"/>
                <w:color w:val="auto"/>
                <w:lang w:eastAsia="zh-CN"/>
              </w:rPr>
              <w:t>。</w:t>
            </w:r>
            <w:r>
              <w:rPr>
                <w:rFonts w:hint="eastAsia"/>
                <w:color w:val="auto"/>
                <w:sz w:val="24"/>
              </w:rPr>
              <w:t>同时，项目在截排水沟汇入初期雨水收集池前设置截断阀门，只对厂区初期雨水经收集、处理，待非雨天回用于道路洒水降尘，其余雨水截断后，通过雨水沟外排至场外。</w:t>
            </w:r>
          </w:p>
          <w:p>
            <w:pPr>
              <w:snapToGrid w:val="0"/>
              <w:spacing w:line="360" w:lineRule="auto"/>
              <w:ind w:firstLine="482" w:firstLineChars="200"/>
              <w:rPr>
                <w:b/>
                <w:color w:val="auto"/>
                <w:sz w:val="24"/>
              </w:rPr>
            </w:pPr>
            <w:r>
              <w:rPr>
                <w:rFonts w:hint="eastAsia"/>
                <w:b/>
                <w:color w:val="auto"/>
                <w:sz w:val="24"/>
                <w:lang w:val="en-US" w:eastAsia="zh-CN"/>
              </w:rPr>
              <w:t>4）</w:t>
            </w:r>
            <w:r>
              <w:rPr>
                <w:rFonts w:hint="eastAsia"/>
                <w:b/>
                <w:color w:val="auto"/>
                <w:sz w:val="24"/>
              </w:rPr>
              <w:t>道路降尘用水</w:t>
            </w:r>
          </w:p>
          <w:p>
            <w:pPr>
              <w:snapToGrid w:val="0"/>
              <w:spacing w:line="360" w:lineRule="auto"/>
              <w:ind w:firstLine="480" w:firstLineChars="200"/>
              <w:rPr>
                <w:color w:val="auto"/>
                <w:sz w:val="24"/>
              </w:rPr>
            </w:pPr>
            <w:r>
              <w:rPr>
                <w:rFonts w:hint="eastAsia"/>
                <w:color w:val="auto"/>
                <w:sz w:val="24"/>
              </w:rPr>
              <w:t>本项目场内道路面积为0.</w:t>
            </w:r>
            <w:r>
              <w:rPr>
                <w:rFonts w:hint="eastAsia"/>
                <w:color w:val="auto"/>
                <w:sz w:val="24"/>
                <w:lang w:val="en-US" w:eastAsia="zh-CN"/>
              </w:rPr>
              <w:t>125</w:t>
            </w:r>
            <w:r>
              <w:rPr>
                <w:rFonts w:hint="eastAsia"/>
                <w:color w:val="auto"/>
                <w:sz w:val="24"/>
              </w:rPr>
              <w:t>hm</w:t>
            </w:r>
            <w:r>
              <w:rPr>
                <w:rFonts w:hint="eastAsia"/>
                <w:color w:val="auto"/>
                <w:sz w:val="24"/>
                <w:vertAlign w:val="superscript"/>
              </w:rPr>
              <w:t>2</w:t>
            </w:r>
            <w:r>
              <w:rPr>
                <w:color w:val="auto"/>
                <w:sz w:val="24"/>
                <w:vertAlign w:val="superscript"/>
              </w:rPr>
              <w:softHyphen/>
            </w:r>
            <w:r>
              <w:rPr>
                <w:rFonts w:hint="eastAsia"/>
                <w:color w:val="auto"/>
                <w:sz w:val="24"/>
              </w:rPr>
              <w:t>，</w:t>
            </w:r>
            <w:r>
              <w:rPr>
                <w:color w:val="auto"/>
                <w:sz w:val="24"/>
              </w:rPr>
              <w:t>根据《云南省地方标准</w:t>
            </w:r>
            <w:r>
              <w:rPr>
                <w:rFonts w:hint="eastAsia"/>
                <w:color w:val="auto"/>
                <w:sz w:val="24"/>
              </w:rPr>
              <w:t xml:space="preserve"> </w:t>
            </w:r>
            <w:r>
              <w:rPr>
                <w:color w:val="auto"/>
                <w:sz w:val="24"/>
              </w:rPr>
              <w:t>用水定额》（DB53/T168-20</w:t>
            </w:r>
            <w:r>
              <w:rPr>
                <w:rFonts w:hint="eastAsia"/>
                <w:color w:val="auto"/>
                <w:sz w:val="24"/>
              </w:rPr>
              <w:t>19</w:t>
            </w:r>
            <w:r>
              <w:rPr>
                <w:color w:val="auto"/>
                <w:sz w:val="24"/>
              </w:rPr>
              <w:t>），</w:t>
            </w:r>
            <w:r>
              <w:rPr>
                <w:rFonts w:hint="eastAsia"/>
                <w:color w:val="auto"/>
                <w:sz w:val="24"/>
              </w:rPr>
              <w:t>道路浇洒</w:t>
            </w:r>
            <w:r>
              <w:rPr>
                <w:color w:val="auto"/>
                <w:sz w:val="24"/>
              </w:rPr>
              <w:t>定额按</w:t>
            </w:r>
            <w:r>
              <w:rPr>
                <w:rFonts w:hint="eastAsia"/>
                <w:color w:val="auto"/>
                <w:sz w:val="24"/>
              </w:rPr>
              <w:t>2</w:t>
            </w:r>
            <w:r>
              <w:rPr>
                <w:color w:val="auto"/>
                <w:sz w:val="24"/>
              </w:rPr>
              <w:t>L/（m</w:t>
            </w:r>
            <w:r>
              <w:rPr>
                <w:color w:val="auto"/>
                <w:sz w:val="24"/>
                <w:vertAlign w:val="superscript"/>
              </w:rPr>
              <w:t>2</w:t>
            </w:r>
            <w:r>
              <w:rPr>
                <w:color w:val="auto"/>
                <w:sz w:val="24"/>
              </w:rPr>
              <w:t>•次）计，</w:t>
            </w:r>
            <w:r>
              <w:rPr>
                <w:rFonts w:hint="eastAsia"/>
                <w:color w:val="auto"/>
                <w:sz w:val="24"/>
              </w:rPr>
              <w:t>项目生产过程中晴天</w:t>
            </w:r>
            <w:r>
              <w:rPr>
                <w:color w:val="auto"/>
                <w:sz w:val="24"/>
              </w:rPr>
              <w:t>按</w:t>
            </w:r>
            <w:r>
              <w:rPr>
                <w:rFonts w:hint="eastAsia"/>
                <w:color w:val="auto"/>
                <w:sz w:val="24"/>
                <w:lang w:val="en-US" w:eastAsia="zh-CN"/>
              </w:rPr>
              <w:t>200</w:t>
            </w:r>
            <w:r>
              <w:rPr>
                <w:color w:val="auto"/>
                <w:sz w:val="24"/>
              </w:rPr>
              <w:t>天计算</w:t>
            </w:r>
            <w:r>
              <w:rPr>
                <w:rFonts w:hint="eastAsia"/>
                <w:color w:val="auto"/>
                <w:sz w:val="24"/>
              </w:rPr>
              <w:t>，</w:t>
            </w:r>
            <w:r>
              <w:rPr>
                <w:color w:val="auto"/>
                <w:sz w:val="24"/>
              </w:rPr>
              <w:t>则该项目晴天绿化用水量约为</w:t>
            </w:r>
            <w:r>
              <w:rPr>
                <w:rFonts w:hint="eastAsia"/>
                <w:color w:val="auto"/>
                <w:sz w:val="24"/>
                <w:lang w:val="en-US" w:eastAsia="zh-CN"/>
              </w:rPr>
              <w:t>2.5</w:t>
            </w:r>
            <w:r>
              <w:rPr>
                <w:color w:val="auto"/>
                <w:sz w:val="24"/>
              </w:rPr>
              <w:t>m</w:t>
            </w:r>
            <w:r>
              <w:rPr>
                <w:color w:val="auto"/>
                <w:sz w:val="24"/>
                <w:vertAlign w:val="superscript"/>
              </w:rPr>
              <w:t>3</w:t>
            </w:r>
            <w:r>
              <w:rPr>
                <w:color w:val="auto"/>
                <w:sz w:val="24"/>
              </w:rPr>
              <w:t>/d、</w:t>
            </w:r>
            <w:r>
              <w:rPr>
                <w:rFonts w:hint="eastAsia"/>
                <w:color w:val="auto"/>
                <w:sz w:val="24"/>
                <w:lang w:val="en-US" w:eastAsia="zh-CN"/>
              </w:rPr>
              <w:t>500</w:t>
            </w:r>
            <w:r>
              <w:rPr>
                <w:color w:val="auto"/>
                <w:sz w:val="24"/>
              </w:rPr>
              <w:t>m</w:t>
            </w:r>
            <w:r>
              <w:rPr>
                <w:color w:val="auto"/>
                <w:sz w:val="24"/>
                <w:vertAlign w:val="superscript"/>
              </w:rPr>
              <w:t>3</w:t>
            </w:r>
            <w:r>
              <w:rPr>
                <w:color w:val="auto"/>
                <w:sz w:val="24"/>
              </w:rPr>
              <w:t>/a。</w:t>
            </w:r>
            <w:r>
              <w:rPr>
                <w:rFonts w:hint="eastAsia"/>
                <w:color w:val="auto"/>
                <w:sz w:val="24"/>
              </w:rPr>
              <w:t>道路降尘</w:t>
            </w:r>
            <w:r>
              <w:rPr>
                <w:color w:val="auto"/>
                <w:sz w:val="24"/>
              </w:rPr>
              <w:t>用水全部</w:t>
            </w:r>
            <w:r>
              <w:rPr>
                <w:rFonts w:hint="eastAsia"/>
                <w:color w:val="auto"/>
                <w:sz w:val="24"/>
              </w:rPr>
              <w:t>经</w:t>
            </w:r>
            <w:r>
              <w:rPr>
                <w:color w:val="auto"/>
                <w:sz w:val="24"/>
              </w:rPr>
              <w:t>蒸</w:t>
            </w:r>
            <w:r>
              <w:rPr>
                <w:rFonts w:hint="eastAsia"/>
                <w:color w:val="auto"/>
                <w:sz w:val="24"/>
              </w:rPr>
              <w:t>发损耗，无废水产生。</w:t>
            </w:r>
          </w:p>
          <w:p>
            <w:pPr>
              <w:pStyle w:val="3"/>
              <w:ind w:left="0" w:leftChars="0" w:firstLine="482" w:firstLineChars="200"/>
              <w:rPr>
                <w:b/>
                <w:bCs/>
                <w:color w:val="auto"/>
              </w:rPr>
            </w:pPr>
            <w:r>
              <w:rPr>
                <w:rFonts w:hint="eastAsia"/>
                <w:b/>
                <w:bCs/>
                <w:color w:val="auto"/>
                <w:lang w:val="en-US" w:eastAsia="zh-CN"/>
              </w:rPr>
              <w:t>5</w:t>
            </w:r>
            <w:r>
              <w:rPr>
                <w:rFonts w:hint="eastAsia"/>
                <w:b/>
                <w:bCs/>
                <w:color w:val="auto"/>
                <w:lang w:eastAsia="zh-CN"/>
              </w:rPr>
              <w:t>）</w:t>
            </w:r>
            <w:r>
              <w:rPr>
                <w:rFonts w:hint="eastAsia"/>
                <w:b/>
                <w:bCs/>
                <w:color w:val="auto"/>
              </w:rPr>
              <w:t>小结</w:t>
            </w:r>
          </w:p>
          <w:p>
            <w:pPr>
              <w:pStyle w:val="3"/>
              <w:ind w:firstLine="480"/>
              <w:rPr>
                <w:rFonts w:eastAsiaTheme="minorEastAsia"/>
                <w:color w:val="auto"/>
                <w:szCs w:val="24"/>
              </w:rPr>
            </w:pPr>
            <w:r>
              <w:rPr>
                <w:rFonts w:hint="eastAsia"/>
                <w:color w:val="auto"/>
                <w:lang w:eastAsia="zh-CN"/>
              </w:rPr>
              <w:t>石材厂</w:t>
            </w:r>
            <w:r>
              <w:rPr>
                <w:rFonts w:hint="eastAsia"/>
                <w:color w:val="auto"/>
              </w:rPr>
              <w:t>生活用水量为</w:t>
            </w:r>
            <w:r>
              <w:rPr>
                <w:rFonts w:hint="eastAsia"/>
                <w:color w:val="auto"/>
                <w:lang w:val="en-US" w:eastAsia="zh-CN"/>
              </w:rPr>
              <w:t>0.5</w:t>
            </w:r>
            <w:r>
              <w:rPr>
                <w:color w:val="auto"/>
              </w:rPr>
              <w:t>m</w:t>
            </w:r>
            <w:r>
              <w:rPr>
                <w:color w:val="auto"/>
                <w:vertAlign w:val="superscript"/>
              </w:rPr>
              <w:t>3</w:t>
            </w:r>
            <w:r>
              <w:rPr>
                <w:color w:val="auto"/>
              </w:rPr>
              <w:t>/d，</w:t>
            </w:r>
            <w:r>
              <w:rPr>
                <w:rFonts w:hint="eastAsia"/>
                <w:color w:val="auto"/>
                <w:lang w:val="en-US" w:eastAsia="zh-CN"/>
              </w:rPr>
              <w:t>150</w:t>
            </w:r>
            <w:r>
              <w:rPr>
                <w:color w:val="auto"/>
              </w:rPr>
              <w:t>m</w:t>
            </w:r>
            <w:r>
              <w:rPr>
                <w:color w:val="auto"/>
                <w:vertAlign w:val="superscript"/>
              </w:rPr>
              <w:t>3</w:t>
            </w:r>
            <w:r>
              <w:rPr>
                <w:color w:val="auto"/>
              </w:rPr>
              <w:t>/a</w:t>
            </w:r>
            <w:r>
              <w:rPr>
                <w:rFonts w:hint="eastAsia"/>
                <w:color w:val="auto"/>
              </w:rPr>
              <w:t>，</w:t>
            </w:r>
            <w:r>
              <w:rPr>
                <w:rFonts w:hint="eastAsia"/>
                <w:color w:val="auto"/>
                <w:lang w:eastAsia="zh-CN"/>
              </w:rPr>
              <w:t>生产</w:t>
            </w:r>
            <w:r>
              <w:rPr>
                <w:rFonts w:hint="eastAsia"/>
                <w:color w:val="auto"/>
              </w:rPr>
              <w:t>用水为</w:t>
            </w:r>
            <w:r>
              <w:rPr>
                <w:rFonts w:hint="eastAsia"/>
                <w:color w:val="auto"/>
                <w:sz w:val="24"/>
                <w:lang w:val="en-US" w:eastAsia="zh-CN"/>
              </w:rPr>
              <w:t>72m</w:t>
            </w:r>
            <w:r>
              <w:rPr>
                <w:rFonts w:hint="eastAsia"/>
                <w:color w:val="auto"/>
                <w:sz w:val="24"/>
                <w:vertAlign w:val="superscript"/>
                <w:lang w:val="en-US" w:eastAsia="zh-CN"/>
              </w:rPr>
              <w:t>3</w:t>
            </w:r>
            <w:r>
              <w:rPr>
                <w:rFonts w:hint="eastAsia"/>
                <w:color w:val="auto"/>
                <w:sz w:val="24"/>
                <w:vertAlign w:val="baseline"/>
                <w:lang w:val="en-US" w:eastAsia="zh-CN"/>
              </w:rPr>
              <w:t>/a，</w:t>
            </w:r>
            <w:r>
              <w:rPr>
                <w:rFonts w:hint="eastAsia"/>
                <w:color w:val="auto"/>
                <w:sz w:val="24"/>
                <w:lang w:val="en-US" w:eastAsia="zh-CN"/>
              </w:rPr>
              <w:t>0.24m</w:t>
            </w:r>
            <w:r>
              <w:rPr>
                <w:rFonts w:hint="eastAsia"/>
                <w:color w:val="auto"/>
                <w:sz w:val="24"/>
                <w:vertAlign w:val="superscript"/>
                <w:lang w:val="en-US" w:eastAsia="zh-CN"/>
              </w:rPr>
              <w:t>3</w:t>
            </w:r>
            <w:r>
              <w:rPr>
                <w:rFonts w:hint="eastAsia"/>
                <w:color w:val="auto"/>
                <w:sz w:val="24"/>
                <w:vertAlign w:val="baseline"/>
                <w:lang w:val="en-US" w:eastAsia="zh-CN"/>
              </w:rPr>
              <w:t>/d</w:t>
            </w:r>
            <w:r>
              <w:rPr>
                <w:rFonts w:hint="eastAsia"/>
                <w:color w:val="auto"/>
              </w:rPr>
              <w:t>，</w:t>
            </w:r>
            <w:r>
              <w:rPr>
                <w:rFonts w:hint="eastAsia"/>
                <w:color w:val="auto"/>
                <w:lang w:eastAsia="zh-CN"/>
              </w:rPr>
              <w:t>生产用水随生产过程全部蒸发，故项目产生</w:t>
            </w:r>
            <w:r>
              <w:rPr>
                <w:rFonts w:hint="eastAsia"/>
                <w:color w:val="auto"/>
              </w:rPr>
              <w:t>废水</w:t>
            </w:r>
            <w:r>
              <w:rPr>
                <w:rFonts w:hint="eastAsia"/>
                <w:color w:val="auto"/>
                <w:lang w:eastAsia="zh-CN"/>
              </w:rPr>
              <w:t>为员工</w:t>
            </w:r>
            <w:r>
              <w:rPr>
                <w:rFonts w:hint="eastAsia"/>
                <w:color w:val="auto"/>
              </w:rPr>
              <w:t>生活</w:t>
            </w:r>
            <w:r>
              <w:rPr>
                <w:rFonts w:hint="eastAsia"/>
                <w:color w:val="auto"/>
                <w:lang w:eastAsia="zh-CN"/>
              </w:rPr>
              <w:t>办公</w:t>
            </w:r>
            <w:r>
              <w:rPr>
                <w:rFonts w:hint="eastAsia"/>
                <w:color w:val="auto"/>
              </w:rPr>
              <w:t>废水</w:t>
            </w:r>
            <w:r>
              <w:rPr>
                <w:rFonts w:hint="eastAsia"/>
                <w:color w:val="auto"/>
                <w:lang w:eastAsia="zh-CN"/>
              </w:rPr>
              <w:t>及初期雨水。员工生活办公废水包括</w:t>
            </w:r>
            <w:r>
              <w:rPr>
                <w:rFonts w:hint="eastAsia"/>
                <w:color w:val="auto"/>
              </w:rPr>
              <w:t>食堂废水及</w:t>
            </w:r>
            <w:r>
              <w:rPr>
                <w:rFonts w:hint="eastAsia"/>
                <w:color w:val="auto"/>
                <w:lang w:eastAsia="zh-CN"/>
              </w:rPr>
              <w:t>员工办公生活废水</w:t>
            </w:r>
            <w:r>
              <w:rPr>
                <w:rFonts w:hint="eastAsia"/>
                <w:color w:val="auto"/>
              </w:rPr>
              <w:t>，食堂废水经隔油池处理后与生活废水一起进入</w:t>
            </w:r>
            <w:r>
              <w:rPr>
                <w:rFonts w:hint="eastAsia"/>
                <w:color w:val="auto"/>
                <w:lang w:eastAsia="zh-CN"/>
              </w:rPr>
              <w:t>沉淀池处理</w:t>
            </w:r>
            <w:r>
              <w:rPr>
                <w:rFonts w:hint="eastAsia"/>
                <w:color w:val="auto"/>
              </w:rPr>
              <w:t>，</w:t>
            </w:r>
            <w:r>
              <w:rPr>
                <w:rFonts w:hint="eastAsia"/>
                <w:color w:val="auto"/>
                <w:lang w:eastAsia="zh-CN"/>
              </w:rPr>
              <w:t>最终回用于厂区地面洒水降尘；初期雨水经雨水收集池收集沉淀后回用于项目原有项目生产。</w:t>
            </w:r>
            <w:r>
              <w:rPr>
                <w:rFonts w:hint="eastAsia"/>
                <w:bCs/>
                <w:color w:val="auto"/>
                <w:szCs w:val="21"/>
              </w:rPr>
              <w:t>生活污水类比《中产桂华•阳光果香小区竣工环境保护验收报告》中水质监测结果，</w:t>
            </w:r>
            <w:r>
              <w:rPr>
                <w:rFonts w:hint="eastAsia" w:eastAsiaTheme="minorEastAsia"/>
                <w:color w:val="auto"/>
                <w:szCs w:val="24"/>
              </w:rPr>
              <w:t>项目水污染物产排情况见下表</w:t>
            </w:r>
            <w:r>
              <w:rPr>
                <w:rFonts w:hint="eastAsia" w:eastAsiaTheme="minorEastAsia"/>
                <w:color w:val="auto"/>
                <w:szCs w:val="24"/>
                <w:lang w:val="en-US" w:eastAsia="zh-CN"/>
              </w:rPr>
              <w:t>5-4</w:t>
            </w:r>
            <w:r>
              <w:rPr>
                <w:rFonts w:hint="eastAsia" w:eastAsiaTheme="minorEastAsia"/>
                <w:color w:val="auto"/>
                <w:szCs w:val="24"/>
              </w:rPr>
              <w:t>，水平衡图见下</w:t>
            </w:r>
            <w:r>
              <w:rPr>
                <w:rFonts w:hint="eastAsia" w:eastAsiaTheme="minorEastAsia"/>
                <w:color w:val="auto"/>
                <w:szCs w:val="24"/>
                <w:lang w:eastAsia="zh-CN"/>
              </w:rPr>
              <w:t>图</w:t>
            </w:r>
            <w:r>
              <w:rPr>
                <w:rFonts w:hint="eastAsia" w:eastAsiaTheme="minorEastAsia"/>
                <w:color w:val="auto"/>
                <w:szCs w:val="24"/>
              </w:rPr>
              <w:t>5</w:t>
            </w:r>
            <w:r>
              <w:rPr>
                <w:rFonts w:hint="eastAsia" w:eastAsiaTheme="minorEastAsia"/>
                <w:color w:val="auto"/>
                <w:szCs w:val="24"/>
                <w:lang w:val="en-US" w:eastAsia="zh-CN"/>
              </w:rPr>
              <w:t>-4</w:t>
            </w:r>
            <w:r>
              <w:rPr>
                <w:rFonts w:hint="eastAsia" w:eastAsiaTheme="minorEastAsia"/>
                <w:color w:val="auto"/>
                <w:szCs w:val="24"/>
              </w:rPr>
              <w:t>。</w:t>
            </w:r>
          </w:p>
          <w:p>
            <w:pPr>
              <w:pStyle w:val="3"/>
              <w:ind w:left="0" w:leftChars="0" w:firstLine="0" w:firstLineChars="0"/>
              <w:jc w:val="center"/>
              <w:rPr>
                <w:rFonts w:eastAsiaTheme="minorEastAsia"/>
                <w:b/>
                <w:bCs/>
                <w:color w:val="auto"/>
                <w:szCs w:val="24"/>
              </w:rPr>
            </w:pPr>
            <w:r>
              <w:rPr>
                <w:rFonts w:hint="eastAsia"/>
                <w:b/>
                <w:bCs/>
                <w:color w:val="auto"/>
              </w:rPr>
              <w:t>表5</w:t>
            </w:r>
            <w:r>
              <w:rPr>
                <w:rFonts w:hint="eastAsia"/>
                <w:b/>
                <w:bCs/>
                <w:color w:val="auto"/>
                <w:lang w:val="en-US" w:eastAsia="zh-CN"/>
              </w:rPr>
              <w:t>-4</w:t>
            </w:r>
            <w:r>
              <w:rPr>
                <w:rFonts w:hint="eastAsia"/>
                <w:b/>
                <w:bCs/>
                <w:color w:val="auto"/>
              </w:rPr>
              <w:t xml:space="preserve">  </w:t>
            </w:r>
            <w:r>
              <w:rPr>
                <w:rFonts w:hint="eastAsia" w:eastAsiaTheme="minorEastAsia"/>
                <w:b/>
                <w:bCs/>
                <w:color w:val="auto"/>
                <w:szCs w:val="24"/>
              </w:rPr>
              <w:t>项目水污染物产排情况表</w:t>
            </w:r>
          </w:p>
          <w:tbl>
            <w:tblPr>
              <w:tblStyle w:val="23"/>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642"/>
              <w:gridCol w:w="1393"/>
              <w:gridCol w:w="1393"/>
              <w:gridCol w:w="139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42" w:type="dxa"/>
                  <w:vMerge w:val="restart"/>
                  <w:vAlign w:val="center"/>
                </w:tcPr>
                <w:p>
                  <w:pPr>
                    <w:pStyle w:val="3"/>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排放源</w:t>
                  </w:r>
                </w:p>
              </w:tc>
              <w:tc>
                <w:tcPr>
                  <w:tcW w:w="1642" w:type="dxa"/>
                  <w:vMerge w:val="restart"/>
                  <w:vAlign w:val="center"/>
                </w:tcPr>
                <w:p>
                  <w:pPr>
                    <w:pStyle w:val="3"/>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污染物名称</w:t>
                  </w:r>
                </w:p>
              </w:tc>
              <w:tc>
                <w:tcPr>
                  <w:tcW w:w="2786" w:type="dxa"/>
                  <w:gridSpan w:val="2"/>
                  <w:vAlign w:val="center"/>
                </w:tcPr>
                <w:p>
                  <w:pPr>
                    <w:pStyle w:val="3"/>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处理前</w:t>
                  </w:r>
                </w:p>
              </w:tc>
              <w:tc>
                <w:tcPr>
                  <w:tcW w:w="2787" w:type="dxa"/>
                  <w:gridSpan w:val="2"/>
                  <w:vAlign w:val="center"/>
                </w:tcPr>
                <w:p>
                  <w:pPr>
                    <w:pStyle w:val="3"/>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42" w:type="dxa"/>
                  <w:vMerge w:val="continue"/>
                  <w:vAlign w:val="center"/>
                </w:tcPr>
                <w:p>
                  <w:pPr>
                    <w:pStyle w:val="3"/>
                    <w:spacing w:line="240" w:lineRule="auto"/>
                    <w:ind w:firstLine="0" w:firstLineChars="0"/>
                    <w:jc w:val="center"/>
                    <w:rPr>
                      <w:rFonts w:eastAsiaTheme="minorEastAsia"/>
                      <w:b/>
                      <w:bCs/>
                      <w:color w:val="auto"/>
                      <w:sz w:val="21"/>
                      <w:szCs w:val="21"/>
                    </w:rPr>
                  </w:pPr>
                </w:p>
              </w:tc>
              <w:tc>
                <w:tcPr>
                  <w:tcW w:w="1642" w:type="dxa"/>
                  <w:vMerge w:val="continue"/>
                  <w:vAlign w:val="center"/>
                </w:tcPr>
                <w:p>
                  <w:pPr>
                    <w:pStyle w:val="3"/>
                    <w:spacing w:line="240" w:lineRule="auto"/>
                    <w:ind w:firstLine="0" w:firstLineChars="0"/>
                    <w:jc w:val="center"/>
                    <w:rPr>
                      <w:rFonts w:eastAsiaTheme="minorEastAsia"/>
                      <w:b/>
                      <w:bCs/>
                      <w:color w:val="auto"/>
                      <w:sz w:val="21"/>
                      <w:szCs w:val="21"/>
                    </w:rPr>
                  </w:pPr>
                </w:p>
              </w:tc>
              <w:tc>
                <w:tcPr>
                  <w:tcW w:w="1393" w:type="dxa"/>
                  <w:vAlign w:val="center"/>
                </w:tcPr>
                <w:p>
                  <w:pPr>
                    <w:pStyle w:val="3"/>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产生浓度（mg/L）</w:t>
                  </w:r>
                </w:p>
              </w:tc>
              <w:tc>
                <w:tcPr>
                  <w:tcW w:w="1393" w:type="dxa"/>
                  <w:vAlign w:val="center"/>
                </w:tcPr>
                <w:p>
                  <w:pPr>
                    <w:pStyle w:val="3"/>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产生量</w:t>
                  </w:r>
                </w:p>
                <w:p>
                  <w:pPr>
                    <w:pStyle w:val="3"/>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（t/a）</w:t>
                  </w:r>
                </w:p>
              </w:tc>
              <w:tc>
                <w:tcPr>
                  <w:tcW w:w="1393" w:type="dxa"/>
                  <w:vAlign w:val="center"/>
                </w:tcPr>
                <w:p>
                  <w:pPr>
                    <w:pStyle w:val="3"/>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排放浓度</w:t>
                  </w:r>
                </w:p>
              </w:tc>
              <w:tc>
                <w:tcPr>
                  <w:tcW w:w="1394" w:type="dxa"/>
                  <w:vAlign w:val="center"/>
                </w:tcPr>
                <w:p>
                  <w:pPr>
                    <w:pStyle w:val="3"/>
                    <w:spacing w:line="240" w:lineRule="auto"/>
                    <w:ind w:firstLine="0" w:firstLineChars="0"/>
                    <w:jc w:val="center"/>
                    <w:rPr>
                      <w:rFonts w:eastAsiaTheme="minorEastAsia"/>
                      <w:b/>
                      <w:bCs/>
                      <w:color w:val="auto"/>
                      <w:sz w:val="21"/>
                      <w:szCs w:val="21"/>
                    </w:rPr>
                  </w:pPr>
                  <w:r>
                    <w:rPr>
                      <w:rFonts w:hint="eastAsia" w:eastAsiaTheme="minorEastAsia"/>
                      <w:b/>
                      <w:bCs/>
                      <w:color w:val="auto"/>
                      <w:sz w:val="21"/>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42" w:type="dxa"/>
                  <w:vMerge w:val="restart"/>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生活废水</w:t>
                  </w:r>
                </w:p>
              </w:tc>
              <w:tc>
                <w:tcPr>
                  <w:tcW w:w="1642"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废水量（m</w:t>
                  </w:r>
                  <w:r>
                    <w:rPr>
                      <w:rFonts w:hint="eastAsia" w:eastAsiaTheme="minorEastAsia"/>
                      <w:color w:val="auto"/>
                      <w:sz w:val="21"/>
                      <w:szCs w:val="21"/>
                      <w:vertAlign w:val="superscript"/>
                    </w:rPr>
                    <w:t>3</w:t>
                  </w:r>
                  <w:r>
                    <w:rPr>
                      <w:rFonts w:hint="eastAsia" w:eastAsiaTheme="minorEastAsia"/>
                      <w:color w:val="auto"/>
                      <w:sz w:val="21"/>
                      <w:szCs w:val="21"/>
                    </w:rPr>
                    <w:t>/a）</w:t>
                  </w:r>
                </w:p>
              </w:tc>
              <w:tc>
                <w:tcPr>
                  <w:tcW w:w="2786" w:type="dxa"/>
                  <w:gridSpan w:val="2"/>
                  <w:vAlign w:val="center"/>
                </w:tcPr>
                <w:p>
                  <w:pPr>
                    <w:pStyle w:val="3"/>
                    <w:spacing w:line="240" w:lineRule="auto"/>
                    <w:ind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120</w:t>
                  </w:r>
                </w:p>
              </w:tc>
              <w:tc>
                <w:tcPr>
                  <w:tcW w:w="2787" w:type="dxa"/>
                  <w:gridSpan w:val="2"/>
                  <w:vAlign w:val="center"/>
                </w:tcPr>
                <w:p>
                  <w:pPr>
                    <w:pStyle w:val="3"/>
                    <w:spacing w:line="240" w:lineRule="auto"/>
                    <w:ind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42" w:type="dxa"/>
                  <w:vMerge w:val="continue"/>
                  <w:vAlign w:val="center"/>
                </w:tcPr>
                <w:p>
                  <w:pPr>
                    <w:pStyle w:val="3"/>
                    <w:spacing w:line="240" w:lineRule="auto"/>
                    <w:ind w:firstLine="0" w:firstLineChars="0"/>
                    <w:jc w:val="center"/>
                    <w:rPr>
                      <w:rFonts w:eastAsiaTheme="minorEastAsia"/>
                      <w:color w:val="auto"/>
                      <w:sz w:val="21"/>
                      <w:szCs w:val="21"/>
                    </w:rPr>
                  </w:pPr>
                </w:p>
              </w:tc>
              <w:tc>
                <w:tcPr>
                  <w:tcW w:w="1642"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CODcr</w:t>
                  </w:r>
                </w:p>
              </w:tc>
              <w:tc>
                <w:tcPr>
                  <w:tcW w:w="1393"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400</w:t>
                  </w:r>
                </w:p>
              </w:tc>
              <w:tc>
                <w:tcPr>
                  <w:tcW w:w="1393" w:type="dxa"/>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1"/>
                      <w:szCs w:val="21"/>
                    </w:rPr>
                    <w:t>0.</w:t>
                  </w:r>
                  <w:r>
                    <w:rPr>
                      <w:rFonts w:hint="eastAsia"/>
                      <w:color w:val="auto"/>
                      <w:kern w:val="0"/>
                      <w:sz w:val="21"/>
                      <w:szCs w:val="21"/>
                      <w:lang w:val="en-US" w:eastAsia="zh-CN"/>
                    </w:rPr>
                    <w:t>048</w:t>
                  </w:r>
                </w:p>
              </w:tc>
              <w:tc>
                <w:tcPr>
                  <w:tcW w:w="2787" w:type="dxa"/>
                  <w:gridSpan w:val="2"/>
                  <w:vMerge w:val="restart"/>
                  <w:vAlign w:val="center"/>
                </w:tcPr>
                <w:p>
                  <w:pPr>
                    <w:widowControl/>
                    <w:spacing w:line="240" w:lineRule="auto"/>
                    <w:ind w:firstLine="0" w:firstLineChars="0"/>
                    <w:jc w:val="center"/>
                    <w:textAlignment w:val="center"/>
                    <w:rPr>
                      <w:rFonts w:hint="eastAsia" w:eastAsia="宋体"/>
                      <w:color w:val="auto"/>
                      <w:sz w:val="21"/>
                      <w:szCs w:val="21"/>
                      <w:lang w:val="en-US" w:eastAsia="zh-CN"/>
                    </w:rPr>
                  </w:pPr>
                  <w:r>
                    <w:rPr>
                      <w:rFonts w:hint="eastAsia"/>
                      <w:color w:val="auto"/>
                      <w:sz w:val="21"/>
                      <w:szCs w:val="21"/>
                      <w:lang w:val="en-US" w:eastAsia="zh-CN"/>
                    </w:rPr>
                    <w:t>回用于石材加工项目，不外排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42" w:type="dxa"/>
                  <w:vMerge w:val="continue"/>
                  <w:vAlign w:val="center"/>
                </w:tcPr>
                <w:p>
                  <w:pPr>
                    <w:pStyle w:val="3"/>
                    <w:spacing w:line="240" w:lineRule="auto"/>
                    <w:ind w:firstLine="0" w:firstLineChars="0"/>
                    <w:jc w:val="center"/>
                    <w:rPr>
                      <w:rFonts w:eastAsiaTheme="minorEastAsia"/>
                      <w:color w:val="auto"/>
                      <w:sz w:val="21"/>
                      <w:szCs w:val="21"/>
                    </w:rPr>
                  </w:pPr>
                </w:p>
              </w:tc>
              <w:tc>
                <w:tcPr>
                  <w:tcW w:w="1642"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BOD</w:t>
                  </w:r>
                  <w:r>
                    <w:rPr>
                      <w:rFonts w:hint="eastAsia" w:eastAsiaTheme="minorEastAsia"/>
                      <w:color w:val="auto"/>
                      <w:sz w:val="21"/>
                      <w:szCs w:val="21"/>
                      <w:vertAlign w:val="subscript"/>
                    </w:rPr>
                    <w:t>5</w:t>
                  </w:r>
                </w:p>
              </w:tc>
              <w:tc>
                <w:tcPr>
                  <w:tcW w:w="1393"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250</w:t>
                  </w:r>
                </w:p>
              </w:tc>
              <w:tc>
                <w:tcPr>
                  <w:tcW w:w="1393" w:type="dxa"/>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1"/>
                      <w:szCs w:val="21"/>
                    </w:rPr>
                    <w:t>0.</w:t>
                  </w:r>
                  <w:r>
                    <w:rPr>
                      <w:rFonts w:hint="eastAsia"/>
                      <w:color w:val="auto"/>
                      <w:kern w:val="0"/>
                      <w:sz w:val="21"/>
                      <w:szCs w:val="21"/>
                      <w:lang w:val="en-US" w:eastAsia="zh-CN"/>
                    </w:rPr>
                    <w:t>03</w:t>
                  </w:r>
                </w:p>
              </w:tc>
              <w:tc>
                <w:tcPr>
                  <w:tcW w:w="2787" w:type="dxa"/>
                  <w:gridSpan w:val="2"/>
                  <w:vMerge w:val="continue"/>
                  <w:vAlign w:val="center"/>
                </w:tcPr>
                <w:p>
                  <w:pPr>
                    <w:widowControl/>
                    <w:spacing w:line="240" w:lineRule="auto"/>
                    <w:ind w:firstLine="0" w:firstLineChars="0"/>
                    <w:jc w:val="center"/>
                    <w:textAlignment w:val="center"/>
                    <w:rPr>
                      <w:rFonts w:hint="eastAsia"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42" w:type="dxa"/>
                  <w:vMerge w:val="continue"/>
                  <w:vAlign w:val="center"/>
                </w:tcPr>
                <w:p>
                  <w:pPr>
                    <w:pStyle w:val="3"/>
                    <w:spacing w:line="240" w:lineRule="auto"/>
                    <w:ind w:firstLine="0" w:firstLineChars="0"/>
                    <w:jc w:val="center"/>
                    <w:rPr>
                      <w:rFonts w:eastAsiaTheme="minorEastAsia"/>
                      <w:color w:val="auto"/>
                      <w:sz w:val="21"/>
                      <w:szCs w:val="21"/>
                    </w:rPr>
                  </w:pPr>
                </w:p>
              </w:tc>
              <w:tc>
                <w:tcPr>
                  <w:tcW w:w="1642"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氨氮</w:t>
                  </w:r>
                </w:p>
              </w:tc>
              <w:tc>
                <w:tcPr>
                  <w:tcW w:w="1393"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28</w:t>
                  </w:r>
                </w:p>
              </w:tc>
              <w:tc>
                <w:tcPr>
                  <w:tcW w:w="1393" w:type="dxa"/>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1"/>
                      <w:szCs w:val="21"/>
                    </w:rPr>
                    <w:t>0.0</w:t>
                  </w:r>
                  <w:r>
                    <w:rPr>
                      <w:rFonts w:hint="eastAsia"/>
                      <w:color w:val="auto"/>
                      <w:kern w:val="0"/>
                      <w:sz w:val="21"/>
                      <w:szCs w:val="21"/>
                      <w:lang w:val="en-US" w:eastAsia="zh-CN"/>
                    </w:rPr>
                    <w:t>034</w:t>
                  </w:r>
                </w:p>
              </w:tc>
              <w:tc>
                <w:tcPr>
                  <w:tcW w:w="2787" w:type="dxa"/>
                  <w:gridSpan w:val="2"/>
                  <w:vMerge w:val="continue"/>
                  <w:vAlign w:val="center"/>
                </w:tcPr>
                <w:p>
                  <w:pPr>
                    <w:widowControl/>
                    <w:spacing w:line="240" w:lineRule="auto"/>
                    <w:ind w:firstLine="0" w:firstLineChars="0"/>
                    <w:jc w:val="center"/>
                    <w:textAlignment w:val="center"/>
                    <w:rPr>
                      <w:rFonts w:hint="eastAsia"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42" w:type="dxa"/>
                  <w:vMerge w:val="continue"/>
                  <w:vAlign w:val="center"/>
                </w:tcPr>
                <w:p>
                  <w:pPr>
                    <w:pStyle w:val="3"/>
                    <w:spacing w:line="240" w:lineRule="auto"/>
                    <w:ind w:firstLine="0" w:firstLineChars="0"/>
                    <w:jc w:val="center"/>
                    <w:rPr>
                      <w:rFonts w:eastAsiaTheme="minorEastAsia"/>
                      <w:color w:val="auto"/>
                      <w:sz w:val="21"/>
                      <w:szCs w:val="21"/>
                    </w:rPr>
                  </w:pPr>
                </w:p>
              </w:tc>
              <w:tc>
                <w:tcPr>
                  <w:tcW w:w="1642"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总磷</w:t>
                  </w:r>
                </w:p>
              </w:tc>
              <w:tc>
                <w:tcPr>
                  <w:tcW w:w="1393"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8</w:t>
                  </w:r>
                </w:p>
              </w:tc>
              <w:tc>
                <w:tcPr>
                  <w:tcW w:w="1393" w:type="dxa"/>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1"/>
                      <w:szCs w:val="21"/>
                    </w:rPr>
                    <w:t>0.00</w:t>
                  </w:r>
                  <w:r>
                    <w:rPr>
                      <w:rFonts w:hint="eastAsia"/>
                      <w:color w:val="auto"/>
                      <w:kern w:val="0"/>
                      <w:sz w:val="21"/>
                      <w:szCs w:val="21"/>
                      <w:lang w:val="en-US" w:eastAsia="zh-CN"/>
                    </w:rPr>
                    <w:t>1</w:t>
                  </w:r>
                </w:p>
              </w:tc>
              <w:tc>
                <w:tcPr>
                  <w:tcW w:w="2787" w:type="dxa"/>
                  <w:gridSpan w:val="2"/>
                  <w:vMerge w:val="continue"/>
                  <w:vAlign w:val="center"/>
                </w:tcPr>
                <w:p>
                  <w:pPr>
                    <w:widowControl/>
                    <w:spacing w:line="240" w:lineRule="auto"/>
                    <w:ind w:firstLine="0" w:firstLineChars="0"/>
                    <w:jc w:val="center"/>
                    <w:textAlignment w:val="center"/>
                    <w:rPr>
                      <w:rFonts w:hint="eastAsia"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42" w:type="dxa"/>
                  <w:vMerge w:val="continue"/>
                  <w:vAlign w:val="center"/>
                </w:tcPr>
                <w:p>
                  <w:pPr>
                    <w:pStyle w:val="3"/>
                    <w:spacing w:line="240" w:lineRule="auto"/>
                    <w:ind w:firstLine="0" w:firstLineChars="0"/>
                    <w:jc w:val="center"/>
                    <w:rPr>
                      <w:rFonts w:eastAsiaTheme="minorEastAsia"/>
                      <w:color w:val="auto"/>
                      <w:sz w:val="21"/>
                      <w:szCs w:val="21"/>
                    </w:rPr>
                  </w:pPr>
                </w:p>
              </w:tc>
              <w:tc>
                <w:tcPr>
                  <w:tcW w:w="1642"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动植物油</w:t>
                  </w:r>
                </w:p>
              </w:tc>
              <w:tc>
                <w:tcPr>
                  <w:tcW w:w="1393"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35</w:t>
                  </w:r>
                </w:p>
              </w:tc>
              <w:tc>
                <w:tcPr>
                  <w:tcW w:w="1393" w:type="dxa"/>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1"/>
                      <w:szCs w:val="21"/>
                    </w:rPr>
                    <w:t>0.0</w:t>
                  </w:r>
                  <w:r>
                    <w:rPr>
                      <w:rFonts w:hint="eastAsia"/>
                      <w:color w:val="auto"/>
                      <w:kern w:val="0"/>
                      <w:sz w:val="21"/>
                      <w:szCs w:val="21"/>
                      <w:lang w:val="en-US" w:eastAsia="zh-CN"/>
                    </w:rPr>
                    <w:t>042</w:t>
                  </w:r>
                </w:p>
              </w:tc>
              <w:tc>
                <w:tcPr>
                  <w:tcW w:w="2787" w:type="dxa"/>
                  <w:gridSpan w:val="2"/>
                  <w:vMerge w:val="continue"/>
                  <w:vAlign w:val="center"/>
                </w:tcPr>
                <w:p>
                  <w:pPr>
                    <w:widowControl/>
                    <w:spacing w:line="240" w:lineRule="auto"/>
                    <w:ind w:firstLine="0" w:firstLineChars="0"/>
                    <w:jc w:val="center"/>
                    <w:textAlignment w:val="center"/>
                    <w:rPr>
                      <w:rFonts w:hint="eastAsia"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42" w:type="dxa"/>
                  <w:vMerge w:val="continue"/>
                  <w:vAlign w:val="center"/>
                </w:tcPr>
                <w:p>
                  <w:pPr>
                    <w:pStyle w:val="3"/>
                    <w:spacing w:line="240" w:lineRule="auto"/>
                    <w:ind w:firstLine="0" w:firstLineChars="0"/>
                    <w:jc w:val="center"/>
                    <w:rPr>
                      <w:rFonts w:eastAsiaTheme="minorEastAsia"/>
                      <w:color w:val="auto"/>
                      <w:sz w:val="21"/>
                      <w:szCs w:val="21"/>
                    </w:rPr>
                  </w:pPr>
                </w:p>
              </w:tc>
              <w:tc>
                <w:tcPr>
                  <w:tcW w:w="1642"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悬浮物</w:t>
                  </w:r>
                </w:p>
              </w:tc>
              <w:tc>
                <w:tcPr>
                  <w:tcW w:w="1393"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300</w:t>
                  </w:r>
                </w:p>
              </w:tc>
              <w:tc>
                <w:tcPr>
                  <w:tcW w:w="1393" w:type="dxa"/>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1"/>
                      <w:szCs w:val="21"/>
                    </w:rPr>
                    <w:t>0.</w:t>
                  </w:r>
                  <w:r>
                    <w:rPr>
                      <w:rFonts w:hint="eastAsia"/>
                      <w:color w:val="auto"/>
                      <w:kern w:val="0"/>
                      <w:sz w:val="21"/>
                      <w:szCs w:val="21"/>
                      <w:lang w:val="en-US" w:eastAsia="zh-CN"/>
                    </w:rPr>
                    <w:t>036</w:t>
                  </w:r>
                </w:p>
              </w:tc>
              <w:tc>
                <w:tcPr>
                  <w:tcW w:w="2787" w:type="dxa"/>
                  <w:gridSpan w:val="2"/>
                  <w:vMerge w:val="continue"/>
                  <w:vAlign w:val="center"/>
                </w:tcPr>
                <w:p>
                  <w:pPr>
                    <w:widowControl/>
                    <w:spacing w:line="240" w:lineRule="auto"/>
                    <w:ind w:firstLine="0" w:firstLineChars="0"/>
                    <w:jc w:val="center"/>
                    <w:textAlignment w:val="center"/>
                    <w:rPr>
                      <w:rFonts w:hint="eastAsia"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42"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初期雨水</w:t>
                  </w:r>
                </w:p>
              </w:tc>
              <w:tc>
                <w:tcPr>
                  <w:tcW w:w="1642" w:type="dxa"/>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废水量</w:t>
                  </w:r>
                </w:p>
              </w:tc>
              <w:tc>
                <w:tcPr>
                  <w:tcW w:w="2786" w:type="dxa"/>
                  <w:gridSpan w:val="2"/>
                  <w:vAlign w:val="center"/>
                </w:tcPr>
                <w:p>
                  <w:pPr>
                    <w:pStyle w:val="3"/>
                    <w:spacing w:line="240" w:lineRule="auto"/>
                    <w:ind w:firstLine="0" w:firstLineChars="0"/>
                    <w:jc w:val="center"/>
                    <w:rPr>
                      <w:rFonts w:hint="default" w:eastAsiaTheme="minorEastAsia"/>
                      <w:color w:val="auto"/>
                      <w:sz w:val="21"/>
                      <w:szCs w:val="21"/>
                      <w:lang w:val="en-US" w:eastAsia="zh-CN"/>
                    </w:rPr>
                  </w:pPr>
                  <w:r>
                    <w:rPr>
                      <w:rFonts w:hint="eastAsia" w:eastAsiaTheme="minorEastAsia"/>
                      <w:color w:val="auto"/>
                      <w:sz w:val="21"/>
                      <w:szCs w:val="21"/>
                      <w:lang w:val="en-US" w:eastAsia="zh-CN"/>
                    </w:rPr>
                    <w:t>4867</w:t>
                  </w:r>
                </w:p>
              </w:tc>
              <w:tc>
                <w:tcPr>
                  <w:tcW w:w="2787" w:type="dxa"/>
                  <w:gridSpan w:val="2"/>
                  <w:vAlign w:val="center"/>
                </w:tcPr>
                <w:p>
                  <w:pPr>
                    <w:pStyle w:val="3"/>
                    <w:spacing w:line="240" w:lineRule="auto"/>
                    <w:ind w:firstLine="0" w:firstLineChars="0"/>
                    <w:jc w:val="center"/>
                    <w:rPr>
                      <w:rFonts w:eastAsiaTheme="minorEastAsia"/>
                      <w:color w:val="auto"/>
                      <w:sz w:val="21"/>
                      <w:szCs w:val="21"/>
                    </w:rPr>
                  </w:pPr>
                  <w:r>
                    <w:rPr>
                      <w:rFonts w:hint="eastAsia" w:eastAsiaTheme="minorEastAsia"/>
                      <w:color w:val="auto"/>
                      <w:sz w:val="21"/>
                      <w:szCs w:val="21"/>
                    </w:rPr>
                    <w:t>经雨水收集池收集后回用于</w:t>
                  </w:r>
                  <w:r>
                    <w:rPr>
                      <w:rFonts w:hint="eastAsia" w:eastAsiaTheme="minorEastAsia"/>
                      <w:color w:val="auto"/>
                      <w:sz w:val="21"/>
                      <w:szCs w:val="21"/>
                      <w:lang w:eastAsia="zh-CN"/>
                    </w:rPr>
                    <w:t>原有项目生产</w:t>
                  </w:r>
                  <w:r>
                    <w:rPr>
                      <w:rFonts w:hint="eastAsia" w:eastAsiaTheme="minorEastAsia"/>
                      <w:color w:val="auto"/>
                      <w:sz w:val="21"/>
                      <w:szCs w:val="21"/>
                    </w:rPr>
                    <w:t>，不外排</w:t>
                  </w:r>
                </w:p>
              </w:tc>
            </w:tr>
          </w:tbl>
          <w:p>
            <w:pPr>
              <w:pStyle w:val="3"/>
              <w:ind w:firstLine="0" w:firstLineChars="0"/>
              <w:jc w:val="center"/>
              <w:rPr>
                <w:b/>
                <w:bCs/>
                <w:color w:val="auto"/>
              </w:rPr>
            </w:pPr>
          </w:p>
          <w:p>
            <w:pPr>
              <w:pStyle w:val="3"/>
              <w:ind w:firstLine="0" w:firstLineChars="0"/>
              <w:jc w:val="center"/>
              <w:rPr>
                <w:b/>
                <w:bCs/>
                <w:color w:val="auto"/>
              </w:rPr>
            </w:pPr>
          </w:p>
          <w:p>
            <w:pPr>
              <w:pStyle w:val="3"/>
              <w:ind w:firstLine="0" w:firstLineChars="0"/>
              <w:jc w:val="center"/>
              <w:rPr>
                <w:b/>
                <w:bCs/>
                <w:color w:val="auto"/>
              </w:rPr>
            </w:pPr>
          </w:p>
          <w:p>
            <w:pPr>
              <w:pStyle w:val="3"/>
              <w:ind w:firstLine="0" w:firstLineChars="0"/>
              <w:jc w:val="center"/>
              <w:rPr>
                <w:b/>
                <w:bCs/>
                <w:color w:val="auto"/>
              </w:rPr>
            </w:pPr>
            <w:r>
              <w:rPr>
                <w:b/>
                <w:bCs/>
                <w:color w:val="auto"/>
              </w:rPr>
              <w:object>
                <v:shape id="_x0000_i1030" o:spt="75" type="#_x0000_t75" style="height:224.05pt;width:393.6pt;" o:ole="t" filled="f" o:preferrelative="t" stroked="f" coordsize="21600,21600">
                  <v:path/>
                  <v:fill on="f" focussize="0,0"/>
                  <v:stroke on="f"/>
                  <v:imagedata r:id="rId29" o:title=""/>
                  <o:lock v:ext="edit" aspectratio="f"/>
                  <w10:wrap type="none"/>
                  <w10:anchorlock/>
                </v:shape>
                <o:OLEObject Type="Embed" ProgID="Visio.Drawing.11" ShapeID="_x0000_i1030" DrawAspect="Content" ObjectID="_1468075730" r:id="rId28">
                  <o:LockedField>false</o:LockedField>
                </o:OLEObject>
              </w:object>
            </w:r>
          </w:p>
          <w:p>
            <w:pPr>
              <w:pStyle w:val="3"/>
              <w:ind w:firstLine="0" w:firstLineChars="0"/>
              <w:jc w:val="center"/>
              <w:rPr>
                <w:b/>
                <w:bCs/>
                <w:color w:val="auto"/>
              </w:rPr>
            </w:pPr>
            <w:r>
              <w:rPr>
                <w:b/>
                <w:bCs/>
                <w:color w:val="auto"/>
              </w:rPr>
              <w:t>图</w:t>
            </w:r>
            <w:r>
              <w:rPr>
                <w:rFonts w:hint="eastAsia" w:eastAsiaTheme="minorEastAsia"/>
                <w:b/>
                <w:bCs/>
                <w:color w:val="auto"/>
                <w:szCs w:val="24"/>
                <w:lang w:val="en-US" w:eastAsia="zh-CN"/>
              </w:rPr>
              <w:t xml:space="preserve">5-4  </w:t>
            </w:r>
            <w:r>
              <w:rPr>
                <w:b/>
                <w:bCs/>
                <w:color w:val="auto"/>
              </w:rPr>
              <w:t>项目水平衡图   单位m</w:t>
            </w:r>
            <w:r>
              <w:rPr>
                <w:b/>
                <w:bCs/>
                <w:color w:val="auto"/>
                <w:vertAlign w:val="superscript"/>
              </w:rPr>
              <w:t>3</w:t>
            </w:r>
            <w:r>
              <w:rPr>
                <w:b/>
                <w:bCs/>
                <w:color w:val="auto"/>
              </w:rPr>
              <w:t>/d</w:t>
            </w:r>
          </w:p>
          <w:p>
            <w:pPr>
              <w:pStyle w:val="9"/>
              <w:ind w:firstLine="482"/>
              <w:jc w:val="left"/>
              <w:rPr>
                <w:b/>
                <w:bCs/>
                <w:color w:val="auto"/>
              </w:rPr>
            </w:pPr>
            <w:r>
              <w:rPr>
                <w:rFonts w:hint="eastAsia"/>
                <w:b/>
                <w:bCs/>
                <w:color w:val="auto"/>
              </w:rPr>
              <w:t>（3）噪声</w:t>
            </w:r>
          </w:p>
          <w:p>
            <w:pPr>
              <w:pStyle w:val="3"/>
              <w:ind w:firstLine="480"/>
              <w:rPr>
                <w:color w:val="auto"/>
              </w:rPr>
            </w:pPr>
            <w:r>
              <w:rPr>
                <w:color w:val="auto"/>
              </w:rPr>
              <w:t>项目营运期噪声主要来源于</w:t>
            </w:r>
            <w:r>
              <w:rPr>
                <w:rFonts w:hint="eastAsia"/>
                <w:color w:val="auto"/>
              </w:rPr>
              <w:t>破碎</w:t>
            </w:r>
            <w:r>
              <w:rPr>
                <w:color w:val="auto"/>
              </w:rPr>
              <w:t>机、</w:t>
            </w:r>
            <w:r>
              <w:rPr>
                <w:rFonts w:hint="eastAsia" w:eastAsiaTheme="minorEastAsia"/>
                <w:color w:val="auto"/>
                <w:szCs w:val="24"/>
              </w:rPr>
              <w:t>打砂机</w:t>
            </w:r>
            <w:r>
              <w:rPr>
                <w:color w:val="auto"/>
                <w:szCs w:val="24"/>
              </w:rPr>
              <w:t>、</w:t>
            </w:r>
            <w:r>
              <w:rPr>
                <w:rFonts w:hint="eastAsia"/>
                <w:color w:val="auto"/>
                <w:szCs w:val="24"/>
              </w:rPr>
              <w:t>输送带等</w:t>
            </w:r>
            <w:r>
              <w:rPr>
                <w:color w:val="auto"/>
              </w:rPr>
              <w:t>产生的噪声，为连续噪声；运输车辆运行时产生的噪声为不连续噪声。根据对同类型企业的类比调查，项目运营期间设备产生的噪声级如表</w:t>
            </w:r>
            <w:r>
              <w:rPr>
                <w:rFonts w:hint="eastAsia"/>
                <w:color w:val="auto"/>
              </w:rPr>
              <w:t>5-4</w:t>
            </w:r>
            <w:r>
              <w:rPr>
                <w:color w:val="auto"/>
              </w:rPr>
              <w:t>所示。</w:t>
            </w:r>
          </w:p>
          <w:p>
            <w:pPr>
              <w:pStyle w:val="3"/>
              <w:ind w:firstLine="482"/>
              <w:jc w:val="center"/>
              <w:rPr>
                <w:color w:val="auto"/>
              </w:rPr>
            </w:pPr>
            <w:r>
              <w:rPr>
                <w:b/>
                <w:bCs/>
                <w:color w:val="auto"/>
              </w:rPr>
              <w:t>表</w:t>
            </w:r>
            <w:r>
              <w:rPr>
                <w:rFonts w:hint="eastAsia"/>
                <w:b/>
                <w:bCs/>
                <w:color w:val="auto"/>
              </w:rPr>
              <w:t xml:space="preserve">5-4  </w:t>
            </w:r>
            <w:r>
              <w:rPr>
                <w:rFonts w:ascii="宋体" w:hAnsi="宋体" w:cs="宋体"/>
                <w:b/>
                <w:bCs/>
                <w:color w:val="auto"/>
                <w:szCs w:val="24"/>
              </w:rPr>
              <w:t>项目设备噪声源强一览表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112"/>
              <w:gridCol w:w="1047"/>
              <w:gridCol w:w="193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09" w:type="dxa"/>
                  <w:vAlign w:val="center"/>
                </w:tcPr>
                <w:p>
                  <w:pPr>
                    <w:pStyle w:val="33"/>
                    <w:spacing w:line="240" w:lineRule="auto"/>
                    <w:ind w:firstLine="0" w:firstLineChars="0"/>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2112" w:type="dxa"/>
                  <w:vAlign w:val="center"/>
                </w:tcPr>
                <w:p>
                  <w:pPr>
                    <w:pStyle w:val="33"/>
                    <w:spacing w:line="240" w:lineRule="auto"/>
                    <w:ind w:firstLine="0" w:firstLineChars="0"/>
                    <w:rPr>
                      <w:rFonts w:ascii="Times New Roman" w:hAnsi="Times New Roman" w:cs="Times New Roman"/>
                      <w:b/>
                      <w:bCs/>
                      <w:color w:val="auto"/>
                      <w:sz w:val="21"/>
                      <w:szCs w:val="21"/>
                    </w:rPr>
                  </w:pPr>
                  <w:r>
                    <w:rPr>
                      <w:rFonts w:ascii="Times New Roman" w:hAnsi="Times New Roman" w:cs="Times New Roman"/>
                      <w:b/>
                      <w:bCs/>
                      <w:color w:val="auto"/>
                      <w:sz w:val="21"/>
                      <w:szCs w:val="21"/>
                    </w:rPr>
                    <w:t>主要噪声源</w:t>
                  </w:r>
                </w:p>
              </w:tc>
              <w:tc>
                <w:tcPr>
                  <w:tcW w:w="1047" w:type="dxa"/>
                  <w:vAlign w:val="center"/>
                </w:tcPr>
                <w:p>
                  <w:pPr>
                    <w:pStyle w:val="33"/>
                    <w:spacing w:line="240" w:lineRule="auto"/>
                    <w:ind w:firstLine="0" w:firstLineChars="0"/>
                    <w:rPr>
                      <w:rFonts w:ascii="Times New Roman" w:hAnsi="Times New Roman" w:cs="Times New Roman"/>
                      <w:b/>
                      <w:bCs/>
                      <w:color w:val="auto"/>
                      <w:sz w:val="21"/>
                      <w:szCs w:val="21"/>
                    </w:rPr>
                  </w:pPr>
                  <w:r>
                    <w:rPr>
                      <w:rFonts w:ascii="Times New Roman" w:hAnsi="Times New Roman" w:cs="Times New Roman"/>
                      <w:b/>
                      <w:bCs/>
                      <w:color w:val="auto"/>
                      <w:sz w:val="21"/>
                      <w:szCs w:val="21"/>
                    </w:rPr>
                    <w:t>数量</w:t>
                  </w:r>
                </w:p>
              </w:tc>
              <w:tc>
                <w:tcPr>
                  <w:tcW w:w="1934" w:type="dxa"/>
                  <w:vAlign w:val="center"/>
                </w:tcPr>
                <w:p>
                  <w:pPr>
                    <w:pStyle w:val="33"/>
                    <w:spacing w:line="240" w:lineRule="auto"/>
                    <w:ind w:firstLine="0" w:firstLineChars="0"/>
                    <w:rPr>
                      <w:rFonts w:ascii="Times New Roman" w:hAnsi="Times New Roman" w:cs="Times New Roman"/>
                      <w:b/>
                      <w:bCs/>
                      <w:color w:val="auto"/>
                      <w:sz w:val="21"/>
                      <w:szCs w:val="21"/>
                    </w:rPr>
                  </w:pPr>
                  <w:r>
                    <w:rPr>
                      <w:rFonts w:ascii="Times New Roman" w:hAnsi="Times New Roman" w:cs="Times New Roman"/>
                      <w:b/>
                      <w:bCs/>
                      <w:color w:val="auto"/>
                      <w:sz w:val="21"/>
                      <w:szCs w:val="21"/>
                    </w:rPr>
                    <w:t>声源声级</w:t>
                  </w:r>
                  <w:r>
                    <w:rPr>
                      <w:rFonts w:ascii="Times New Roman" w:hAnsi="Times New Roman" w:eastAsia="Times New Roman" w:cs="Times New Roman"/>
                      <w:b/>
                      <w:bCs/>
                      <w:color w:val="auto"/>
                      <w:sz w:val="21"/>
                      <w:szCs w:val="21"/>
                    </w:rPr>
                    <w:t>dB</w:t>
                  </w:r>
                  <w:r>
                    <w:rPr>
                      <w:rFonts w:ascii="Times New Roman" w:hAnsi="Times New Roman" w:cs="Times New Roman"/>
                      <w:b/>
                      <w:bCs/>
                      <w:color w:val="auto"/>
                      <w:sz w:val="21"/>
                      <w:szCs w:val="21"/>
                    </w:rPr>
                    <w:t>（</w:t>
                  </w:r>
                  <w:r>
                    <w:rPr>
                      <w:rFonts w:ascii="Times New Roman" w:hAnsi="Times New Roman" w:eastAsia="Times New Roman" w:cs="Times New Roman"/>
                      <w:b/>
                      <w:bCs/>
                      <w:color w:val="auto"/>
                      <w:sz w:val="21"/>
                      <w:szCs w:val="21"/>
                    </w:rPr>
                    <w:t>A</w:t>
                  </w:r>
                  <w:r>
                    <w:rPr>
                      <w:rFonts w:ascii="Times New Roman" w:hAnsi="Times New Roman" w:cs="Times New Roman"/>
                      <w:b/>
                      <w:bCs/>
                      <w:color w:val="auto"/>
                      <w:sz w:val="21"/>
                      <w:szCs w:val="21"/>
                    </w:rPr>
                    <w:t>）</w:t>
                  </w:r>
                </w:p>
              </w:tc>
              <w:tc>
                <w:tcPr>
                  <w:tcW w:w="2094" w:type="dxa"/>
                  <w:vAlign w:val="center"/>
                </w:tcPr>
                <w:p>
                  <w:pPr>
                    <w:pStyle w:val="33"/>
                    <w:spacing w:line="240" w:lineRule="auto"/>
                    <w:ind w:firstLine="0" w:firstLineChars="0"/>
                    <w:rPr>
                      <w:rFonts w:ascii="Times New Roman" w:hAnsi="Times New Roman" w:cs="Times New Roman"/>
                      <w:b/>
                      <w:bCs/>
                      <w:color w:val="auto"/>
                      <w:sz w:val="21"/>
                      <w:szCs w:val="21"/>
                    </w:rPr>
                  </w:pPr>
                  <w:r>
                    <w:rPr>
                      <w:rFonts w:ascii="Times New Roman" w:hAnsi="Times New Roman" w:cs="Times New Roman"/>
                      <w:b/>
                      <w:bCs/>
                      <w:color w:val="auto"/>
                      <w:sz w:val="21"/>
                      <w:szCs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09" w:type="dxa"/>
                  <w:vAlign w:val="center"/>
                </w:tcPr>
                <w:p>
                  <w:pPr>
                    <w:pStyle w:val="3"/>
                    <w:ind w:firstLine="0" w:firstLineChars="0"/>
                    <w:jc w:val="center"/>
                    <w:rPr>
                      <w:color w:val="auto"/>
                      <w:sz w:val="21"/>
                      <w:szCs w:val="21"/>
                    </w:rPr>
                  </w:pPr>
                  <w:r>
                    <w:rPr>
                      <w:rFonts w:eastAsiaTheme="minorEastAsia"/>
                      <w:color w:val="auto"/>
                      <w:sz w:val="21"/>
                      <w:szCs w:val="21"/>
                    </w:rPr>
                    <w:t>1</w:t>
                  </w:r>
                </w:p>
              </w:tc>
              <w:tc>
                <w:tcPr>
                  <w:tcW w:w="2112" w:type="dxa"/>
                  <w:vAlign w:val="center"/>
                </w:tcPr>
                <w:p>
                  <w:pPr>
                    <w:pStyle w:val="3"/>
                    <w:ind w:firstLine="0" w:firstLineChars="0"/>
                    <w:jc w:val="center"/>
                    <w:rPr>
                      <w:color w:val="auto"/>
                      <w:sz w:val="21"/>
                      <w:szCs w:val="21"/>
                    </w:rPr>
                  </w:pPr>
                  <w:r>
                    <w:rPr>
                      <w:rFonts w:hint="eastAsia" w:eastAsiaTheme="minorEastAsia"/>
                      <w:color w:val="auto"/>
                      <w:sz w:val="21"/>
                      <w:szCs w:val="21"/>
                    </w:rPr>
                    <w:t>破碎机</w:t>
                  </w:r>
                </w:p>
              </w:tc>
              <w:tc>
                <w:tcPr>
                  <w:tcW w:w="1047" w:type="dxa"/>
                  <w:vAlign w:val="center"/>
                </w:tcPr>
                <w:p>
                  <w:pPr>
                    <w:pStyle w:val="3"/>
                    <w:ind w:firstLine="0" w:firstLineChars="0"/>
                    <w:jc w:val="center"/>
                    <w:rPr>
                      <w:color w:val="auto"/>
                      <w:sz w:val="21"/>
                      <w:szCs w:val="21"/>
                    </w:rPr>
                  </w:pPr>
                  <w:r>
                    <w:rPr>
                      <w:rFonts w:hint="eastAsia"/>
                      <w:color w:val="auto"/>
                      <w:sz w:val="21"/>
                      <w:szCs w:val="21"/>
                    </w:rPr>
                    <w:t>1</w:t>
                  </w:r>
                </w:p>
              </w:tc>
              <w:tc>
                <w:tcPr>
                  <w:tcW w:w="1934" w:type="dxa"/>
                  <w:vAlign w:val="center"/>
                </w:tcPr>
                <w:p>
                  <w:pPr>
                    <w:pStyle w:val="3"/>
                    <w:ind w:firstLine="0" w:firstLineChars="0"/>
                    <w:jc w:val="center"/>
                    <w:rPr>
                      <w:color w:val="auto"/>
                      <w:sz w:val="21"/>
                      <w:szCs w:val="21"/>
                    </w:rPr>
                  </w:pPr>
                  <w:r>
                    <w:rPr>
                      <w:rFonts w:hint="eastAsia"/>
                      <w:color w:val="auto"/>
                      <w:sz w:val="21"/>
                      <w:szCs w:val="21"/>
                    </w:rPr>
                    <w:t>90</w:t>
                  </w:r>
                </w:p>
              </w:tc>
              <w:tc>
                <w:tcPr>
                  <w:tcW w:w="2094" w:type="dxa"/>
                  <w:vAlign w:val="center"/>
                </w:tcPr>
                <w:p>
                  <w:pPr>
                    <w:pStyle w:val="3"/>
                    <w:ind w:firstLine="0" w:firstLineChars="0"/>
                    <w:jc w:val="center"/>
                    <w:rPr>
                      <w:color w:val="auto"/>
                      <w:sz w:val="21"/>
                      <w:szCs w:val="21"/>
                    </w:rPr>
                  </w:pPr>
                  <w:r>
                    <w:rPr>
                      <w:color w:val="auto"/>
                      <w:kern w:val="0"/>
                      <w:sz w:val="21"/>
                      <w:szCs w:val="21"/>
                    </w:rPr>
                    <w:t>基础减震、厂房隔声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09" w:type="dxa"/>
                  <w:vAlign w:val="center"/>
                </w:tcPr>
                <w:p>
                  <w:pPr>
                    <w:pStyle w:val="3"/>
                    <w:ind w:firstLine="0" w:firstLineChars="0"/>
                    <w:jc w:val="center"/>
                    <w:rPr>
                      <w:color w:val="auto"/>
                      <w:sz w:val="21"/>
                      <w:szCs w:val="21"/>
                    </w:rPr>
                  </w:pPr>
                  <w:r>
                    <w:rPr>
                      <w:rFonts w:eastAsiaTheme="minorEastAsia"/>
                      <w:color w:val="auto"/>
                      <w:sz w:val="21"/>
                      <w:szCs w:val="21"/>
                    </w:rPr>
                    <w:t>2</w:t>
                  </w:r>
                </w:p>
              </w:tc>
              <w:tc>
                <w:tcPr>
                  <w:tcW w:w="2112" w:type="dxa"/>
                  <w:vAlign w:val="center"/>
                </w:tcPr>
                <w:p>
                  <w:pPr>
                    <w:pStyle w:val="3"/>
                    <w:ind w:firstLine="0" w:firstLineChars="0"/>
                    <w:jc w:val="center"/>
                    <w:rPr>
                      <w:color w:val="auto"/>
                      <w:sz w:val="21"/>
                      <w:szCs w:val="21"/>
                    </w:rPr>
                  </w:pPr>
                  <w:r>
                    <w:rPr>
                      <w:rFonts w:hint="eastAsia" w:eastAsiaTheme="minorEastAsia"/>
                      <w:color w:val="auto"/>
                      <w:sz w:val="21"/>
                      <w:szCs w:val="21"/>
                    </w:rPr>
                    <w:t>打砂</w:t>
                  </w:r>
                  <w:r>
                    <w:rPr>
                      <w:rFonts w:eastAsiaTheme="minorEastAsia"/>
                      <w:color w:val="auto"/>
                      <w:sz w:val="21"/>
                      <w:szCs w:val="21"/>
                    </w:rPr>
                    <w:t>机</w:t>
                  </w:r>
                </w:p>
              </w:tc>
              <w:tc>
                <w:tcPr>
                  <w:tcW w:w="1047" w:type="dxa"/>
                  <w:vAlign w:val="center"/>
                </w:tcPr>
                <w:p>
                  <w:pPr>
                    <w:pStyle w:val="3"/>
                    <w:ind w:firstLine="0" w:firstLineChars="0"/>
                    <w:jc w:val="center"/>
                    <w:rPr>
                      <w:color w:val="auto"/>
                      <w:sz w:val="21"/>
                      <w:szCs w:val="21"/>
                    </w:rPr>
                  </w:pPr>
                  <w:r>
                    <w:rPr>
                      <w:rFonts w:hint="eastAsia"/>
                      <w:color w:val="auto"/>
                      <w:sz w:val="21"/>
                      <w:szCs w:val="21"/>
                    </w:rPr>
                    <w:t>1</w:t>
                  </w:r>
                </w:p>
              </w:tc>
              <w:tc>
                <w:tcPr>
                  <w:tcW w:w="1934" w:type="dxa"/>
                  <w:vAlign w:val="center"/>
                </w:tcPr>
                <w:p>
                  <w:pPr>
                    <w:pStyle w:val="3"/>
                    <w:ind w:firstLine="0" w:firstLineChars="0"/>
                    <w:jc w:val="center"/>
                    <w:rPr>
                      <w:color w:val="auto"/>
                      <w:sz w:val="21"/>
                      <w:szCs w:val="21"/>
                    </w:rPr>
                  </w:pPr>
                  <w:r>
                    <w:rPr>
                      <w:rFonts w:hint="eastAsia"/>
                      <w:color w:val="auto"/>
                      <w:sz w:val="21"/>
                      <w:szCs w:val="21"/>
                    </w:rPr>
                    <w:t>85</w:t>
                  </w:r>
                </w:p>
              </w:tc>
              <w:tc>
                <w:tcPr>
                  <w:tcW w:w="2094" w:type="dxa"/>
                  <w:vAlign w:val="center"/>
                </w:tcPr>
                <w:p>
                  <w:pPr>
                    <w:spacing w:line="240" w:lineRule="auto"/>
                    <w:ind w:firstLine="0" w:firstLineChars="0"/>
                    <w:jc w:val="center"/>
                    <w:rPr>
                      <w:color w:val="auto"/>
                      <w:sz w:val="21"/>
                      <w:szCs w:val="21"/>
                    </w:rPr>
                  </w:pPr>
                  <w:r>
                    <w:rPr>
                      <w:color w:val="auto"/>
                      <w:kern w:val="0"/>
                      <w:sz w:val="21"/>
                      <w:szCs w:val="21"/>
                    </w:rPr>
                    <w:t>基础减震、厂房隔声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09" w:type="dxa"/>
                  <w:vAlign w:val="center"/>
                </w:tcPr>
                <w:p>
                  <w:pPr>
                    <w:pStyle w:val="3"/>
                    <w:ind w:firstLine="0" w:firstLineChars="0"/>
                    <w:jc w:val="center"/>
                    <w:rPr>
                      <w:color w:val="auto"/>
                      <w:sz w:val="21"/>
                      <w:szCs w:val="21"/>
                    </w:rPr>
                  </w:pPr>
                  <w:r>
                    <w:rPr>
                      <w:color w:val="auto"/>
                      <w:sz w:val="21"/>
                      <w:szCs w:val="21"/>
                    </w:rPr>
                    <w:t>3</w:t>
                  </w:r>
                </w:p>
              </w:tc>
              <w:tc>
                <w:tcPr>
                  <w:tcW w:w="2112" w:type="dxa"/>
                  <w:vAlign w:val="center"/>
                </w:tcPr>
                <w:p>
                  <w:pPr>
                    <w:pStyle w:val="3"/>
                    <w:ind w:firstLine="0" w:firstLineChars="0"/>
                    <w:jc w:val="center"/>
                    <w:rPr>
                      <w:color w:val="auto"/>
                      <w:sz w:val="21"/>
                      <w:szCs w:val="21"/>
                    </w:rPr>
                  </w:pPr>
                  <w:r>
                    <w:rPr>
                      <w:color w:val="auto"/>
                      <w:sz w:val="21"/>
                      <w:szCs w:val="21"/>
                    </w:rPr>
                    <w:t>输送</w:t>
                  </w:r>
                  <w:r>
                    <w:rPr>
                      <w:rFonts w:hint="eastAsia"/>
                      <w:color w:val="auto"/>
                      <w:sz w:val="21"/>
                      <w:szCs w:val="21"/>
                    </w:rPr>
                    <w:t>带</w:t>
                  </w:r>
                </w:p>
              </w:tc>
              <w:tc>
                <w:tcPr>
                  <w:tcW w:w="1047" w:type="dxa"/>
                  <w:vAlign w:val="center"/>
                </w:tcPr>
                <w:p>
                  <w:pPr>
                    <w:pStyle w:val="3"/>
                    <w:ind w:firstLine="0" w:firstLineChars="0"/>
                    <w:jc w:val="center"/>
                    <w:rPr>
                      <w:color w:val="auto"/>
                      <w:sz w:val="21"/>
                      <w:szCs w:val="21"/>
                    </w:rPr>
                  </w:pPr>
                  <w:r>
                    <w:rPr>
                      <w:rFonts w:hint="eastAsia"/>
                      <w:color w:val="auto"/>
                      <w:sz w:val="21"/>
                      <w:szCs w:val="21"/>
                    </w:rPr>
                    <w:t>1</w:t>
                  </w:r>
                </w:p>
              </w:tc>
              <w:tc>
                <w:tcPr>
                  <w:tcW w:w="1934" w:type="dxa"/>
                  <w:vAlign w:val="center"/>
                </w:tcPr>
                <w:p>
                  <w:pPr>
                    <w:pStyle w:val="3"/>
                    <w:ind w:firstLine="0" w:firstLineChars="0"/>
                    <w:jc w:val="center"/>
                    <w:rPr>
                      <w:color w:val="auto"/>
                      <w:sz w:val="21"/>
                      <w:szCs w:val="21"/>
                    </w:rPr>
                  </w:pPr>
                  <w:r>
                    <w:rPr>
                      <w:rFonts w:hint="eastAsia"/>
                      <w:color w:val="auto"/>
                      <w:sz w:val="21"/>
                      <w:szCs w:val="21"/>
                    </w:rPr>
                    <w:t>75</w:t>
                  </w:r>
                </w:p>
              </w:tc>
              <w:tc>
                <w:tcPr>
                  <w:tcW w:w="2094" w:type="dxa"/>
                  <w:vAlign w:val="center"/>
                </w:tcPr>
                <w:p>
                  <w:pPr>
                    <w:spacing w:line="240" w:lineRule="auto"/>
                    <w:ind w:firstLine="0" w:firstLineChars="0"/>
                    <w:jc w:val="center"/>
                    <w:rPr>
                      <w:color w:val="auto"/>
                      <w:sz w:val="21"/>
                      <w:szCs w:val="21"/>
                    </w:rPr>
                  </w:pPr>
                  <w:r>
                    <w:rPr>
                      <w:color w:val="auto"/>
                      <w:kern w:val="0"/>
                      <w:sz w:val="21"/>
                      <w:szCs w:val="21"/>
                    </w:rPr>
                    <w:t>基础减震、厂房隔声</w:t>
                  </w:r>
                </w:p>
              </w:tc>
            </w:tr>
          </w:tbl>
          <w:p>
            <w:pPr>
              <w:pStyle w:val="3"/>
              <w:ind w:firstLine="482"/>
              <w:rPr>
                <w:rStyle w:val="26"/>
                <w:b/>
                <w:bCs/>
                <w:color w:val="auto"/>
                <w:sz w:val="24"/>
                <w:szCs w:val="24"/>
              </w:rPr>
            </w:pPr>
            <w:r>
              <w:rPr>
                <w:rStyle w:val="26"/>
                <w:rFonts w:hint="eastAsia"/>
                <w:b/>
                <w:bCs/>
                <w:color w:val="auto"/>
                <w:sz w:val="24"/>
                <w:szCs w:val="24"/>
              </w:rPr>
              <w:t>（4）固体废物</w:t>
            </w:r>
          </w:p>
          <w:p>
            <w:pPr>
              <w:snapToGrid w:val="0"/>
              <w:ind w:firstLine="480"/>
              <w:rPr>
                <w:color w:val="auto"/>
              </w:rPr>
            </w:pPr>
            <w:r>
              <w:rPr>
                <w:rFonts w:hint="eastAsia"/>
                <w:color w:val="auto"/>
              </w:rPr>
              <w:t>本项目员工依托原有不产生新的生活垃圾，故本项目固体废物主要为除尘器收集及</w:t>
            </w:r>
            <w:r>
              <w:rPr>
                <w:rFonts w:hint="eastAsia"/>
                <w:color w:val="auto"/>
                <w:lang w:eastAsia="zh-CN"/>
              </w:rPr>
              <w:t>破碎车间沉降粉尘</w:t>
            </w:r>
            <w:r>
              <w:rPr>
                <w:rFonts w:hint="eastAsia"/>
                <w:color w:val="auto"/>
              </w:rPr>
              <w:t>、废机油、</w:t>
            </w:r>
            <w:r>
              <w:rPr>
                <w:rFonts w:hint="eastAsia"/>
                <w:bCs/>
                <w:color w:val="auto"/>
              </w:rPr>
              <w:t>含油抹布及手套</w:t>
            </w:r>
            <w:r>
              <w:rPr>
                <w:rFonts w:hint="eastAsia"/>
                <w:color w:val="auto"/>
              </w:rPr>
              <w:t>。</w:t>
            </w:r>
          </w:p>
          <w:p>
            <w:pPr>
              <w:ind w:left="480" w:leftChars="200" w:firstLine="0" w:firstLineChars="0"/>
              <w:rPr>
                <w:rFonts w:hint="eastAsia" w:eastAsia="宋体"/>
                <w:color w:val="auto"/>
                <w:lang w:eastAsia="zh-CN"/>
              </w:rPr>
            </w:pPr>
            <w:r>
              <w:rPr>
                <w:rFonts w:hint="eastAsia"/>
                <w:color w:val="auto"/>
              </w:rPr>
              <w:t>1）除尘器收集</w:t>
            </w:r>
            <w:r>
              <w:rPr>
                <w:rFonts w:hint="eastAsia"/>
                <w:color w:val="auto"/>
                <w:lang w:eastAsia="zh-CN"/>
              </w:rPr>
              <w:t>粉尘</w:t>
            </w:r>
            <w:r>
              <w:rPr>
                <w:rFonts w:hint="eastAsia"/>
                <w:color w:val="auto"/>
              </w:rPr>
              <w:t>及</w:t>
            </w:r>
            <w:r>
              <w:rPr>
                <w:rFonts w:hint="eastAsia"/>
                <w:color w:val="auto"/>
                <w:lang w:eastAsia="zh-CN"/>
              </w:rPr>
              <w:t>破碎车间沉降粉尘</w:t>
            </w:r>
          </w:p>
          <w:p>
            <w:pPr>
              <w:ind w:firstLine="480"/>
              <w:rPr>
                <w:color w:val="auto"/>
              </w:rPr>
            </w:pPr>
            <w:r>
              <w:rPr>
                <w:rFonts w:hint="eastAsia"/>
                <w:color w:val="auto"/>
              </w:rPr>
              <w:t>除尘器收集的粉尘产生量为0.7344t/a，</w:t>
            </w:r>
            <w:r>
              <w:rPr>
                <w:rFonts w:hint="eastAsia"/>
                <w:color w:val="auto"/>
                <w:lang w:eastAsia="zh-CN"/>
              </w:rPr>
              <w:t>破碎车间</w:t>
            </w:r>
            <w:r>
              <w:rPr>
                <w:rFonts w:hint="eastAsia"/>
                <w:color w:val="auto"/>
              </w:rPr>
              <w:t>沉降的粉尘产生量为</w:t>
            </w:r>
            <w:r>
              <w:rPr>
                <w:rFonts w:hint="eastAsia"/>
                <w:color w:val="auto"/>
                <w:lang w:val="en-US" w:eastAsia="zh-CN"/>
              </w:rPr>
              <w:t>0.9</w:t>
            </w:r>
            <w:r>
              <w:rPr>
                <w:rFonts w:hint="eastAsia"/>
                <w:color w:val="auto"/>
              </w:rPr>
              <w:t>t/a，共1.</w:t>
            </w:r>
            <w:r>
              <w:rPr>
                <w:rFonts w:hint="eastAsia"/>
                <w:color w:val="auto"/>
                <w:lang w:val="en-US" w:eastAsia="zh-CN"/>
              </w:rPr>
              <w:t>634</w:t>
            </w:r>
            <w:r>
              <w:rPr>
                <w:rFonts w:hint="eastAsia"/>
                <w:color w:val="auto"/>
              </w:rPr>
              <w:t>4t/a，收集后</w:t>
            </w:r>
            <w:r>
              <w:rPr>
                <w:rFonts w:hint="eastAsia"/>
                <w:color w:val="auto"/>
                <w:lang w:eastAsia="zh-CN"/>
              </w:rPr>
              <w:t>作为成品售卖</w:t>
            </w:r>
            <w:r>
              <w:rPr>
                <w:rFonts w:hint="eastAsia"/>
                <w:color w:val="auto"/>
              </w:rPr>
              <w:t>。</w:t>
            </w:r>
          </w:p>
          <w:p>
            <w:pPr>
              <w:numPr>
                <w:ilvl w:val="0"/>
                <w:numId w:val="0"/>
              </w:numPr>
              <w:ind w:firstLine="480" w:firstLineChars="200"/>
              <w:rPr>
                <w:color w:val="auto"/>
              </w:rPr>
            </w:pPr>
            <w:r>
              <w:rPr>
                <w:rFonts w:hint="eastAsia"/>
                <w:color w:val="auto"/>
                <w:lang w:val="en-US" w:eastAsia="zh-CN"/>
              </w:rPr>
              <w:t>2）</w:t>
            </w:r>
            <w:r>
              <w:rPr>
                <w:rFonts w:hint="eastAsia"/>
                <w:color w:val="auto"/>
              </w:rPr>
              <w:t>生活垃圾</w:t>
            </w:r>
          </w:p>
          <w:p>
            <w:pPr>
              <w:spacing w:line="360" w:lineRule="auto"/>
              <w:ind w:firstLine="480" w:firstLineChars="200"/>
              <w:rPr>
                <w:color w:val="auto"/>
                <w:sz w:val="24"/>
              </w:rPr>
            </w:pPr>
            <w:r>
              <w:rPr>
                <w:rFonts w:hint="eastAsia"/>
                <w:color w:val="auto"/>
              </w:rPr>
              <w:t>本项目员工依托石材厂原有，不新增人员，</w:t>
            </w:r>
            <w:r>
              <w:rPr>
                <w:rFonts w:hint="eastAsia"/>
                <w:color w:val="auto"/>
                <w:lang w:eastAsia="zh-CN"/>
              </w:rPr>
              <w:t>石材厂</w:t>
            </w:r>
            <w:r>
              <w:rPr>
                <w:rFonts w:hint="eastAsia"/>
                <w:color w:val="auto"/>
                <w:sz w:val="24"/>
              </w:rPr>
              <w:t>劳动定员10人，生活垃圾按0.5kg/人·天计算，产生的生活垃圾总量为5kg/d（1.5t/a），分类收集生活垃圾，定期清运至周边村庄指定的垃圾堆存点。</w:t>
            </w:r>
          </w:p>
          <w:p>
            <w:pPr>
              <w:snapToGrid w:val="0"/>
              <w:spacing w:line="360" w:lineRule="auto"/>
              <w:ind w:firstLine="480"/>
              <w:rPr>
                <w:b w:val="0"/>
                <w:bCs/>
                <w:color w:val="auto"/>
                <w:sz w:val="24"/>
              </w:rPr>
            </w:pPr>
            <w:r>
              <w:rPr>
                <w:rFonts w:hint="eastAsia"/>
                <w:b w:val="0"/>
                <w:bCs/>
                <w:color w:val="auto"/>
                <w:sz w:val="24"/>
                <w:lang w:val="en-US" w:eastAsia="zh-CN"/>
              </w:rPr>
              <w:t>3）</w:t>
            </w:r>
            <w:r>
              <w:rPr>
                <w:rFonts w:hint="eastAsia"/>
                <w:b w:val="0"/>
                <w:bCs/>
                <w:color w:val="auto"/>
                <w:sz w:val="24"/>
              </w:rPr>
              <w:t>隔油池浮油</w:t>
            </w:r>
          </w:p>
          <w:p>
            <w:pPr>
              <w:snapToGrid w:val="0"/>
              <w:spacing w:line="360" w:lineRule="auto"/>
              <w:ind w:firstLine="480" w:firstLineChars="200"/>
              <w:rPr>
                <w:color w:val="auto"/>
                <w:sz w:val="24"/>
              </w:rPr>
            </w:pPr>
            <w:r>
              <w:rPr>
                <w:rFonts w:hint="eastAsia"/>
                <w:color w:val="auto"/>
                <w:sz w:val="24"/>
              </w:rPr>
              <w:t>本项目食堂废水经隔油池处理过程中，浮油产生量约为0.1kg/d，0.03t/a。浮油须委托有资质的单位进行处理。</w:t>
            </w:r>
          </w:p>
          <w:p>
            <w:pPr>
              <w:tabs>
                <w:tab w:val="left" w:pos="5368"/>
              </w:tabs>
              <w:snapToGrid w:val="0"/>
              <w:spacing w:line="360" w:lineRule="auto"/>
              <w:ind w:firstLine="480" w:firstLineChars="200"/>
              <w:rPr>
                <w:b w:val="0"/>
                <w:bCs/>
                <w:color w:val="auto"/>
                <w:sz w:val="24"/>
              </w:rPr>
            </w:pPr>
            <w:r>
              <w:rPr>
                <w:rFonts w:hint="eastAsia"/>
                <w:b w:val="0"/>
                <w:bCs/>
                <w:color w:val="auto"/>
                <w:sz w:val="24"/>
                <w:lang w:val="en-US" w:eastAsia="zh-CN"/>
              </w:rPr>
              <w:t>4）</w:t>
            </w:r>
            <w:r>
              <w:rPr>
                <w:rFonts w:hint="eastAsia"/>
                <w:b w:val="0"/>
                <w:bCs/>
                <w:color w:val="auto"/>
                <w:sz w:val="24"/>
              </w:rPr>
              <w:t>食堂泔水</w:t>
            </w:r>
          </w:p>
          <w:p>
            <w:pPr>
              <w:tabs>
                <w:tab w:val="left" w:pos="5368"/>
              </w:tabs>
              <w:snapToGrid w:val="0"/>
              <w:spacing w:line="360" w:lineRule="auto"/>
              <w:ind w:firstLine="480" w:firstLineChars="200"/>
              <w:rPr>
                <w:color w:val="auto"/>
                <w:sz w:val="24"/>
              </w:rPr>
            </w:pPr>
            <w:r>
              <w:rPr>
                <w:rFonts w:hint="eastAsia"/>
                <w:color w:val="auto"/>
                <w:sz w:val="24"/>
              </w:rPr>
              <w:t>项目供餐人数为</w:t>
            </w:r>
            <w:r>
              <w:rPr>
                <w:rFonts w:hint="eastAsia"/>
                <w:color w:val="auto"/>
                <w:sz w:val="24"/>
                <w:lang w:val="en-US" w:eastAsia="zh-CN"/>
              </w:rPr>
              <w:t>10</w:t>
            </w:r>
            <w:r>
              <w:rPr>
                <w:rFonts w:hint="eastAsia"/>
                <w:color w:val="auto"/>
                <w:sz w:val="24"/>
              </w:rPr>
              <w:t>人，餐饮过程中会产生食堂泔水及隔油池浮油，其中泔水产生量约为</w:t>
            </w:r>
            <w:r>
              <w:rPr>
                <w:rFonts w:hint="eastAsia"/>
                <w:color w:val="auto"/>
                <w:sz w:val="24"/>
                <w:lang w:val="en-US" w:eastAsia="zh-CN"/>
              </w:rPr>
              <w:t>2</w:t>
            </w:r>
            <w:r>
              <w:rPr>
                <w:rFonts w:hint="eastAsia"/>
                <w:color w:val="auto"/>
                <w:sz w:val="24"/>
              </w:rPr>
              <w:t>kg/d，</w:t>
            </w:r>
            <w:r>
              <w:rPr>
                <w:rFonts w:hint="eastAsia"/>
                <w:color w:val="auto"/>
                <w:sz w:val="24"/>
                <w:lang w:val="en-US" w:eastAsia="zh-CN"/>
              </w:rPr>
              <w:t>0.6</w:t>
            </w:r>
            <w:r>
              <w:rPr>
                <w:rFonts w:hint="eastAsia"/>
                <w:color w:val="auto"/>
                <w:sz w:val="24"/>
              </w:rPr>
              <w:t>t/a。食堂泔水经</w:t>
            </w:r>
            <w:r>
              <w:rPr>
                <w:rFonts w:hint="eastAsia"/>
                <w:color w:val="auto"/>
                <w:sz w:val="24"/>
                <w:lang w:val="en-US" w:eastAsia="zh-CN"/>
              </w:rPr>
              <w:t>2</w:t>
            </w:r>
            <w:r>
              <w:rPr>
                <w:rFonts w:hint="eastAsia"/>
                <w:color w:val="auto"/>
                <w:sz w:val="24"/>
              </w:rPr>
              <w:t>个容积为50L的泔水桶收集后，</w:t>
            </w:r>
            <w:r>
              <w:rPr>
                <w:rFonts w:hint="eastAsia"/>
                <w:color w:val="auto"/>
                <w:sz w:val="24"/>
                <w:lang w:eastAsia="zh-CN"/>
              </w:rPr>
              <w:t>由周围农户定期清运作为饲料</w:t>
            </w:r>
            <w:r>
              <w:rPr>
                <w:rFonts w:hint="eastAsia"/>
                <w:color w:val="auto"/>
                <w:sz w:val="24"/>
              </w:rPr>
              <w:t>。</w:t>
            </w:r>
          </w:p>
          <w:p>
            <w:pPr>
              <w:ind w:firstLine="480"/>
              <w:rPr>
                <w:color w:val="auto"/>
              </w:rPr>
            </w:pPr>
            <w:r>
              <w:rPr>
                <w:rFonts w:hint="eastAsia"/>
                <w:color w:val="auto"/>
                <w:lang w:val="en-US" w:eastAsia="zh-CN"/>
              </w:rPr>
              <w:t>5</w:t>
            </w:r>
            <w:r>
              <w:rPr>
                <w:rFonts w:hint="eastAsia"/>
                <w:color w:val="auto"/>
              </w:rPr>
              <w:t>）危险废物</w:t>
            </w:r>
          </w:p>
          <w:p>
            <w:pPr>
              <w:pStyle w:val="33"/>
              <w:tabs>
                <w:tab w:val="left" w:pos="1193"/>
              </w:tabs>
              <w:ind w:firstLine="480"/>
              <w:jc w:val="both"/>
              <w:rPr>
                <w:color w:val="FF0000"/>
              </w:rPr>
            </w:pPr>
            <w:r>
              <w:rPr>
                <w:color w:val="auto"/>
              </w:rPr>
              <w:t>对生产设备进行维修、更换润滑油过程会产生废矿物油及隔油池废油，均属于废矿物油。</w:t>
            </w:r>
            <w:r>
              <w:rPr>
                <w:rFonts w:hint="eastAsia"/>
                <w:color w:val="auto"/>
                <w:lang w:eastAsia="zh-CN"/>
              </w:rPr>
              <w:t>石材加工厂未设置危险废物暂存间，本次环评提出新设一危险废物暂存间，提供本项目和石材加工项目废机油暂存，</w:t>
            </w:r>
            <w:r>
              <w:rPr>
                <w:color w:val="auto"/>
              </w:rPr>
              <w:t>根据建设单位</w:t>
            </w:r>
            <w:r>
              <w:rPr>
                <w:rFonts w:hint="eastAsia"/>
                <w:color w:val="auto"/>
                <w:lang w:eastAsia="zh-CN"/>
              </w:rPr>
              <w:t>实际生产过程中石材加工项目</w:t>
            </w:r>
            <w:r>
              <w:rPr>
                <w:color w:val="auto"/>
              </w:rPr>
              <w:t xml:space="preserve">废矿物油产生量约为 </w:t>
            </w:r>
            <w:r>
              <w:rPr>
                <w:rFonts w:ascii="Times New Roman" w:eastAsia="Times New Roman"/>
                <w:color w:val="auto"/>
              </w:rPr>
              <w:t>0.</w:t>
            </w:r>
            <w:r>
              <w:rPr>
                <w:rFonts w:hint="eastAsia" w:ascii="Times New Roman"/>
                <w:color w:val="auto"/>
              </w:rPr>
              <w:t>0</w:t>
            </w:r>
            <w:r>
              <w:rPr>
                <w:rFonts w:hint="eastAsia" w:ascii="Times New Roman"/>
                <w:color w:val="auto"/>
                <w:lang w:val="en-US" w:eastAsia="zh-CN"/>
              </w:rPr>
              <w:t>4</w:t>
            </w:r>
            <w:r>
              <w:rPr>
                <w:rFonts w:ascii="Times New Roman" w:eastAsia="Times New Roman"/>
                <w:color w:val="auto"/>
              </w:rPr>
              <w:t>t/a</w:t>
            </w:r>
            <w:r>
              <w:rPr>
                <w:rFonts w:hint="eastAsia" w:ascii="Times New Roman" w:eastAsia="宋体"/>
                <w:color w:val="auto"/>
                <w:lang w:eastAsia="zh-CN"/>
              </w:rPr>
              <w:t>，本项目约产生</w:t>
            </w:r>
            <w:r>
              <w:rPr>
                <w:rFonts w:hint="eastAsia" w:ascii="Times New Roman" w:eastAsia="宋体"/>
                <w:color w:val="auto"/>
                <w:lang w:val="en-US" w:eastAsia="zh-CN"/>
              </w:rPr>
              <w:t>0.01t/a，共产生0.05t/a</w:t>
            </w:r>
            <w:r>
              <w:rPr>
                <w:color w:val="auto"/>
              </w:rPr>
              <w:t>。根据《国家危险废物名录》（</w:t>
            </w:r>
            <w:r>
              <w:rPr>
                <w:rFonts w:ascii="Times New Roman" w:eastAsia="Times New Roman"/>
                <w:color w:val="auto"/>
              </w:rPr>
              <w:t>20</w:t>
            </w:r>
            <w:r>
              <w:rPr>
                <w:rFonts w:hint="eastAsia" w:ascii="Times New Roman"/>
                <w:color w:val="auto"/>
              </w:rPr>
              <w:t>21</w:t>
            </w:r>
            <w:r>
              <w:rPr>
                <w:rFonts w:ascii="Times New Roman" w:eastAsia="Times New Roman"/>
                <w:color w:val="auto"/>
              </w:rPr>
              <w:t xml:space="preserve"> </w:t>
            </w:r>
            <w:r>
              <w:rPr>
                <w:color w:val="auto"/>
              </w:rPr>
              <w:t xml:space="preserve">年），其属于危险废物，危险废物代码为 </w:t>
            </w:r>
            <w:r>
              <w:rPr>
                <w:rFonts w:ascii="Times New Roman" w:eastAsia="Times New Roman"/>
                <w:color w:val="auto"/>
              </w:rPr>
              <w:t>HW08</w:t>
            </w:r>
            <w:r>
              <w:rPr>
                <w:color w:val="auto"/>
              </w:rPr>
              <w:t>，</w:t>
            </w:r>
            <w:r>
              <w:rPr>
                <w:rFonts w:ascii="Times New Roman" w:eastAsia="Times New Roman"/>
                <w:color w:val="auto"/>
              </w:rPr>
              <w:t>900-214-08</w:t>
            </w:r>
            <w:r>
              <w:rPr>
                <w:color w:val="auto"/>
              </w:rPr>
              <w:t>。</w:t>
            </w:r>
            <w:r>
              <w:rPr>
                <w:rFonts w:hint="eastAsia"/>
                <w:color w:val="auto"/>
              </w:rPr>
              <w:t>项目区内废机油的最大储存量约为</w:t>
            </w:r>
            <w:r>
              <w:rPr>
                <w:rFonts w:ascii="Times New Roman" w:hAnsi="Times New Roman" w:cs="Times New Roman"/>
                <w:color w:val="auto"/>
              </w:rPr>
              <w:t>0.0</w:t>
            </w:r>
            <w:r>
              <w:rPr>
                <w:rFonts w:hint="eastAsia" w:ascii="Times New Roman" w:hAnsi="Times New Roman" w:cs="Times New Roman"/>
                <w:color w:val="auto"/>
                <w:lang w:val="en-US" w:eastAsia="zh-CN"/>
              </w:rPr>
              <w:t>2</w:t>
            </w:r>
            <w:r>
              <w:rPr>
                <w:rFonts w:ascii="Times New Roman" w:hAnsi="Times New Roman" w:cs="Times New Roman"/>
                <w:color w:val="auto"/>
              </w:rPr>
              <w:t>t</w:t>
            </w:r>
            <w:r>
              <w:rPr>
                <w:rFonts w:hint="eastAsia"/>
                <w:color w:val="auto"/>
              </w:rPr>
              <w:t>，</w:t>
            </w:r>
            <w:r>
              <w:rPr>
                <w:rFonts w:hint="default" w:ascii="Times New Roman" w:hAnsi="Times New Roman" w:cs="Times New Roman"/>
                <w:color w:val="auto"/>
              </w:rPr>
              <w:t>废机油经</w:t>
            </w:r>
            <w:r>
              <w:rPr>
                <w:rFonts w:hint="default" w:ascii="Times New Roman" w:hAnsi="Times New Roman" w:cs="Times New Roman"/>
                <w:color w:val="auto"/>
                <w:lang w:val="en-US" w:eastAsia="zh-CN"/>
              </w:rPr>
              <w:t>2</w:t>
            </w:r>
            <w:r>
              <w:rPr>
                <w:rFonts w:hint="default" w:ascii="Times New Roman" w:hAnsi="Times New Roman" w:cs="Times New Roman"/>
                <w:color w:val="auto"/>
              </w:rPr>
              <w:t>个容积</w:t>
            </w:r>
            <w:r>
              <w:rPr>
                <w:rFonts w:hint="eastAsia"/>
                <w:color w:val="auto"/>
              </w:rPr>
              <w:t>为</w:t>
            </w:r>
            <w:r>
              <w:rPr>
                <w:rFonts w:ascii="Times New Roman" w:hAnsi="Times New Roman" w:cs="Times New Roman"/>
                <w:color w:val="auto"/>
              </w:rPr>
              <w:t>50L</w:t>
            </w:r>
            <w:r>
              <w:rPr>
                <w:rFonts w:hint="eastAsia"/>
                <w:color w:val="auto"/>
              </w:rPr>
              <w:t>的废机油桶</w:t>
            </w:r>
            <w:r>
              <w:rPr>
                <w:color w:val="auto"/>
              </w:rPr>
              <w:t>收集后</w:t>
            </w:r>
            <w:r>
              <w:rPr>
                <w:rFonts w:hint="eastAsia"/>
                <w:color w:val="auto"/>
              </w:rPr>
              <w:t>在危废暂存间存放后，交由有资质的单位定期清运处置。</w:t>
            </w:r>
          </w:p>
          <w:p>
            <w:pPr>
              <w:pStyle w:val="27"/>
              <w:ind w:firstLine="0" w:firstLineChars="0"/>
              <w:jc w:val="center"/>
              <w:rPr>
                <w:b/>
                <w:bCs/>
              </w:rPr>
            </w:pPr>
            <w:r>
              <w:rPr>
                <w:rFonts w:hint="eastAsia"/>
                <w:b/>
                <w:bCs/>
              </w:rPr>
              <w:t>表5-5 项目危险废物产生情况一览表</w:t>
            </w:r>
          </w:p>
          <w:tbl>
            <w:tblPr>
              <w:tblStyle w:val="23"/>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85"/>
              <w:gridCol w:w="870"/>
              <w:gridCol w:w="945"/>
              <w:gridCol w:w="919"/>
              <w:gridCol w:w="427"/>
              <w:gridCol w:w="979"/>
              <w:gridCol w:w="720"/>
              <w:gridCol w:w="675"/>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28" w:type="dxa"/>
                  <w:vAlign w:val="center"/>
                </w:tcPr>
                <w:p>
                  <w:pPr>
                    <w:spacing w:line="240" w:lineRule="auto"/>
                    <w:ind w:firstLine="0" w:firstLineChars="0"/>
                    <w:rPr>
                      <w:rFonts w:eastAsiaTheme="minorEastAsia"/>
                      <w:b/>
                      <w:bCs/>
                      <w:sz w:val="21"/>
                      <w:szCs w:val="21"/>
                    </w:rPr>
                  </w:pPr>
                  <w:r>
                    <w:rPr>
                      <w:rFonts w:hint="eastAsia"/>
                      <w:b/>
                      <w:bCs/>
                      <w:sz w:val="21"/>
                      <w:szCs w:val="21"/>
                    </w:rPr>
                    <w:t>危险废物名称</w:t>
                  </w:r>
                </w:p>
              </w:tc>
              <w:tc>
                <w:tcPr>
                  <w:tcW w:w="885" w:type="dxa"/>
                  <w:vAlign w:val="center"/>
                </w:tcPr>
                <w:p>
                  <w:pPr>
                    <w:spacing w:line="240" w:lineRule="auto"/>
                    <w:ind w:firstLine="0" w:firstLineChars="0"/>
                    <w:rPr>
                      <w:rFonts w:eastAsiaTheme="minorEastAsia"/>
                      <w:b/>
                      <w:bCs/>
                      <w:sz w:val="21"/>
                      <w:szCs w:val="21"/>
                    </w:rPr>
                  </w:pPr>
                  <w:r>
                    <w:rPr>
                      <w:rFonts w:hint="eastAsia"/>
                      <w:b/>
                      <w:bCs/>
                      <w:sz w:val="21"/>
                      <w:szCs w:val="21"/>
                    </w:rPr>
                    <w:t>危险废物类别</w:t>
                  </w:r>
                </w:p>
              </w:tc>
              <w:tc>
                <w:tcPr>
                  <w:tcW w:w="870" w:type="dxa"/>
                  <w:vAlign w:val="center"/>
                </w:tcPr>
                <w:p>
                  <w:pPr>
                    <w:spacing w:line="240" w:lineRule="auto"/>
                    <w:ind w:firstLine="0" w:firstLineChars="0"/>
                    <w:jc w:val="center"/>
                    <w:rPr>
                      <w:rFonts w:eastAsiaTheme="minorEastAsia"/>
                      <w:b/>
                      <w:bCs/>
                      <w:sz w:val="21"/>
                      <w:szCs w:val="21"/>
                    </w:rPr>
                  </w:pPr>
                  <w:r>
                    <w:rPr>
                      <w:rFonts w:hint="eastAsia"/>
                      <w:b/>
                      <w:bCs/>
                      <w:sz w:val="21"/>
                      <w:szCs w:val="21"/>
                    </w:rPr>
                    <w:t>危险废物代码</w:t>
                  </w:r>
                </w:p>
              </w:tc>
              <w:tc>
                <w:tcPr>
                  <w:tcW w:w="945" w:type="dxa"/>
                  <w:vAlign w:val="center"/>
                </w:tcPr>
                <w:p>
                  <w:pPr>
                    <w:spacing w:line="240" w:lineRule="auto"/>
                    <w:ind w:firstLine="0" w:firstLineChars="0"/>
                    <w:jc w:val="center"/>
                    <w:rPr>
                      <w:rFonts w:eastAsiaTheme="minorEastAsia"/>
                      <w:b/>
                      <w:bCs/>
                      <w:sz w:val="21"/>
                      <w:szCs w:val="21"/>
                    </w:rPr>
                  </w:pPr>
                  <w:r>
                    <w:rPr>
                      <w:rFonts w:hint="eastAsia"/>
                      <w:b/>
                      <w:bCs/>
                      <w:sz w:val="21"/>
                      <w:szCs w:val="21"/>
                    </w:rPr>
                    <w:t>产生量</w:t>
                  </w:r>
                </w:p>
              </w:tc>
              <w:tc>
                <w:tcPr>
                  <w:tcW w:w="919" w:type="dxa"/>
                  <w:vAlign w:val="center"/>
                </w:tcPr>
                <w:p>
                  <w:pPr>
                    <w:spacing w:line="240" w:lineRule="auto"/>
                    <w:ind w:firstLine="0" w:firstLineChars="0"/>
                    <w:jc w:val="center"/>
                    <w:rPr>
                      <w:rFonts w:eastAsiaTheme="minorEastAsia"/>
                      <w:b/>
                      <w:bCs/>
                      <w:sz w:val="21"/>
                      <w:szCs w:val="21"/>
                    </w:rPr>
                  </w:pPr>
                  <w:r>
                    <w:rPr>
                      <w:rFonts w:hint="eastAsia"/>
                      <w:b/>
                      <w:bCs/>
                      <w:sz w:val="21"/>
                      <w:szCs w:val="21"/>
                    </w:rPr>
                    <w:t>产生工序及装置</w:t>
                  </w:r>
                </w:p>
              </w:tc>
              <w:tc>
                <w:tcPr>
                  <w:tcW w:w="427" w:type="dxa"/>
                  <w:vAlign w:val="center"/>
                </w:tcPr>
                <w:p>
                  <w:pPr>
                    <w:spacing w:line="240" w:lineRule="auto"/>
                    <w:ind w:firstLine="0" w:firstLineChars="0"/>
                    <w:jc w:val="center"/>
                    <w:rPr>
                      <w:rFonts w:eastAsiaTheme="minorEastAsia"/>
                      <w:b/>
                      <w:bCs/>
                      <w:sz w:val="21"/>
                      <w:szCs w:val="21"/>
                    </w:rPr>
                  </w:pPr>
                  <w:r>
                    <w:rPr>
                      <w:rFonts w:hint="eastAsia"/>
                      <w:b/>
                      <w:bCs/>
                      <w:sz w:val="21"/>
                      <w:szCs w:val="21"/>
                    </w:rPr>
                    <w:t>形态</w:t>
                  </w:r>
                </w:p>
              </w:tc>
              <w:tc>
                <w:tcPr>
                  <w:tcW w:w="979" w:type="dxa"/>
                  <w:vAlign w:val="center"/>
                </w:tcPr>
                <w:p>
                  <w:pPr>
                    <w:spacing w:line="240" w:lineRule="auto"/>
                    <w:ind w:firstLine="0" w:firstLineChars="0"/>
                    <w:jc w:val="center"/>
                    <w:rPr>
                      <w:rFonts w:eastAsiaTheme="minorEastAsia"/>
                      <w:b/>
                      <w:bCs/>
                      <w:sz w:val="21"/>
                      <w:szCs w:val="21"/>
                    </w:rPr>
                  </w:pPr>
                  <w:r>
                    <w:rPr>
                      <w:rFonts w:hint="eastAsia"/>
                      <w:b/>
                      <w:bCs/>
                      <w:sz w:val="21"/>
                      <w:szCs w:val="21"/>
                    </w:rPr>
                    <w:t>主要成分</w:t>
                  </w:r>
                </w:p>
              </w:tc>
              <w:tc>
                <w:tcPr>
                  <w:tcW w:w="720" w:type="dxa"/>
                  <w:vAlign w:val="center"/>
                </w:tcPr>
                <w:p>
                  <w:pPr>
                    <w:spacing w:line="240" w:lineRule="auto"/>
                    <w:ind w:firstLine="0" w:firstLineChars="0"/>
                    <w:jc w:val="center"/>
                    <w:rPr>
                      <w:rFonts w:eastAsiaTheme="minorEastAsia"/>
                      <w:b/>
                      <w:bCs/>
                      <w:sz w:val="21"/>
                      <w:szCs w:val="21"/>
                    </w:rPr>
                  </w:pPr>
                  <w:r>
                    <w:rPr>
                      <w:rFonts w:hint="eastAsia"/>
                      <w:b/>
                      <w:bCs/>
                      <w:sz w:val="21"/>
                      <w:szCs w:val="21"/>
                    </w:rPr>
                    <w:t>有害成分</w:t>
                  </w:r>
                </w:p>
              </w:tc>
              <w:tc>
                <w:tcPr>
                  <w:tcW w:w="675" w:type="dxa"/>
                  <w:vAlign w:val="center"/>
                </w:tcPr>
                <w:p>
                  <w:pPr>
                    <w:spacing w:line="240" w:lineRule="auto"/>
                    <w:ind w:firstLine="0" w:firstLineChars="0"/>
                    <w:jc w:val="center"/>
                    <w:rPr>
                      <w:rFonts w:eastAsiaTheme="minorEastAsia"/>
                      <w:b/>
                      <w:bCs/>
                      <w:sz w:val="21"/>
                      <w:szCs w:val="21"/>
                    </w:rPr>
                  </w:pPr>
                  <w:r>
                    <w:rPr>
                      <w:rFonts w:hint="eastAsia"/>
                      <w:b/>
                      <w:bCs/>
                      <w:sz w:val="21"/>
                      <w:szCs w:val="21"/>
                    </w:rPr>
                    <w:t>危险特性</w:t>
                  </w:r>
                </w:p>
              </w:tc>
              <w:tc>
                <w:tcPr>
                  <w:tcW w:w="1228" w:type="dxa"/>
                  <w:vAlign w:val="center"/>
                </w:tcPr>
                <w:p>
                  <w:pPr>
                    <w:spacing w:line="240" w:lineRule="auto"/>
                    <w:ind w:firstLine="0" w:firstLineChars="0"/>
                    <w:jc w:val="center"/>
                    <w:rPr>
                      <w:rFonts w:eastAsiaTheme="minorEastAsia"/>
                      <w:b/>
                      <w:bCs/>
                      <w:sz w:val="21"/>
                      <w:szCs w:val="21"/>
                    </w:rPr>
                  </w:pPr>
                  <w:r>
                    <w:rPr>
                      <w:rFonts w:hint="eastAsia"/>
                      <w:b/>
                      <w:bCs/>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28" w:type="dxa"/>
                  <w:vAlign w:val="center"/>
                </w:tcPr>
                <w:p>
                  <w:pPr>
                    <w:pStyle w:val="21"/>
                    <w:spacing w:line="240" w:lineRule="auto"/>
                    <w:ind w:firstLine="0" w:firstLineChars="0"/>
                    <w:rPr>
                      <w:rFonts w:ascii="Times New Roman" w:hAnsi="Times New Roman"/>
                      <w:sz w:val="21"/>
                      <w:szCs w:val="21"/>
                    </w:rPr>
                  </w:pPr>
                  <w:r>
                    <w:rPr>
                      <w:rFonts w:hint="eastAsia" w:ascii="Times New Roman" w:hAnsi="Times New Roman"/>
                      <w:sz w:val="21"/>
                      <w:szCs w:val="21"/>
                    </w:rPr>
                    <w:t>废矿物油</w:t>
                  </w:r>
                </w:p>
                <w:p>
                  <w:pPr>
                    <w:spacing w:line="240" w:lineRule="auto"/>
                    <w:ind w:firstLine="0" w:firstLineChars="0"/>
                    <w:jc w:val="center"/>
                    <w:rPr>
                      <w:sz w:val="21"/>
                      <w:szCs w:val="21"/>
                    </w:rPr>
                  </w:pPr>
                </w:p>
              </w:tc>
              <w:tc>
                <w:tcPr>
                  <w:tcW w:w="885" w:type="dxa"/>
                  <w:vAlign w:val="center"/>
                </w:tcPr>
                <w:p>
                  <w:pPr>
                    <w:spacing w:line="240" w:lineRule="auto"/>
                    <w:ind w:firstLine="0" w:firstLineChars="0"/>
                    <w:rPr>
                      <w:sz w:val="21"/>
                      <w:szCs w:val="21"/>
                    </w:rPr>
                  </w:pPr>
                  <w:r>
                    <w:rPr>
                      <w:rFonts w:eastAsia="Times New Roman"/>
                      <w:sz w:val="21"/>
                      <w:szCs w:val="21"/>
                    </w:rPr>
                    <w:t>HW08</w:t>
                  </w:r>
                </w:p>
              </w:tc>
              <w:tc>
                <w:tcPr>
                  <w:tcW w:w="870" w:type="dxa"/>
                  <w:vAlign w:val="center"/>
                </w:tcPr>
                <w:p>
                  <w:pPr>
                    <w:spacing w:line="240" w:lineRule="auto"/>
                    <w:ind w:firstLine="0" w:firstLineChars="0"/>
                    <w:rPr>
                      <w:sz w:val="21"/>
                      <w:szCs w:val="21"/>
                    </w:rPr>
                  </w:pPr>
                  <w:r>
                    <w:rPr>
                      <w:rFonts w:eastAsia="Times New Roman"/>
                      <w:sz w:val="21"/>
                      <w:szCs w:val="21"/>
                    </w:rPr>
                    <w:t>900-214-08</w:t>
                  </w:r>
                </w:p>
              </w:tc>
              <w:tc>
                <w:tcPr>
                  <w:tcW w:w="945" w:type="dxa"/>
                  <w:vAlign w:val="center"/>
                </w:tcPr>
                <w:p>
                  <w:pPr>
                    <w:spacing w:line="240" w:lineRule="auto"/>
                    <w:ind w:firstLine="0" w:firstLineChars="0"/>
                    <w:jc w:val="center"/>
                    <w:rPr>
                      <w:sz w:val="21"/>
                      <w:szCs w:val="21"/>
                    </w:rPr>
                  </w:pPr>
                  <w:r>
                    <w:rPr>
                      <w:color w:val="FF0000"/>
                      <w:sz w:val="21"/>
                      <w:szCs w:val="21"/>
                    </w:rPr>
                    <w:t>0.</w:t>
                  </w:r>
                  <w:r>
                    <w:rPr>
                      <w:rFonts w:hint="eastAsia"/>
                      <w:color w:val="FF0000"/>
                      <w:sz w:val="21"/>
                      <w:szCs w:val="21"/>
                    </w:rPr>
                    <w:t>0</w:t>
                  </w:r>
                  <w:r>
                    <w:rPr>
                      <w:rFonts w:hint="eastAsia"/>
                      <w:color w:val="FF0000"/>
                      <w:sz w:val="21"/>
                      <w:szCs w:val="21"/>
                      <w:lang w:val="en-US" w:eastAsia="zh-CN"/>
                    </w:rPr>
                    <w:t>2</w:t>
                  </w:r>
                  <w:r>
                    <w:rPr>
                      <w:color w:val="FF0000"/>
                      <w:sz w:val="21"/>
                      <w:szCs w:val="21"/>
                    </w:rPr>
                    <w:t>t/a</w:t>
                  </w:r>
                </w:p>
              </w:tc>
              <w:tc>
                <w:tcPr>
                  <w:tcW w:w="919" w:type="dxa"/>
                  <w:vAlign w:val="center"/>
                </w:tcPr>
                <w:p>
                  <w:pPr>
                    <w:spacing w:line="240" w:lineRule="auto"/>
                    <w:ind w:firstLine="0" w:firstLineChars="0"/>
                    <w:rPr>
                      <w:rFonts w:eastAsiaTheme="minorEastAsia"/>
                      <w:sz w:val="21"/>
                      <w:szCs w:val="21"/>
                    </w:rPr>
                  </w:pPr>
                  <w:r>
                    <w:rPr>
                      <w:rFonts w:hint="eastAsia" w:eastAsiaTheme="minorEastAsia"/>
                      <w:sz w:val="21"/>
                      <w:szCs w:val="21"/>
                    </w:rPr>
                    <w:t>设备维修保养</w:t>
                  </w:r>
                </w:p>
              </w:tc>
              <w:tc>
                <w:tcPr>
                  <w:tcW w:w="427" w:type="dxa"/>
                  <w:vAlign w:val="center"/>
                </w:tcPr>
                <w:p>
                  <w:pPr>
                    <w:spacing w:line="240" w:lineRule="auto"/>
                    <w:ind w:firstLine="0" w:firstLineChars="0"/>
                    <w:rPr>
                      <w:rFonts w:eastAsiaTheme="minorEastAsia"/>
                      <w:sz w:val="21"/>
                      <w:szCs w:val="21"/>
                    </w:rPr>
                  </w:pPr>
                  <w:r>
                    <w:rPr>
                      <w:rFonts w:hint="eastAsia" w:eastAsiaTheme="minorEastAsia"/>
                      <w:sz w:val="21"/>
                      <w:szCs w:val="21"/>
                    </w:rPr>
                    <w:t>液态</w:t>
                  </w:r>
                </w:p>
              </w:tc>
              <w:tc>
                <w:tcPr>
                  <w:tcW w:w="979" w:type="dxa"/>
                  <w:vAlign w:val="center"/>
                </w:tcPr>
                <w:p>
                  <w:pPr>
                    <w:spacing w:line="240" w:lineRule="auto"/>
                    <w:ind w:firstLine="0" w:firstLineChars="0"/>
                    <w:rPr>
                      <w:rFonts w:eastAsiaTheme="minorEastAsia"/>
                      <w:sz w:val="21"/>
                      <w:szCs w:val="21"/>
                    </w:rPr>
                  </w:pPr>
                  <w:r>
                    <w:rPr>
                      <w:rFonts w:hint="eastAsia" w:eastAsiaTheme="minorEastAsia"/>
                      <w:sz w:val="21"/>
                      <w:szCs w:val="21"/>
                    </w:rPr>
                    <w:t>多环芳烃(PAHs)、烯烃、苯系物</w:t>
                  </w:r>
                </w:p>
              </w:tc>
              <w:tc>
                <w:tcPr>
                  <w:tcW w:w="720" w:type="dxa"/>
                  <w:vAlign w:val="center"/>
                </w:tcPr>
                <w:p>
                  <w:pPr>
                    <w:spacing w:line="240" w:lineRule="auto"/>
                    <w:ind w:firstLine="0" w:firstLineChars="0"/>
                    <w:rPr>
                      <w:sz w:val="21"/>
                      <w:szCs w:val="21"/>
                    </w:rPr>
                  </w:pPr>
                  <w:r>
                    <w:rPr>
                      <w:rFonts w:hint="eastAsia"/>
                      <w:sz w:val="21"/>
                      <w:szCs w:val="21"/>
                    </w:rPr>
                    <w:t>易燃性</w:t>
                  </w:r>
                </w:p>
              </w:tc>
              <w:tc>
                <w:tcPr>
                  <w:tcW w:w="675" w:type="dxa"/>
                  <w:vAlign w:val="center"/>
                </w:tcPr>
                <w:p>
                  <w:pPr>
                    <w:spacing w:line="240" w:lineRule="auto"/>
                    <w:ind w:firstLine="0" w:firstLineChars="0"/>
                    <w:rPr>
                      <w:rFonts w:eastAsiaTheme="minorEastAsia"/>
                      <w:sz w:val="21"/>
                      <w:szCs w:val="21"/>
                    </w:rPr>
                  </w:pPr>
                  <w:r>
                    <w:rPr>
                      <w:rFonts w:hint="eastAsia" w:eastAsiaTheme="minorEastAsia"/>
                      <w:sz w:val="21"/>
                      <w:szCs w:val="21"/>
                    </w:rPr>
                    <w:t>T，1</w:t>
                  </w:r>
                </w:p>
              </w:tc>
              <w:tc>
                <w:tcPr>
                  <w:tcW w:w="1228" w:type="dxa"/>
                  <w:vAlign w:val="center"/>
                </w:tcPr>
                <w:p>
                  <w:pPr>
                    <w:spacing w:line="240" w:lineRule="auto"/>
                    <w:ind w:firstLine="0" w:firstLineChars="0"/>
                    <w:rPr>
                      <w:sz w:val="21"/>
                      <w:szCs w:val="21"/>
                    </w:rPr>
                  </w:pPr>
                  <w:r>
                    <w:rPr>
                      <w:rFonts w:hint="eastAsia"/>
                      <w:sz w:val="21"/>
                      <w:szCs w:val="21"/>
                    </w:rPr>
                    <w:t>在危废暂存间存放后</w:t>
                  </w:r>
                  <w:r>
                    <w:rPr>
                      <w:sz w:val="21"/>
                      <w:szCs w:val="21"/>
                    </w:rPr>
                    <w:t>，</w:t>
                  </w:r>
                  <w:r>
                    <w:rPr>
                      <w:rFonts w:hint="eastAsia"/>
                      <w:bCs/>
                      <w:sz w:val="21"/>
                      <w:szCs w:val="21"/>
                    </w:rPr>
                    <w:t>交由有资质的单位</w:t>
                  </w:r>
                  <w:r>
                    <w:rPr>
                      <w:bCs/>
                      <w:sz w:val="21"/>
                      <w:szCs w:val="21"/>
                    </w:rPr>
                    <w:t>定期清运处置。</w:t>
                  </w:r>
                </w:p>
              </w:tc>
            </w:tr>
          </w:tbl>
          <w:p>
            <w:pPr>
              <w:snapToGrid w:val="0"/>
              <w:ind w:firstLine="480"/>
              <w:rPr>
                <w:bCs/>
                <w:color w:val="000000" w:themeColor="text1"/>
              </w:rPr>
            </w:pPr>
            <w:r>
              <w:rPr>
                <w:rFonts w:hint="eastAsia"/>
                <w:bCs/>
                <w:color w:val="000000" w:themeColor="text1"/>
                <w:lang w:val="en-US" w:eastAsia="zh-CN"/>
              </w:rPr>
              <w:t>6</w:t>
            </w:r>
            <w:r>
              <w:rPr>
                <w:rFonts w:hint="eastAsia"/>
                <w:bCs/>
                <w:color w:val="000000" w:themeColor="text1"/>
              </w:rPr>
              <w:t>）含油抹布及手套</w:t>
            </w:r>
          </w:p>
          <w:p>
            <w:pPr>
              <w:snapToGrid w:val="0"/>
              <w:ind w:firstLine="480"/>
              <w:rPr>
                <w:rStyle w:val="26"/>
              </w:rPr>
            </w:pPr>
            <w:r>
              <w:rPr>
                <w:rFonts w:hint="eastAsia"/>
                <w:color w:val="auto"/>
                <w:sz w:val="24"/>
              </w:rPr>
              <w:t>设备养护维修过程中会产生含油手套、含油纱布等废物，产生量约0.01t/a。根据2016年6月14日发布的环境保护部令第39号《国家危险废物名录》（2016版）中，本项目产生的含油手套、纱布等属于“危险废物豁免管理清单”中代码为“900-041-49”的“废弃的含油抹布、劳保用品”，故按“名录要求”，本次产生的含油手套、纱布等属于豁免的危险废物，全过程不按危险废物管理，可与生活垃圾一起进行处理。</w:t>
            </w:r>
          </w:p>
        </w:tc>
      </w:tr>
    </w:tbl>
    <w:p>
      <w:pPr>
        <w:ind w:firstLine="480"/>
      </w:pPr>
      <w:r>
        <w:br w:type="page"/>
      </w:r>
    </w:p>
    <w:p>
      <w:pPr>
        <w:adjustRightInd w:val="0"/>
        <w:ind w:firstLine="0" w:firstLineChars="0"/>
        <w:jc w:val="left"/>
        <w:textAlignment w:val="baseline"/>
        <w:outlineLvl w:val="0"/>
        <w:rPr>
          <w:b/>
          <w:bCs/>
          <w:kern w:val="0"/>
          <w:sz w:val="30"/>
          <w:szCs w:val="30"/>
        </w:rPr>
      </w:pPr>
      <w:bookmarkStart w:id="50" w:name="_GoBack"/>
      <w:bookmarkEnd w:id="50"/>
      <w:bookmarkStart w:id="29" w:name="_Toc12918"/>
      <w:r>
        <w:rPr>
          <w:rFonts w:hint="eastAsia"/>
          <w:b/>
          <w:bCs/>
          <w:kern w:val="0"/>
          <w:sz w:val="30"/>
          <w:szCs w:val="30"/>
        </w:rPr>
        <w:t>表</w:t>
      </w:r>
      <w:r>
        <w:rPr>
          <w:b/>
          <w:bCs/>
          <w:kern w:val="0"/>
          <w:sz w:val="30"/>
          <w:szCs w:val="30"/>
        </w:rPr>
        <w:t>六、项目主要污染物产生及预计排放情况</w:t>
      </w:r>
      <w:bookmarkEnd w:id="27"/>
      <w:bookmarkEnd w:id="29"/>
    </w:p>
    <w:tbl>
      <w:tblPr>
        <w:tblStyle w:val="2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77"/>
        <w:gridCol w:w="1185"/>
        <w:gridCol w:w="1233"/>
        <w:gridCol w:w="1500"/>
        <w:gridCol w:w="1165"/>
        <w:gridCol w:w="179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color w:val="auto"/>
                <w:spacing w:val="-2"/>
                <w:sz w:val="21"/>
                <w:szCs w:val="21"/>
              </w:rPr>
            </w:pPr>
            <w:r>
              <w:rPr>
                <w:rFonts w:hint="eastAsia"/>
                <w:b/>
                <w:bCs/>
                <w:color w:val="auto"/>
                <w:spacing w:val="-2"/>
                <w:sz w:val="21"/>
                <w:szCs w:val="21"/>
              </w:rPr>
              <w:t>阶段</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b/>
                <w:bCs/>
                <w:color w:val="auto"/>
                <w:spacing w:val="-2"/>
                <w:sz w:val="21"/>
                <w:szCs w:val="21"/>
              </w:rPr>
            </w:pPr>
            <w:r>
              <w:rPr>
                <w:b/>
                <w:bCs/>
                <w:color w:val="auto"/>
                <w:spacing w:val="-20"/>
                <w:sz w:val="21"/>
                <w:szCs w:val="21"/>
              </w:rPr>
              <w:t>类 型</w:t>
            </w:r>
          </w:p>
          <w:p>
            <w:pPr>
              <w:spacing w:line="240" w:lineRule="auto"/>
              <w:ind w:firstLine="0" w:firstLineChars="0"/>
              <w:jc w:val="center"/>
              <w:rPr>
                <w:b/>
                <w:bCs/>
                <w:color w:val="auto"/>
                <w:spacing w:val="-2"/>
                <w:sz w:val="21"/>
                <w:szCs w:val="21"/>
              </w:rPr>
            </w:pPr>
            <w:r>
              <w:rPr>
                <w:b/>
                <w:bCs/>
                <w:color w:val="auto"/>
                <w:spacing w:val="-20"/>
                <w:sz w:val="21"/>
                <w:szCs w:val="21"/>
              </w:rPr>
              <w:t>项 目</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color w:val="auto"/>
                <w:spacing w:val="-2"/>
                <w:sz w:val="21"/>
                <w:szCs w:val="21"/>
              </w:rPr>
            </w:pPr>
            <w:r>
              <w:rPr>
                <w:b/>
                <w:bCs/>
                <w:color w:val="auto"/>
                <w:spacing w:val="-2"/>
                <w:sz w:val="21"/>
                <w:szCs w:val="21"/>
              </w:rPr>
              <w:t>排放源</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color w:val="auto"/>
                <w:spacing w:val="-2"/>
                <w:sz w:val="21"/>
                <w:szCs w:val="21"/>
              </w:rPr>
            </w:pPr>
            <w:r>
              <w:rPr>
                <w:b/>
                <w:bCs/>
                <w:color w:val="auto"/>
                <w:spacing w:val="-2"/>
                <w:sz w:val="21"/>
                <w:szCs w:val="21"/>
              </w:rPr>
              <w:t>污染物名称</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color w:val="auto"/>
                <w:spacing w:val="-2"/>
                <w:sz w:val="21"/>
                <w:szCs w:val="21"/>
              </w:rPr>
            </w:pPr>
            <w:r>
              <w:rPr>
                <w:b/>
                <w:bCs/>
                <w:color w:val="auto"/>
                <w:spacing w:val="-2"/>
                <w:sz w:val="21"/>
                <w:szCs w:val="21"/>
              </w:rPr>
              <w:t>处理前产生浓度及产生量</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color w:val="auto"/>
                <w:spacing w:val="-2"/>
                <w:sz w:val="21"/>
                <w:szCs w:val="21"/>
              </w:rPr>
            </w:pPr>
            <w:r>
              <w:rPr>
                <w:b/>
                <w:bCs/>
                <w:color w:val="auto"/>
                <w:spacing w:val="-2"/>
                <w:sz w:val="21"/>
                <w:szCs w:val="21"/>
              </w:rPr>
              <w:t>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7" w:type="dxa"/>
            <w:vMerge w:val="restart"/>
            <w:tcBorders>
              <w:top w:val="single" w:color="auto" w:sz="4" w:space="0"/>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r>
              <w:rPr>
                <w:color w:val="auto"/>
                <w:spacing w:val="-2"/>
                <w:sz w:val="21"/>
                <w:szCs w:val="21"/>
              </w:rPr>
              <w:t>施工期</w:t>
            </w:r>
          </w:p>
        </w:tc>
        <w:tc>
          <w:tcPr>
            <w:tcW w:w="977"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大气污染物</w:t>
            </w:r>
          </w:p>
        </w:tc>
        <w:tc>
          <w:tcPr>
            <w:tcW w:w="1185"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施工过程</w:t>
            </w:r>
          </w:p>
        </w:tc>
        <w:tc>
          <w:tcPr>
            <w:tcW w:w="1233"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施工扬尘</w:t>
            </w:r>
          </w:p>
        </w:tc>
        <w:tc>
          <w:tcPr>
            <w:tcW w:w="2665"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少量</w:t>
            </w:r>
          </w:p>
        </w:tc>
        <w:tc>
          <w:tcPr>
            <w:tcW w:w="2865" w:type="dxa"/>
            <w:gridSpan w:val="2"/>
            <w:tcBorders>
              <w:top w:val="single" w:color="auto" w:sz="4" w:space="0"/>
              <w:left w:val="single" w:color="auto" w:sz="4" w:space="0"/>
              <w:right w:val="single" w:color="auto" w:sz="4" w:space="0"/>
            </w:tcBorders>
            <w:vAlign w:val="center"/>
          </w:tcPr>
          <w:p>
            <w:pPr>
              <w:pStyle w:val="9"/>
              <w:spacing w:line="240" w:lineRule="auto"/>
              <w:ind w:firstLine="0" w:firstLineChars="0"/>
              <w:jc w:val="center"/>
              <w:rPr>
                <w:color w:val="auto"/>
                <w:sz w:val="21"/>
                <w:szCs w:val="21"/>
              </w:rPr>
            </w:pPr>
            <w:r>
              <w:rPr>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水污</w:t>
            </w:r>
          </w:p>
          <w:p>
            <w:pPr>
              <w:spacing w:line="240" w:lineRule="auto"/>
              <w:ind w:firstLine="0" w:firstLineChars="0"/>
              <w:jc w:val="center"/>
              <w:rPr>
                <w:color w:val="auto"/>
                <w:spacing w:val="-2"/>
                <w:sz w:val="21"/>
                <w:szCs w:val="21"/>
              </w:rPr>
            </w:pPr>
            <w:r>
              <w:rPr>
                <w:color w:val="auto"/>
                <w:spacing w:val="-2"/>
                <w:sz w:val="21"/>
                <w:szCs w:val="21"/>
              </w:rPr>
              <w:t>染物</w:t>
            </w:r>
          </w:p>
        </w:tc>
        <w:tc>
          <w:tcPr>
            <w:tcW w:w="1185"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施工人员</w:t>
            </w:r>
          </w:p>
        </w:tc>
        <w:tc>
          <w:tcPr>
            <w:tcW w:w="1233"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lang w:eastAsia="zh-CN"/>
              </w:rPr>
              <w:t>清洗</w:t>
            </w:r>
            <w:r>
              <w:rPr>
                <w:color w:val="auto"/>
                <w:spacing w:val="-2"/>
                <w:sz w:val="21"/>
                <w:szCs w:val="21"/>
              </w:rPr>
              <w:t>废水</w:t>
            </w:r>
          </w:p>
        </w:tc>
        <w:tc>
          <w:tcPr>
            <w:tcW w:w="2665"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少量</w:t>
            </w:r>
          </w:p>
        </w:tc>
        <w:tc>
          <w:tcPr>
            <w:tcW w:w="2865"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eastAsia="宋体"/>
                <w:color w:val="auto"/>
                <w:spacing w:val="-2"/>
                <w:sz w:val="21"/>
                <w:szCs w:val="21"/>
                <w:lang w:eastAsia="zh-CN"/>
              </w:rPr>
            </w:pPr>
            <w:r>
              <w:rPr>
                <w:rFonts w:hint="eastAsia"/>
                <w:spacing w:val="-2"/>
                <w:sz w:val="21"/>
                <w:szCs w:val="21"/>
              </w:rPr>
              <w:t>依托</w:t>
            </w:r>
            <w:r>
              <w:rPr>
                <w:rFonts w:hint="eastAsia"/>
                <w:spacing w:val="-2"/>
                <w:sz w:val="21"/>
                <w:szCs w:val="21"/>
                <w:lang w:eastAsia="zh-CN"/>
              </w:rPr>
              <w:t>石材加工</w:t>
            </w:r>
            <w:r>
              <w:rPr>
                <w:rFonts w:hint="eastAsia"/>
                <w:spacing w:val="-2"/>
                <w:sz w:val="21"/>
                <w:szCs w:val="21"/>
              </w:rPr>
              <w:t>项目生产沉淀池处理后用于洒水降尘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1185" w:type="dxa"/>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施工过程</w:t>
            </w:r>
          </w:p>
        </w:tc>
        <w:tc>
          <w:tcPr>
            <w:tcW w:w="1233"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施工废水</w:t>
            </w:r>
          </w:p>
        </w:tc>
        <w:tc>
          <w:tcPr>
            <w:tcW w:w="2665"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少量</w:t>
            </w:r>
          </w:p>
        </w:tc>
        <w:tc>
          <w:tcPr>
            <w:tcW w:w="2865"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spacing w:val="-2"/>
                <w:sz w:val="21"/>
                <w:szCs w:val="21"/>
              </w:rPr>
              <w:t>依托</w:t>
            </w:r>
            <w:r>
              <w:rPr>
                <w:rFonts w:hint="eastAsia"/>
                <w:spacing w:val="-2"/>
                <w:sz w:val="21"/>
                <w:szCs w:val="21"/>
                <w:lang w:eastAsia="zh-CN"/>
              </w:rPr>
              <w:t>石材加工</w:t>
            </w:r>
            <w:r>
              <w:rPr>
                <w:rFonts w:hint="eastAsia"/>
                <w:spacing w:val="-2"/>
                <w:sz w:val="21"/>
                <w:szCs w:val="21"/>
              </w:rPr>
              <w:t>项目生产沉淀池处理后用于洒水降尘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噪声</w:t>
            </w:r>
          </w:p>
        </w:tc>
        <w:tc>
          <w:tcPr>
            <w:tcW w:w="1185"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施工</w:t>
            </w:r>
            <w:r>
              <w:rPr>
                <w:color w:val="auto"/>
                <w:spacing w:val="-2"/>
                <w:sz w:val="21"/>
                <w:szCs w:val="21"/>
              </w:rPr>
              <w:t>设备</w:t>
            </w:r>
          </w:p>
        </w:tc>
        <w:tc>
          <w:tcPr>
            <w:tcW w:w="1233"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噪声</w:t>
            </w:r>
          </w:p>
        </w:tc>
        <w:tc>
          <w:tcPr>
            <w:tcW w:w="2665"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snapToGrid w:val="0"/>
                <w:color w:val="auto"/>
                <w:kern w:val="0"/>
                <w:sz w:val="21"/>
                <w:szCs w:val="21"/>
              </w:rPr>
              <w:t>60-80dB（A）</w:t>
            </w:r>
          </w:p>
        </w:tc>
        <w:tc>
          <w:tcPr>
            <w:tcW w:w="2865"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sz w:val="21"/>
                <w:szCs w:val="21"/>
              </w:rPr>
              <w:t>昼间≤70dB(A)、夜间≤55dB(A)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7" w:type="dxa"/>
            <w:vMerge w:val="continue"/>
            <w:tcBorders>
              <w:left w:val="single" w:color="auto" w:sz="4" w:space="0"/>
              <w:bottom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restart"/>
            <w:tcBorders>
              <w:top w:val="single" w:color="auto" w:sz="4" w:space="0"/>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r>
              <w:rPr>
                <w:color w:val="auto"/>
                <w:spacing w:val="-2"/>
                <w:sz w:val="21"/>
                <w:szCs w:val="21"/>
              </w:rPr>
              <w:t>固废</w:t>
            </w:r>
          </w:p>
        </w:tc>
        <w:tc>
          <w:tcPr>
            <w:tcW w:w="1185"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施工人员</w:t>
            </w:r>
          </w:p>
        </w:tc>
        <w:tc>
          <w:tcPr>
            <w:tcW w:w="1233" w:type="dxa"/>
            <w:tcBorders>
              <w:top w:val="single" w:color="auto" w:sz="4" w:space="0"/>
              <w:left w:val="single" w:color="auto" w:sz="4" w:space="0"/>
              <w:bottom w:val="single" w:color="000000" w:sz="6"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生活垃圾</w:t>
            </w:r>
          </w:p>
        </w:tc>
        <w:tc>
          <w:tcPr>
            <w:tcW w:w="2665" w:type="dxa"/>
            <w:gridSpan w:val="2"/>
            <w:tcBorders>
              <w:top w:val="single" w:color="auto" w:sz="4" w:space="0"/>
              <w:left w:val="single" w:color="auto" w:sz="4" w:space="0"/>
              <w:bottom w:val="single" w:color="000000" w:sz="6"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0.</w:t>
            </w:r>
            <w:r>
              <w:rPr>
                <w:rFonts w:hint="eastAsia"/>
                <w:color w:val="auto"/>
                <w:spacing w:val="-2"/>
                <w:sz w:val="21"/>
                <w:szCs w:val="21"/>
                <w:lang w:val="en-US" w:eastAsia="zh-CN"/>
              </w:rPr>
              <w:t>375</w:t>
            </w:r>
            <w:r>
              <w:rPr>
                <w:rFonts w:hint="eastAsia"/>
                <w:color w:val="auto"/>
                <w:spacing w:val="-2"/>
                <w:sz w:val="21"/>
                <w:szCs w:val="21"/>
              </w:rPr>
              <w:t>t</w:t>
            </w:r>
          </w:p>
        </w:tc>
        <w:tc>
          <w:tcPr>
            <w:tcW w:w="2865" w:type="dxa"/>
            <w:gridSpan w:val="2"/>
            <w:tcBorders>
              <w:top w:val="single" w:color="auto" w:sz="4" w:space="0"/>
              <w:left w:val="single" w:color="auto" w:sz="4" w:space="0"/>
              <w:bottom w:val="single" w:color="000000" w:sz="6" w:space="0"/>
              <w:right w:val="single" w:color="auto" w:sz="4" w:space="0"/>
            </w:tcBorders>
            <w:vAlign w:val="center"/>
          </w:tcPr>
          <w:p>
            <w:pPr>
              <w:spacing w:line="240" w:lineRule="auto"/>
              <w:ind w:firstLine="0" w:firstLineChars="0"/>
              <w:jc w:val="center"/>
              <w:rPr>
                <w:color w:val="auto"/>
                <w:spacing w:val="-2"/>
                <w:sz w:val="21"/>
                <w:szCs w:val="21"/>
              </w:rPr>
            </w:pPr>
            <w:r>
              <w:rPr>
                <w:color w:val="auto"/>
                <w:spacing w:val="-2"/>
                <w:sz w:val="21"/>
                <w:szCs w:val="21"/>
              </w:rPr>
              <w:t>集中收集后委托环卫部门处置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7" w:type="dxa"/>
            <w:vMerge w:val="continue"/>
            <w:tcBorders>
              <w:left w:val="single" w:color="auto" w:sz="4" w:space="0"/>
              <w:bottom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1185" w:type="dxa"/>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施工过程</w:t>
            </w:r>
          </w:p>
        </w:tc>
        <w:tc>
          <w:tcPr>
            <w:tcW w:w="1233" w:type="dxa"/>
            <w:tcBorders>
              <w:top w:val="single" w:color="000000" w:sz="6"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z w:val="21"/>
                <w:szCs w:val="21"/>
              </w:rPr>
              <w:t>建筑垃圾</w:t>
            </w:r>
          </w:p>
        </w:tc>
        <w:tc>
          <w:tcPr>
            <w:tcW w:w="2665" w:type="dxa"/>
            <w:gridSpan w:val="2"/>
            <w:tcBorders>
              <w:top w:val="single" w:color="000000" w:sz="6" w:space="0"/>
              <w:left w:val="single" w:color="auto" w:sz="4" w:space="0"/>
              <w:right w:val="single" w:color="auto" w:sz="4" w:space="0"/>
            </w:tcBorders>
            <w:vAlign w:val="center"/>
          </w:tcPr>
          <w:p>
            <w:pPr>
              <w:spacing w:line="240" w:lineRule="auto"/>
              <w:ind w:firstLine="0" w:firstLineChars="0"/>
              <w:jc w:val="center"/>
              <w:rPr>
                <w:rFonts w:hint="default" w:eastAsia="宋体"/>
                <w:color w:val="auto"/>
                <w:spacing w:val="-2"/>
                <w:sz w:val="21"/>
                <w:szCs w:val="21"/>
                <w:lang w:val="en-US" w:eastAsia="zh-CN"/>
              </w:rPr>
            </w:pPr>
            <w:r>
              <w:rPr>
                <w:rFonts w:hint="eastAsia"/>
                <w:color w:val="auto"/>
                <w:spacing w:val="-2"/>
                <w:sz w:val="21"/>
                <w:szCs w:val="21"/>
                <w:lang w:val="en-US" w:eastAsia="zh-CN"/>
              </w:rPr>
              <w:t>10m</w:t>
            </w:r>
            <w:r>
              <w:rPr>
                <w:rFonts w:hint="eastAsia"/>
                <w:color w:val="auto"/>
                <w:spacing w:val="-2"/>
                <w:sz w:val="21"/>
                <w:szCs w:val="21"/>
                <w:vertAlign w:val="superscript"/>
                <w:lang w:val="en-US" w:eastAsia="zh-CN"/>
              </w:rPr>
              <w:t>3</w:t>
            </w:r>
          </w:p>
        </w:tc>
        <w:tc>
          <w:tcPr>
            <w:tcW w:w="2865" w:type="dxa"/>
            <w:gridSpan w:val="2"/>
            <w:tcBorders>
              <w:top w:val="single" w:color="000000" w:sz="6" w:space="0"/>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z w:val="21"/>
                <w:szCs w:val="21"/>
              </w:rPr>
              <w:t>分类清理，其中能回收利用的回收利用，不能回收利用的运往相关部门指定地点处置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1185" w:type="dxa"/>
            <w:tcBorders>
              <w:left w:val="single" w:color="auto" w:sz="4" w:space="0"/>
              <w:right w:val="single" w:color="auto" w:sz="4" w:space="0"/>
            </w:tcBorders>
            <w:vAlign w:val="center"/>
          </w:tcPr>
          <w:p>
            <w:pPr>
              <w:spacing w:line="240" w:lineRule="auto"/>
              <w:ind w:firstLine="0" w:firstLineChars="0"/>
              <w:jc w:val="center"/>
              <w:rPr>
                <w:rFonts w:hint="default" w:eastAsia="宋体"/>
                <w:color w:val="auto"/>
                <w:spacing w:val="-2"/>
                <w:sz w:val="21"/>
                <w:szCs w:val="21"/>
                <w:lang w:val="en-US" w:eastAsia="zh-CN"/>
              </w:rPr>
            </w:pPr>
            <w:r>
              <w:rPr>
                <w:rFonts w:hint="eastAsia"/>
                <w:color w:val="auto"/>
                <w:spacing w:val="-2"/>
                <w:sz w:val="21"/>
                <w:szCs w:val="21"/>
              </w:rPr>
              <w:t>排气筒DA001</w:t>
            </w:r>
          </w:p>
        </w:tc>
        <w:tc>
          <w:tcPr>
            <w:tcW w:w="1233" w:type="dxa"/>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有组织粉尘</w:t>
            </w:r>
          </w:p>
        </w:tc>
        <w:tc>
          <w:tcPr>
            <w:tcW w:w="2665"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color w:val="auto"/>
                <w:sz w:val="21"/>
                <w:szCs w:val="21"/>
                <w:lang w:val="en-US" w:eastAsia="zh-CN"/>
              </w:rPr>
            </w:pPr>
            <w:r>
              <w:rPr>
                <w:rFonts w:hint="eastAsia"/>
                <w:color w:val="auto"/>
                <w:sz w:val="21"/>
                <w:szCs w:val="21"/>
              </w:rPr>
              <w:t>0.765t/a</w:t>
            </w:r>
          </w:p>
        </w:tc>
        <w:tc>
          <w:tcPr>
            <w:tcW w:w="2865"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color w:val="auto"/>
                <w:sz w:val="21"/>
                <w:szCs w:val="21"/>
                <w:lang w:val="en-US" w:eastAsia="zh-CN"/>
              </w:rPr>
            </w:pPr>
            <w:r>
              <w:rPr>
                <w:rFonts w:hint="eastAsia"/>
                <w:color w:val="auto"/>
                <w:sz w:val="21"/>
                <w:szCs w:val="21"/>
              </w:rPr>
              <w:t>0.03</w:t>
            </w:r>
            <w:r>
              <w:rPr>
                <w:rFonts w:hint="eastAsia"/>
                <w:color w:val="auto"/>
                <w:sz w:val="21"/>
                <w:szCs w:val="21"/>
                <w:lang w:val="en-US" w:eastAsia="zh-CN"/>
              </w:rPr>
              <w:t>2</w:t>
            </w:r>
            <w:r>
              <w:rPr>
                <w:rFonts w:hint="eastAsia"/>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1185" w:type="dxa"/>
            <w:tcBorders>
              <w:left w:val="single" w:color="auto" w:sz="4" w:space="0"/>
              <w:right w:val="single" w:color="auto" w:sz="4" w:space="0"/>
            </w:tcBorders>
            <w:vAlign w:val="center"/>
          </w:tcPr>
          <w:p>
            <w:pPr>
              <w:spacing w:line="240" w:lineRule="auto"/>
              <w:ind w:firstLine="0" w:firstLineChars="0"/>
              <w:jc w:val="center"/>
              <w:rPr>
                <w:rFonts w:hint="default" w:eastAsia="宋体"/>
                <w:color w:val="auto"/>
                <w:spacing w:val="-2"/>
                <w:sz w:val="21"/>
                <w:szCs w:val="21"/>
                <w:lang w:val="en-US" w:eastAsia="zh-CN"/>
              </w:rPr>
            </w:pPr>
            <w:r>
              <w:rPr>
                <w:rFonts w:hint="eastAsia"/>
                <w:color w:val="auto"/>
                <w:spacing w:val="-2"/>
                <w:sz w:val="21"/>
                <w:szCs w:val="21"/>
              </w:rPr>
              <w:t>原料</w:t>
            </w:r>
            <w:r>
              <w:rPr>
                <w:rFonts w:hint="eastAsia"/>
                <w:color w:val="auto"/>
                <w:spacing w:val="-2"/>
                <w:sz w:val="21"/>
                <w:szCs w:val="21"/>
                <w:lang w:eastAsia="zh-CN"/>
              </w:rPr>
              <w:t>卸料</w:t>
            </w:r>
          </w:p>
        </w:tc>
        <w:tc>
          <w:tcPr>
            <w:tcW w:w="1233" w:type="dxa"/>
            <w:vMerge w:val="restart"/>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无组织粉尘</w:t>
            </w:r>
          </w:p>
        </w:tc>
        <w:tc>
          <w:tcPr>
            <w:tcW w:w="2665" w:type="dxa"/>
            <w:gridSpan w:val="2"/>
            <w:tcBorders>
              <w:top w:val="single" w:color="auto" w:sz="4" w:space="0"/>
              <w:left w:val="single" w:color="auto" w:sz="4" w:space="0"/>
              <w:right w:val="single" w:color="auto" w:sz="4" w:space="0"/>
            </w:tcBorders>
            <w:vAlign w:val="center"/>
          </w:tcPr>
          <w:p>
            <w:pPr>
              <w:ind w:firstLine="0" w:firstLineChars="0"/>
              <w:jc w:val="center"/>
              <w:rPr>
                <w:color w:val="auto"/>
                <w:sz w:val="21"/>
                <w:szCs w:val="21"/>
              </w:rPr>
            </w:pPr>
            <w:r>
              <w:rPr>
                <w:rFonts w:hint="eastAsia"/>
                <w:color w:val="auto"/>
                <w:sz w:val="21"/>
                <w:szCs w:val="21"/>
              </w:rPr>
              <w:t>0.036t</w:t>
            </w:r>
            <w:r>
              <w:rPr>
                <w:rFonts w:hint="eastAsia"/>
                <w:color w:val="auto"/>
              </w:rPr>
              <w:t>/a</w:t>
            </w:r>
          </w:p>
        </w:tc>
        <w:tc>
          <w:tcPr>
            <w:tcW w:w="2865" w:type="dxa"/>
            <w:gridSpan w:val="2"/>
            <w:tcBorders>
              <w:top w:val="single" w:color="auto" w:sz="4" w:space="0"/>
              <w:left w:val="single" w:color="auto" w:sz="4" w:space="0"/>
              <w:right w:val="single" w:color="auto" w:sz="4" w:space="0"/>
            </w:tcBorders>
            <w:vAlign w:val="center"/>
          </w:tcPr>
          <w:p>
            <w:pPr>
              <w:ind w:firstLine="0" w:firstLineChars="0"/>
              <w:jc w:val="center"/>
              <w:rPr>
                <w:color w:val="auto"/>
                <w:sz w:val="21"/>
                <w:szCs w:val="21"/>
              </w:rPr>
            </w:pPr>
            <w:r>
              <w:rPr>
                <w:rFonts w:hint="eastAsia"/>
                <w:color w:val="auto"/>
                <w:sz w:val="21"/>
                <w:szCs w:val="21"/>
              </w:rPr>
              <w:t>0.0</w:t>
            </w:r>
            <w:r>
              <w:rPr>
                <w:rFonts w:hint="eastAsia"/>
                <w:color w:val="auto"/>
                <w:sz w:val="21"/>
                <w:szCs w:val="21"/>
                <w:lang w:val="en-US" w:eastAsia="zh-CN"/>
              </w:rPr>
              <w:t>36</w:t>
            </w:r>
            <w:r>
              <w:rPr>
                <w:rFonts w:hint="eastAsia"/>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1185" w:type="dxa"/>
            <w:tcBorders>
              <w:left w:val="single" w:color="auto" w:sz="4" w:space="0"/>
              <w:right w:val="single" w:color="auto" w:sz="4" w:space="0"/>
            </w:tcBorders>
            <w:vAlign w:val="center"/>
          </w:tcPr>
          <w:p>
            <w:pPr>
              <w:ind w:firstLine="0" w:firstLineChars="0"/>
              <w:jc w:val="center"/>
              <w:rPr>
                <w:rFonts w:hint="default" w:eastAsia="宋体"/>
                <w:color w:val="auto"/>
                <w:spacing w:val="-2"/>
                <w:sz w:val="21"/>
                <w:szCs w:val="21"/>
                <w:lang w:val="en-US" w:eastAsia="zh-CN"/>
              </w:rPr>
            </w:pPr>
            <w:r>
              <w:rPr>
                <w:rFonts w:hint="eastAsia"/>
                <w:color w:val="auto"/>
                <w:spacing w:val="-2"/>
                <w:sz w:val="21"/>
                <w:szCs w:val="21"/>
              </w:rPr>
              <w:t>破碎车间</w:t>
            </w:r>
          </w:p>
        </w:tc>
        <w:tc>
          <w:tcPr>
            <w:tcW w:w="1233" w:type="dxa"/>
            <w:vMerge w:val="continue"/>
            <w:tcBorders>
              <w:left w:val="single" w:color="auto" w:sz="4" w:space="0"/>
              <w:right w:val="single" w:color="auto" w:sz="4" w:space="0"/>
            </w:tcBorders>
            <w:vAlign w:val="center"/>
          </w:tcPr>
          <w:p>
            <w:pPr>
              <w:ind w:firstLine="0" w:firstLineChars="0"/>
              <w:jc w:val="center"/>
              <w:rPr>
                <w:color w:val="auto"/>
                <w:spacing w:val="-2"/>
                <w:sz w:val="21"/>
                <w:szCs w:val="21"/>
              </w:rPr>
            </w:pPr>
          </w:p>
        </w:tc>
        <w:tc>
          <w:tcPr>
            <w:tcW w:w="2665" w:type="dxa"/>
            <w:gridSpan w:val="2"/>
            <w:tcBorders>
              <w:top w:val="single" w:color="auto" w:sz="4" w:space="0"/>
              <w:left w:val="single" w:color="auto" w:sz="4" w:space="0"/>
              <w:right w:val="single" w:color="auto" w:sz="4" w:space="0"/>
            </w:tcBorders>
            <w:vAlign w:val="center"/>
          </w:tcPr>
          <w:p>
            <w:pPr>
              <w:ind w:firstLine="0" w:firstLineChars="0"/>
              <w:jc w:val="center"/>
              <w:rPr>
                <w:color w:val="auto"/>
                <w:sz w:val="21"/>
                <w:szCs w:val="21"/>
              </w:rPr>
            </w:pPr>
            <w:r>
              <w:rPr>
                <w:rFonts w:hint="eastAsia"/>
                <w:color w:val="auto"/>
                <w:sz w:val="21"/>
                <w:szCs w:val="21"/>
              </w:rPr>
              <w:t>0.135</w:t>
            </w:r>
            <w:r>
              <w:rPr>
                <w:rFonts w:hint="eastAsia"/>
                <w:color w:val="auto"/>
              </w:rPr>
              <w:t>t/a</w:t>
            </w:r>
          </w:p>
        </w:tc>
        <w:tc>
          <w:tcPr>
            <w:tcW w:w="2865" w:type="dxa"/>
            <w:gridSpan w:val="2"/>
            <w:tcBorders>
              <w:top w:val="single" w:color="auto" w:sz="4" w:space="0"/>
              <w:left w:val="single" w:color="auto" w:sz="4" w:space="0"/>
              <w:right w:val="single" w:color="auto" w:sz="4" w:space="0"/>
            </w:tcBorders>
            <w:vAlign w:val="center"/>
          </w:tcPr>
          <w:p>
            <w:pPr>
              <w:ind w:firstLine="0" w:firstLineChars="0"/>
              <w:jc w:val="center"/>
              <w:rPr>
                <w:color w:val="auto"/>
                <w:sz w:val="21"/>
                <w:szCs w:val="21"/>
              </w:rPr>
            </w:pPr>
            <w:r>
              <w:rPr>
                <w:rFonts w:hint="eastAsia"/>
                <w:color w:val="auto"/>
                <w:sz w:val="21"/>
                <w:szCs w:val="21"/>
              </w:rPr>
              <w:t>0.0271</w:t>
            </w:r>
            <w:r>
              <w:rPr>
                <w:rFonts w:hint="eastAsia"/>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1185" w:type="dxa"/>
            <w:tcBorders>
              <w:left w:val="single" w:color="auto" w:sz="4" w:space="0"/>
              <w:right w:val="single" w:color="auto" w:sz="4" w:space="0"/>
            </w:tcBorders>
            <w:vAlign w:val="center"/>
          </w:tcPr>
          <w:p>
            <w:pPr>
              <w:spacing w:line="240" w:lineRule="auto"/>
              <w:ind w:firstLine="0" w:firstLineChars="0"/>
              <w:jc w:val="center"/>
              <w:rPr>
                <w:rFonts w:hint="eastAsia" w:eastAsia="宋体"/>
                <w:color w:val="auto"/>
                <w:spacing w:val="-2"/>
                <w:sz w:val="21"/>
                <w:szCs w:val="21"/>
                <w:lang w:eastAsia="zh-CN"/>
              </w:rPr>
            </w:pPr>
            <w:r>
              <w:rPr>
                <w:rFonts w:hint="eastAsia"/>
                <w:color w:val="auto"/>
                <w:spacing w:val="-2"/>
                <w:sz w:val="21"/>
                <w:szCs w:val="21"/>
              </w:rPr>
              <w:t>成品堆存间</w:t>
            </w:r>
          </w:p>
        </w:tc>
        <w:tc>
          <w:tcPr>
            <w:tcW w:w="1233" w:type="dxa"/>
            <w:vMerge w:val="continue"/>
            <w:tcBorders>
              <w:left w:val="single" w:color="auto" w:sz="4" w:space="0"/>
              <w:right w:val="single" w:color="auto" w:sz="4" w:space="0"/>
            </w:tcBorders>
            <w:vAlign w:val="center"/>
          </w:tcPr>
          <w:p>
            <w:pPr>
              <w:ind w:firstLine="0" w:firstLineChars="0"/>
              <w:jc w:val="center"/>
              <w:rPr>
                <w:color w:val="auto"/>
                <w:spacing w:val="-2"/>
                <w:sz w:val="21"/>
                <w:szCs w:val="21"/>
              </w:rPr>
            </w:pPr>
          </w:p>
        </w:tc>
        <w:tc>
          <w:tcPr>
            <w:tcW w:w="2665" w:type="dxa"/>
            <w:gridSpan w:val="2"/>
            <w:tcBorders>
              <w:top w:val="single" w:color="auto" w:sz="4" w:space="0"/>
              <w:left w:val="single" w:color="auto" w:sz="4" w:space="0"/>
              <w:right w:val="single" w:color="auto" w:sz="4" w:space="0"/>
            </w:tcBorders>
            <w:vAlign w:val="center"/>
          </w:tcPr>
          <w:p>
            <w:pPr>
              <w:ind w:firstLine="0" w:firstLineChars="0"/>
              <w:jc w:val="center"/>
              <w:rPr>
                <w:rFonts w:hint="default"/>
                <w:color w:val="auto"/>
                <w:sz w:val="21"/>
                <w:szCs w:val="21"/>
                <w:lang w:val="en-US" w:eastAsia="zh-CN"/>
              </w:rPr>
            </w:pPr>
            <w:r>
              <w:rPr>
                <w:rFonts w:hint="eastAsia"/>
                <w:color w:val="auto"/>
                <w:sz w:val="21"/>
                <w:szCs w:val="21"/>
              </w:rPr>
              <w:t>0.09t/a</w:t>
            </w:r>
          </w:p>
        </w:tc>
        <w:tc>
          <w:tcPr>
            <w:tcW w:w="2865" w:type="dxa"/>
            <w:gridSpan w:val="2"/>
            <w:tcBorders>
              <w:top w:val="single" w:color="auto" w:sz="4" w:space="0"/>
              <w:left w:val="single" w:color="auto" w:sz="4" w:space="0"/>
              <w:right w:val="single" w:color="auto" w:sz="4" w:space="0"/>
            </w:tcBorders>
            <w:vAlign w:val="center"/>
          </w:tcPr>
          <w:p>
            <w:pPr>
              <w:ind w:firstLine="0" w:firstLineChars="0"/>
              <w:jc w:val="center"/>
              <w:rPr>
                <w:rFonts w:hint="default"/>
                <w:color w:val="auto"/>
                <w:sz w:val="21"/>
                <w:szCs w:val="21"/>
                <w:lang w:val="en-US" w:eastAsia="zh-CN"/>
              </w:rPr>
            </w:pPr>
            <w:r>
              <w:rPr>
                <w:rFonts w:hint="eastAsia"/>
                <w:color w:val="auto"/>
                <w:sz w:val="21"/>
                <w:szCs w:val="21"/>
              </w:rPr>
              <w:t>0.018t/a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1185" w:type="dxa"/>
            <w:tcBorders>
              <w:left w:val="single" w:color="auto" w:sz="4" w:space="0"/>
              <w:right w:val="single" w:color="auto" w:sz="4" w:space="0"/>
            </w:tcBorders>
            <w:vAlign w:val="center"/>
          </w:tcPr>
          <w:p>
            <w:pPr>
              <w:spacing w:line="240" w:lineRule="auto"/>
              <w:ind w:firstLine="0" w:firstLineChars="0"/>
              <w:jc w:val="center"/>
              <w:rPr>
                <w:rFonts w:hint="eastAsia" w:eastAsia="宋体"/>
                <w:color w:val="auto"/>
                <w:sz w:val="21"/>
                <w:szCs w:val="21"/>
                <w:lang w:eastAsia="zh-CN"/>
              </w:rPr>
            </w:pPr>
            <w:r>
              <w:rPr>
                <w:rFonts w:hint="eastAsia"/>
                <w:color w:val="auto"/>
                <w:sz w:val="21"/>
                <w:szCs w:val="21"/>
              </w:rPr>
              <w:t>道路</w:t>
            </w:r>
          </w:p>
        </w:tc>
        <w:tc>
          <w:tcPr>
            <w:tcW w:w="1233" w:type="dxa"/>
            <w:tcBorders>
              <w:left w:val="single" w:color="auto" w:sz="4" w:space="0"/>
              <w:right w:val="single" w:color="auto" w:sz="4" w:space="0"/>
            </w:tcBorders>
            <w:vAlign w:val="center"/>
          </w:tcPr>
          <w:p>
            <w:pPr>
              <w:ind w:firstLine="0" w:firstLineChars="0"/>
              <w:jc w:val="center"/>
              <w:rPr>
                <w:rFonts w:hint="eastAsia" w:eastAsia="宋体"/>
                <w:color w:val="auto"/>
                <w:sz w:val="21"/>
                <w:szCs w:val="21"/>
                <w:lang w:eastAsia="zh-CN"/>
              </w:rPr>
            </w:pPr>
            <w:r>
              <w:rPr>
                <w:rFonts w:hint="eastAsia"/>
                <w:color w:val="auto"/>
                <w:sz w:val="21"/>
                <w:szCs w:val="21"/>
              </w:rPr>
              <w:t>道路扬尘</w:t>
            </w:r>
          </w:p>
        </w:tc>
        <w:tc>
          <w:tcPr>
            <w:tcW w:w="2665" w:type="dxa"/>
            <w:gridSpan w:val="2"/>
            <w:tcBorders>
              <w:top w:val="single" w:color="auto" w:sz="4" w:space="0"/>
              <w:left w:val="single" w:color="auto" w:sz="4" w:space="0"/>
              <w:right w:val="single" w:color="auto" w:sz="4" w:space="0"/>
            </w:tcBorders>
            <w:vAlign w:val="center"/>
          </w:tcPr>
          <w:p>
            <w:pPr>
              <w:ind w:firstLine="0" w:firstLineChars="0"/>
              <w:jc w:val="center"/>
              <w:rPr>
                <w:rFonts w:hint="eastAsia"/>
                <w:color w:val="auto"/>
                <w:sz w:val="21"/>
                <w:szCs w:val="21"/>
              </w:rPr>
            </w:pPr>
            <w:r>
              <w:rPr>
                <w:rFonts w:hint="eastAsia"/>
                <w:color w:val="auto"/>
                <w:sz w:val="21"/>
                <w:szCs w:val="21"/>
              </w:rPr>
              <w:t>13</w:t>
            </w:r>
            <w:r>
              <w:rPr>
                <w:rFonts w:eastAsia="Times New Roman"/>
                <w:color w:val="auto"/>
                <w:sz w:val="21"/>
                <w:szCs w:val="21"/>
              </w:rPr>
              <w:t>kg/a</w:t>
            </w:r>
          </w:p>
        </w:tc>
        <w:tc>
          <w:tcPr>
            <w:tcW w:w="2865" w:type="dxa"/>
            <w:gridSpan w:val="2"/>
            <w:tcBorders>
              <w:top w:val="single" w:color="auto" w:sz="4" w:space="0"/>
              <w:left w:val="single" w:color="auto" w:sz="4" w:space="0"/>
              <w:right w:val="single" w:color="auto" w:sz="4" w:space="0"/>
            </w:tcBorders>
            <w:vAlign w:val="center"/>
          </w:tcPr>
          <w:p>
            <w:pPr>
              <w:ind w:firstLine="0" w:firstLineChars="0"/>
              <w:jc w:val="center"/>
              <w:rPr>
                <w:rFonts w:hint="default" w:eastAsia="宋体"/>
                <w:color w:val="auto"/>
                <w:sz w:val="21"/>
                <w:szCs w:val="21"/>
                <w:lang w:val="en-US" w:eastAsia="zh-CN"/>
              </w:rPr>
            </w:pPr>
            <w:r>
              <w:rPr>
                <w:rFonts w:hint="eastAsia"/>
                <w:color w:val="auto"/>
                <w:sz w:val="21"/>
                <w:szCs w:val="21"/>
              </w:rPr>
              <w:t>13kg/a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1185" w:type="dxa"/>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ascii="宋体" w:hAnsi="宋体" w:cs="宋体"/>
                <w:color w:val="auto"/>
                <w:sz w:val="21"/>
                <w:szCs w:val="21"/>
              </w:rPr>
              <w:t>食堂厨房</w:t>
            </w:r>
          </w:p>
        </w:tc>
        <w:tc>
          <w:tcPr>
            <w:tcW w:w="1233" w:type="dxa"/>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rPr>
              <w:t>油烟废气</w:t>
            </w:r>
          </w:p>
        </w:tc>
        <w:tc>
          <w:tcPr>
            <w:tcW w:w="1500"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z w:val="21"/>
                <w:szCs w:val="21"/>
              </w:rPr>
            </w:pPr>
            <w:r>
              <w:rPr>
                <w:rFonts w:hint="eastAsia"/>
                <w:color w:val="auto"/>
                <w:sz w:val="21"/>
                <w:szCs w:val="21"/>
                <w:lang w:val="en-US" w:eastAsia="zh-CN"/>
              </w:rPr>
              <w:t>1.5</w:t>
            </w:r>
            <w:r>
              <w:rPr>
                <w:rFonts w:hint="eastAsia"/>
                <w:color w:val="auto"/>
              </w:rPr>
              <w:t>mg/m</w:t>
            </w:r>
            <w:r>
              <w:rPr>
                <w:rFonts w:hint="eastAsia"/>
                <w:color w:val="auto"/>
                <w:vertAlign w:val="superscript"/>
              </w:rPr>
              <w:t>3</w:t>
            </w:r>
          </w:p>
        </w:tc>
        <w:tc>
          <w:tcPr>
            <w:tcW w:w="1165"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z w:val="21"/>
                <w:szCs w:val="21"/>
              </w:rPr>
            </w:pPr>
            <w:r>
              <w:rPr>
                <w:rFonts w:hint="eastAsia"/>
                <w:color w:val="auto"/>
              </w:rPr>
              <w:t>0.00</w:t>
            </w:r>
            <w:r>
              <w:rPr>
                <w:rFonts w:hint="eastAsia"/>
                <w:color w:val="auto"/>
                <w:lang w:val="en-US" w:eastAsia="zh-CN"/>
              </w:rPr>
              <w:t>9</w:t>
            </w:r>
            <w:r>
              <w:rPr>
                <w:rFonts w:hint="eastAsia"/>
                <w:color w:val="auto"/>
              </w:rPr>
              <w:t>t/a</w:t>
            </w:r>
          </w:p>
        </w:tc>
        <w:tc>
          <w:tcPr>
            <w:tcW w:w="1790"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z w:val="21"/>
                <w:szCs w:val="21"/>
              </w:rPr>
            </w:pPr>
            <w:r>
              <w:rPr>
                <w:rFonts w:hint="eastAsia"/>
                <w:color w:val="auto"/>
              </w:rPr>
              <w:t>0.</w:t>
            </w:r>
            <w:r>
              <w:rPr>
                <w:rFonts w:hint="eastAsia"/>
                <w:color w:val="auto"/>
                <w:lang w:val="en-US" w:eastAsia="zh-CN"/>
              </w:rPr>
              <w:t>6</w:t>
            </w:r>
            <w:r>
              <w:rPr>
                <w:rFonts w:hint="eastAsia"/>
                <w:color w:val="auto"/>
              </w:rPr>
              <w:t>mg/m</w:t>
            </w:r>
            <w:r>
              <w:rPr>
                <w:rFonts w:hint="eastAsia"/>
                <w:color w:val="auto"/>
                <w:vertAlign w:val="superscript"/>
              </w:rPr>
              <w:t>3</w:t>
            </w:r>
          </w:p>
        </w:tc>
        <w:tc>
          <w:tcPr>
            <w:tcW w:w="1075"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z w:val="21"/>
                <w:szCs w:val="21"/>
              </w:rPr>
            </w:pPr>
            <w:r>
              <w:rPr>
                <w:rFonts w:hint="eastAsia"/>
                <w:color w:val="auto"/>
                <w:sz w:val="21"/>
                <w:szCs w:val="21"/>
              </w:rPr>
              <w:t>0.00</w:t>
            </w:r>
            <w:r>
              <w:rPr>
                <w:rFonts w:hint="eastAsia"/>
                <w:color w:val="auto"/>
                <w:sz w:val="21"/>
                <w:szCs w:val="21"/>
                <w:lang w:val="en-US" w:eastAsia="zh-CN"/>
              </w:rPr>
              <w:t>11</w:t>
            </w:r>
            <w:r>
              <w:rPr>
                <w:rFonts w:hint="eastAsia"/>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977" w:type="dxa"/>
            <w:vMerge w:val="continue"/>
            <w:tcBorders>
              <w:left w:val="single" w:color="auto" w:sz="4" w:space="0"/>
              <w:right w:val="single" w:color="auto" w:sz="4" w:space="0"/>
            </w:tcBorders>
            <w:vAlign w:val="center"/>
          </w:tcPr>
          <w:p>
            <w:pPr>
              <w:spacing w:line="240" w:lineRule="auto"/>
              <w:ind w:left="113" w:right="113" w:firstLine="0" w:firstLineChars="0"/>
              <w:jc w:val="center"/>
              <w:rPr>
                <w:color w:val="auto"/>
                <w:spacing w:val="-2"/>
                <w:sz w:val="21"/>
                <w:szCs w:val="21"/>
              </w:rPr>
            </w:pPr>
          </w:p>
        </w:tc>
        <w:tc>
          <w:tcPr>
            <w:tcW w:w="1185" w:type="dxa"/>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ascii="宋体" w:hAnsi="宋体" w:cs="宋体"/>
                <w:color w:val="auto"/>
                <w:sz w:val="21"/>
                <w:szCs w:val="21"/>
              </w:rPr>
              <w:t>汽车尾气</w:t>
            </w:r>
          </w:p>
        </w:tc>
        <w:tc>
          <w:tcPr>
            <w:tcW w:w="1233" w:type="dxa"/>
            <w:tcBorders>
              <w:left w:val="single" w:color="auto" w:sz="4" w:space="0"/>
              <w:right w:val="single" w:color="auto" w:sz="4" w:space="0"/>
            </w:tcBorders>
          </w:tcPr>
          <w:p>
            <w:pPr>
              <w:pStyle w:val="33"/>
              <w:spacing w:line="288" w:lineRule="exact"/>
              <w:ind w:firstLine="0" w:firstLineChars="0"/>
              <w:jc w:val="left"/>
              <w:rPr>
                <w:rFonts w:ascii="Times New Roman" w:hAnsi="Times New Roman" w:cs="Times New Roman"/>
                <w:color w:val="auto"/>
                <w:spacing w:val="-2"/>
                <w:sz w:val="21"/>
                <w:szCs w:val="21"/>
              </w:rPr>
            </w:pPr>
            <w:r>
              <w:rPr>
                <w:rFonts w:ascii="Times New Roman" w:hAnsi="Times New Roman" w:eastAsia="Times New Roman" w:cs="Times New Roman"/>
                <w:color w:val="auto"/>
                <w:position w:val="2"/>
                <w:sz w:val="21"/>
                <w:szCs w:val="21"/>
              </w:rPr>
              <w:t>CH</w:t>
            </w:r>
            <w:r>
              <w:rPr>
                <w:color w:val="auto"/>
                <w:position w:val="2"/>
                <w:sz w:val="21"/>
                <w:szCs w:val="21"/>
              </w:rPr>
              <w:t>、</w:t>
            </w:r>
            <w:r>
              <w:rPr>
                <w:rFonts w:ascii="Times New Roman" w:hAnsi="Times New Roman" w:eastAsia="Times New Roman" w:cs="Times New Roman"/>
                <w:color w:val="auto"/>
                <w:position w:val="2"/>
                <w:sz w:val="21"/>
                <w:szCs w:val="21"/>
              </w:rPr>
              <w:t>NO</w:t>
            </w:r>
            <w:r>
              <w:rPr>
                <w:rFonts w:ascii="Times New Roman" w:hAnsi="Times New Roman" w:eastAsia="Times New Roman" w:cs="Times New Roman"/>
                <w:color w:val="auto"/>
                <w:sz w:val="21"/>
                <w:szCs w:val="21"/>
                <w:vertAlign w:val="subscript"/>
              </w:rPr>
              <w:t>2</w:t>
            </w:r>
            <w:r>
              <w:rPr>
                <w:color w:val="auto"/>
                <w:position w:val="2"/>
                <w:sz w:val="21"/>
                <w:szCs w:val="21"/>
              </w:rPr>
              <w:t>、</w:t>
            </w:r>
            <w:r>
              <w:rPr>
                <w:rFonts w:ascii="Times New Roman" w:hAnsi="Times New Roman" w:eastAsia="Times New Roman" w:cs="Times New Roman"/>
                <w:color w:val="auto"/>
                <w:position w:val="2"/>
                <w:sz w:val="21"/>
                <w:szCs w:val="21"/>
              </w:rPr>
              <w:t>CO</w:t>
            </w:r>
          </w:p>
        </w:tc>
        <w:tc>
          <w:tcPr>
            <w:tcW w:w="2665" w:type="dxa"/>
            <w:gridSpan w:val="2"/>
            <w:tcBorders>
              <w:top w:val="single" w:color="auto" w:sz="4" w:space="0"/>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color w:val="auto"/>
                <w:sz w:val="21"/>
                <w:szCs w:val="21"/>
              </w:rPr>
              <w:t>少量</w:t>
            </w:r>
          </w:p>
        </w:tc>
        <w:tc>
          <w:tcPr>
            <w:tcW w:w="2865" w:type="dxa"/>
            <w:gridSpan w:val="2"/>
            <w:tcBorders>
              <w:top w:val="single" w:color="auto" w:sz="4" w:space="0"/>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restart"/>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r>
              <w:rPr>
                <w:rFonts w:hint="eastAsia"/>
                <w:color w:val="auto"/>
                <w:spacing w:val="-2"/>
                <w:sz w:val="21"/>
                <w:szCs w:val="21"/>
              </w:rPr>
              <w:t>水污染物</w:t>
            </w:r>
          </w:p>
        </w:tc>
        <w:tc>
          <w:tcPr>
            <w:tcW w:w="1185" w:type="dxa"/>
            <w:vMerge w:val="restart"/>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rFonts w:hint="eastAsia"/>
                <w:color w:val="auto"/>
                <w:spacing w:val="-2"/>
                <w:sz w:val="21"/>
                <w:szCs w:val="21"/>
                <w:lang w:eastAsia="zh-CN"/>
              </w:rPr>
              <w:t>办公</w:t>
            </w:r>
            <w:r>
              <w:rPr>
                <w:rFonts w:hint="eastAsia"/>
                <w:color w:val="auto"/>
                <w:spacing w:val="-2"/>
                <w:sz w:val="21"/>
                <w:szCs w:val="21"/>
              </w:rPr>
              <w:t>生活污水</w:t>
            </w:r>
            <w:r>
              <w:rPr>
                <w:rFonts w:hint="eastAsia"/>
                <w:color w:val="auto"/>
                <w:sz w:val="21"/>
                <w:szCs w:val="21"/>
                <w:lang w:val="en-US" w:eastAsia="zh-CN"/>
              </w:rPr>
              <w:t>120</w:t>
            </w:r>
            <w:r>
              <w:rPr>
                <w:rFonts w:eastAsia="Times New Roman"/>
                <w:color w:val="auto"/>
                <w:sz w:val="21"/>
                <w:szCs w:val="21"/>
              </w:rPr>
              <w:t>m</w:t>
            </w:r>
            <w:r>
              <w:rPr>
                <w:rFonts w:eastAsia="Times New Roman"/>
                <w:color w:val="auto"/>
                <w:position w:val="7"/>
                <w:sz w:val="13"/>
                <w:szCs w:val="13"/>
              </w:rPr>
              <w:t>3</w:t>
            </w:r>
            <w:r>
              <w:rPr>
                <w:rFonts w:eastAsia="Times New Roman"/>
                <w:color w:val="auto"/>
                <w:sz w:val="21"/>
                <w:szCs w:val="21"/>
              </w:rPr>
              <w:t>/a</w:t>
            </w:r>
          </w:p>
        </w:tc>
        <w:tc>
          <w:tcPr>
            <w:tcW w:w="1233" w:type="dxa"/>
            <w:tcBorders>
              <w:left w:val="single" w:color="auto" w:sz="4" w:space="0"/>
              <w:right w:val="single" w:color="auto" w:sz="4" w:space="0"/>
            </w:tcBorders>
            <w:vAlign w:val="center"/>
          </w:tcPr>
          <w:p>
            <w:pPr>
              <w:pStyle w:val="3"/>
              <w:spacing w:line="240" w:lineRule="auto"/>
              <w:ind w:firstLine="0" w:firstLineChars="0"/>
              <w:jc w:val="center"/>
              <w:rPr>
                <w:color w:val="auto"/>
                <w:sz w:val="21"/>
                <w:szCs w:val="21"/>
              </w:rPr>
            </w:pPr>
            <w:r>
              <w:rPr>
                <w:rFonts w:hint="eastAsia" w:eastAsiaTheme="minorEastAsia"/>
                <w:color w:val="auto"/>
                <w:sz w:val="21"/>
                <w:szCs w:val="21"/>
              </w:rPr>
              <w:t>CODcr</w:t>
            </w:r>
          </w:p>
        </w:tc>
        <w:tc>
          <w:tcPr>
            <w:tcW w:w="1500" w:type="dxa"/>
            <w:tcBorders>
              <w:top w:val="single" w:color="auto" w:sz="4" w:space="0"/>
              <w:left w:val="single" w:color="auto" w:sz="4" w:space="0"/>
              <w:right w:val="single" w:color="auto" w:sz="4" w:space="0"/>
            </w:tcBorders>
            <w:vAlign w:val="center"/>
          </w:tcPr>
          <w:p>
            <w:pPr>
              <w:pStyle w:val="3"/>
              <w:spacing w:line="240" w:lineRule="auto"/>
              <w:ind w:firstLine="0" w:firstLineChars="0"/>
              <w:jc w:val="center"/>
              <w:rPr>
                <w:color w:val="auto"/>
                <w:kern w:val="11"/>
                <w:sz w:val="21"/>
                <w:szCs w:val="21"/>
              </w:rPr>
            </w:pPr>
            <w:r>
              <w:rPr>
                <w:rFonts w:hint="eastAsia" w:eastAsiaTheme="minorEastAsia"/>
                <w:color w:val="auto"/>
                <w:sz w:val="21"/>
                <w:szCs w:val="21"/>
              </w:rPr>
              <w:t>400</w:t>
            </w:r>
            <w:r>
              <w:rPr>
                <w:color w:val="auto"/>
                <w:sz w:val="21"/>
                <w:szCs w:val="21"/>
              </w:rPr>
              <w:t>mg/L</w:t>
            </w:r>
          </w:p>
        </w:tc>
        <w:tc>
          <w:tcPr>
            <w:tcW w:w="1165"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color w:val="auto"/>
                <w:spacing w:val="-2"/>
                <w:sz w:val="21"/>
                <w:szCs w:val="21"/>
              </w:rPr>
            </w:pPr>
            <w:r>
              <w:rPr>
                <w:color w:val="auto"/>
                <w:kern w:val="0"/>
                <w:sz w:val="21"/>
                <w:szCs w:val="21"/>
              </w:rPr>
              <w:t>0.</w:t>
            </w:r>
            <w:r>
              <w:rPr>
                <w:rFonts w:hint="eastAsia"/>
                <w:color w:val="auto"/>
                <w:kern w:val="0"/>
                <w:sz w:val="21"/>
                <w:szCs w:val="21"/>
                <w:lang w:val="en-US" w:eastAsia="zh-CN"/>
              </w:rPr>
              <w:t>048</w:t>
            </w:r>
            <w:r>
              <w:rPr>
                <w:rFonts w:hint="eastAsia"/>
                <w:color w:val="auto"/>
              </w:rPr>
              <w:t>t/a</w:t>
            </w:r>
          </w:p>
        </w:tc>
        <w:tc>
          <w:tcPr>
            <w:tcW w:w="2865"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eastAsia="宋体"/>
                <w:color w:val="auto"/>
                <w:sz w:val="21"/>
                <w:szCs w:val="21"/>
                <w:lang w:val="en-US" w:eastAsia="zh-CN"/>
              </w:rPr>
            </w:pPr>
            <w:r>
              <w:rPr>
                <w:rFonts w:hint="eastAsia"/>
                <w:color w:val="auto"/>
                <w:sz w:val="21"/>
                <w:szCs w:val="21"/>
                <w:lang w:val="en-US" w:eastAsia="zh-CN"/>
              </w:rPr>
              <w:t>经隔油池、沉淀池处理后回用于石材加工项目生产，不外排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1185" w:type="dxa"/>
            <w:vMerge w:val="continue"/>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p>
        </w:tc>
        <w:tc>
          <w:tcPr>
            <w:tcW w:w="1233" w:type="dxa"/>
            <w:tcBorders>
              <w:left w:val="single" w:color="auto" w:sz="4" w:space="0"/>
              <w:right w:val="single" w:color="auto" w:sz="4" w:space="0"/>
            </w:tcBorders>
            <w:vAlign w:val="center"/>
          </w:tcPr>
          <w:p>
            <w:pPr>
              <w:pStyle w:val="3"/>
              <w:spacing w:line="240" w:lineRule="auto"/>
              <w:ind w:firstLine="0" w:firstLineChars="0"/>
              <w:jc w:val="center"/>
              <w:rPr>
                <w:color w:val="auto"/>
                <w:sz w:val="21"/>
                <w:szCs w:val="21"/>
              </w:rPr>
            </w:pPr>
            <w:r>
              <w:rPr>
                <w:rFonts w:hint="eastAsia" w:eastAsiaTheme="minorEastAsia"/>
                <w:color w:val="auto"/>
                <w:sz w:val="21"/>
                <w:szCs w:val="21"/>
              </w:rPr>
              <w:t>BOD</w:t>
            </w:r>
            <w:r>
              <w:rPr>
                <w:rFonts w:hint="eastAsia" w:eastAsiaTheme="minorEastAsia"/>
                <w:color w:val="auto"/>
                <w:sz w:val="21"/>
                <w:szCs w:val="21"/>
                <w:vertAlign w:val="subscript"/>
              </w:rPr>
              <w:t>5</w:t>
            </w:r>
          </w:p>
        </w:tc>
        <w:tc>
          <w:tcPr>
            <w:tcW w:w="1500" w:type="dxa"/>
            <w:tcBorders>
              <w:top w:val="single" w:color="auto" w:sz="4" w:space="0"/>
              <w:left w:val="single" w:color="auto" w:sz="4" w:space="0"/>
              <w:right w:val="single" w:color="auto" w:sz="4" w:space="0"/>
            </w:tcBorders>
            <w:vAlign w:val="center"/>
          </w:tcPr>
          <w:p>
            <w:pPr>
              <w:pStyle w:val="3"/>
              <w:spacing w:line="240" w:lineRule="auto"/>
              <w:ind w:firstLine="0" w:firstLineChars="0"/>
              <w:jc w:val="center"/>
              <w:rPr>
                <w:color w:val="auto"/>
                <w:kern w:val="0"/>
                <w:sz w:val="21"/>
                <w:szCs w:val="21"/>
              </w:rPr>
            </w:pPr>
            <w:r>
              <w:rPr>
                <w:rFonts w:hint="eastAsia" w:eastAsiaTheme="minorEastAsia"/>
                <w:color w:val="auto"/>
                <w:sz w:val="21"/>
                <w:szCs w:val="21"/>
              </w:rPr>
              <w:t>250</w:t>
            </w:r>
            <w:r>
              <w:rPr>
                <w:color w:val="auto"/>
                <w:sz w:val="21"/>
                <w:szCs w:val="21"/>
              </w:rPr>
              <w:t>mg/L</w:t>
            </w:r>
          </w:p>
        </w:tc>
        <w:tc>
          <w:tcPr>
            <w:tcW w:w="1165"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lang w:val="en-US" w:eastAsia="zh-CN"/>
              </w:rPr>
              <w:t>03</w:t>
            </w:r>
            <w:r>
              <w:rPr>
                <w:rFonts w:hint="eastAsia"/>
                <w:color w:val="auto"/>
              </w:rPr>
              <w:t>t/a</w:t>
            </w:r>
          </w:p>
        </w:tc>
        <w:tc>
          <w:tcPr>
            <w:tcW w:w="2865"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1185" w:type="dxa"/>
            <w:vMerge w:val="continue"/>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p>
        </w:tc>
        <w:tc>
          <w:tcPr>
            <w:tcW w:w="1233" w:type="dxa"/>
            <w:tcBorders>
              <w:left w:val="single" w:color="auto" w:sz="4" w:space="0"/>
              <w:right w:val="single" w:color="auto" w:sz="4" w:space="0"/>
            </w:tcBorders>
            <w:vAlign w:val="center"/>
          </w:tcPr>
          <w:p>
            <w:pPr>
              <w:pStyle w:val="3"/>
              <w:spacing w:line="240" w:lineRule="auto"/>
              <w:ind w:firstLine="0" w:firstLineChars="0"/>
              <w:jc w:val="center"/>
              <w:rPr>
                <w:color w:val="auto"/>
                <w:sz w:val="21"/>
                <w:szCs w:val="21"/>
              </w:rPr>
            </w:pPr>
            <w:r>
              <w:rPr>
                <w:rFonts w:hint="eastAsia" w:eastAsiaTheme="minorEastAsia"/>
                <w:color w:val="auto"/>
                <w:sz w:val="21"/>
                <w:szCs w:val="21"/>
              </w:rPr>
              <w:t>氨氮</w:t>
            </w:r>
          </w:p>
        </w:tc>
        <w:tc>
          <w:tcPr>
            <w:tcW w:w="1500" w:type="dxa"/>
            <w:tcBorders>
              <w:top w:val="single" w:color="auto" w:sz="4" w:space="0"/>
              <w:left w:val="single" w:color="auto" w:sz="4" w:space="0"/>
              <w:right w:val="single" w:color="auto" w:sz="4" w:space="0"/>
            </w:tcBorders>
            <w:vAlign w:val="center"/>
          </w:tcPr>
          <w:p>
            <w:pPr>
              <w:pStyle w:val="3"/>
              <w:spacing w:line="240" w:lineRule="auto"/>
              <w:ind w:firstLine="0" w:firstLineChars="0"/>
              <w:jc w:val="center"/>
              <w:rPr>
                <w:color w:val="auto"/>
                <w:kern w:val="0"/>
                <w:sz w:val="21"/>
                <w:szCs w:val="21"/>
              </w:rPr>
            </w:pPr>
            <w:r>
              <w:rPr>
                <w:rFonts w:hint="eastAsia" w:eastAsiaTheme="minorEastAsia"/>
                <w:color w:val="auto"/>
                <w:sz w:val="21"/>
                <w:szCs w:val="21"/>
              </w:rPr>
              <w:t>28</w:t>
            </w:r>
            <w:r>
              <w:rPr>
                <w:color w:val="auto"/>
                <w:sz w:val="21"/>
                <w:szCs w:val="21"/>
              </w:rPr>
              <w:t>mg/L</w:t>
            </w:r>
          </w:p>
        </w:tc>
        <w:tc>
          <w:tcPr>
            <w:tcW w:w="1165"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color w:val="auto"/>
                <w:sz w:val="21"/>
                <w:szCs w:val="21"/>
              </w:rPr>
            </w:pPr>
            <w:r>
              <w:rPr>
                <w:color w:val="auto"/>
                <w:kern w:val="0"/>
                <w:sz w:val="21"/>
                <w:szCs w:val="21"/>
              </w:rPr>
              <w:t>0.0</w:t>
            </w:r>
            <w:r>
              <w:rPr>
                <w:rFonts w:hint="eastAsia"/>
                <w:color w:val="auto"/>
                <w:kern w:val="0"/>
                <w:sz w:val="21"/>
                <w:szCs w:val="21"/>
                <w:lang w:val="en-US" w:eastAsia="zh-CN"/>
              </w:rPr>
              <w:t>034t</w:t>
            </w:r>
            <w:r>
              <w:rPr>
                <w:rFonts w:hint="eastAsia"/>
                <w:color w:val="auto"/>
              </w:rPr>
              <w:t>/a</w:t>
            </w:r>
          </w:p>
        </w:tc>
        <w:tc>
          <w:tcPr>
            <w:tcW w:w="2865"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1185" w:type="dxa"/>
            <w:vMerge w:val="continue"/>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p>
        </w:tc>
        <w:tc>
          <w:tcPr>
            <w:tcW w:w="1233" w:type="dxa"/>
            <w:tcBorders>
              <w:left w:val="single" w:color="auto" w:sz="4" w:space="0"/>
              <w:right w:val="single" w:color="auto" w:sz="4" w:space="0"/>
            </w:tcBorders>
            <w:vAlign w:val="center"/>
          </w:tcPr>
          <w:p>
            <w:pPr>
              <w:pStyle w:val="3"/>
              <w:spacing w:line="240" w:lineRule="auto"/>
              <w:ind w:firstLine="0" w:firstLineChars="0"/>
              <w:jc w:val="center"/>
              <w:rPr>
                <w:color w:val="auto"/>
                <w:sz w:val="21"/>
                <w:szCs w:val="21"/>
              </w:rPr>
            </w:pPr>
            <w:r>
              <w:rPr>
                <w:rFonts w:hint="eastAsia" w:eastAsiaTheme="minorEastAsia"/>
                <w:color w:val="auto"/>
                <w:sz w:val="21"/>
                <w:szCs w:val="21"/>
              </w:rPr>
              <w:t>总磷</w:t>
            </w:r>
          </w:p>
        </w:tc>
        <w:tc>
          <w:tcPr>
            <w:tcW w:w="1500" w:type="dxa"/>
            <w:tcBorders>
              <w:top w:val="single" w:color="auto" w:sz="4" w:space="0"/>
              <w:left w:val="single" w:color="auto" w:sz="4" w:space="0"/>
              <w:right w:val="single" w:color="auto" w:sz="4" w:space="0"/>
            </w:tcBorders>
            <w:vAlign w:val="center"/>
          </w:tcPr>
          <w:p>
            <w:pPr>
              <w:pStyle w:val="3"/>
              <w:spacing w:line="240" w:lineRule="auto"/>
              <w:ind w:firstLine="0" w:firstLineChars="0"/>
              <w:jc w:val="center"/>
              <w:rPr>
                <w:color w:val="auto"/>
                <w:kern w:val="0"/>
                <w:sz w:val="21"/>
                <w:szCs w:val="21"/>
              </w:rPr>
            </w:pPr>
            <w:r>
              <w:rPr>
                <w:rFonts w:hint="eastAsia" w:eastAsiaTheme="minorEastAsia"/>
                <w:color w:val="auto"/>
                <w:sz w:val="21"/>
                <w:szCs w:val="21"/>
              </w:rPr>
              <w:t>8</w:t>
            </w:r>
            <w:r>
              <w:rPr>
                <w:color w:val="auto"/>
                <w:sz w:val="21"/>
                <w:szCs w:val="21"/>
              </w:rPr>
              <w:t>mg/L</w:t>
            </w:r>
          </w:p>
        </w:tc>
        <w:tc>
          <w:tcPr>
            <w:tcW w:w="1165"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color w:val="auto"/>
                <w:sz w:val="21"/>
                <w:szCs w:val="21"/>
              </w:rPr>
            </w:pPr>
            <w:r>
              <w:rPr>
                <w:color w:val="auto"/>
                <w:kern w:val="0"/>
                <w:sz w:val="21"/>
                <w:szCs w:val="21"/>
              </w:rPr>
              <w:t>0.00</w:t>
            </w:r>
            <w:r>
              <w:rPr>
                <w:rFonts w:hint="eastAsia"/>
                <w:color w:val="auto"/>
                <w:kern w:val="0"/>
                <w:sz w:val="21"/>
                <w:szCs w:val="21"/>
                <w:lang w:val="en-US" w:eastAsia="zh-CN"/>
              </w:rPr>
              <w:t>1</w:t>
            </w:r>
            <w:r>
              <w:rPr>
                <w:rFonts w:hint="eastAsia"/>
                <w:color w:val="auto"/>
              </w:rPr>
              <w:t>t/a</w:t>
            </w:r>
          </w:p>
        </w:tc>
        <w:tc>
          <w:tcPr>
            <w:tcW w:w="2865"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1185" w:type="dxa"/>
            <w:vMerge w:val="continue"/>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p>
        </w:tc>
        <w:tc>
          <w:tcPr>
            <w:tcW w:w="1233" w:type="dxa"/>
            <w:tcBorders>
              <w:left w:val="single" w:color="auto" w:sz="4" w:space="0"/>
              <w:right w:val="single" w:color="auto" w:sz="4" w:space="0"/>
            </w:tcBorders>
            <w:vAlign w:val="center"/>
          </w:tcPr>
          <w:p>
            <w:pPr>
              <w:pStyle w:val="3"/>
              <w:spacing w:line="240" w:lineRule="auto"/>
              <w:ind w:firstLine="0" w:firstLineChars="0"/>
              <w:jc w:val="center"/>
              <w:rPr>
                <w:color w:val="auto"/>
                <w:sz w:val="21"/>
                <w:szCs w:val="21"/>
              </w:rPr>
            </w:pPr>
            <w:r>
              <w:rPr>
                <w:rFonts w:hint="eastAsia" w:eastAsiaTheme="minorEastAsia"/>
                <w:color w:val="auto"/>
                <w:sz w:val="21"/>
                <w:szCs w:val="21"/>
              </w:rPr>
              <w:t>动植物油</w:t>
            </w:r>
          </w:p>
        </w:tc>
        <w:tc>
          <w:tcPr>
            <w:tcW w:w="1500" w:type="dxa"/>
            <w:tcBorders>
              <w:top w:val="single" w:color="auto" w:sz="4" w:space="0"/>
              <w:left w:val="single" w:color="auto" w:sz="4" w:space="0"/>
              <w:right w:val="single" w:color="auto" w:sz="4" w:space="0"/>
            </w:tcBorders>
            <w:vAlign w:val="center"/>
          </w:tcPr>
          <w:p>
            <w:pPr>
              <w:pStyle w:val="3"/>
              <w:spacing w:line="240" w:lineRule="auto"/>
              <w:ind w:firstLine="0" w:firstLineChars="0"/>
              <w:jc w:val="center"/>
              <w:rPr>
                <w:color w:val="auto"/>
                <w:kern w:val="0"/>
                <w:sz w:val="21"/>
                <w:szCs w:val="21"/>
              </w:rPr>
            </w:pPr>
            <w:r>
              <w:rPr>
                <w:rFonts w:hint="eastAsia" w:eastAsiaTheme="minorEastAsia"/>
                <w:color w:val="auto"/>
                <w:sz w:val="21"/>
                <w:szCs w:val="21"/>
              </w:rPr>
              <w:t>35</w:t>
            </w:r>
            <w:r>
              <w:rPr>
                <w:color w:val="auto"/>
                <w:sz w:val="21"/>
                <w:szCs w:val="21"/>
              </w:rPr>
              <w:t>mg/L</w:t>
            </w:r>
          </w:p>
        </w:tc>
        <w:tc>
          <w:tcPr>
            <w:tcW w:w="1165"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color w:val="auto"/>
                <w:sz w:val="21"/>
                <w:szCs w:val="21"/>
              </w:rPr>
            </w:pPr>
            <w:r>
              <w:rPr>
                <w:color w:val="auto"/>
                <w:kern w:val="0"/>
                <w:sz w:val="21"/>
                <w:szCs w:val="21"/>
              </w:rPr>
              <w:t>0.0</w:t>
            </w:r>
            <w:r>
              <w:rPr>
                <w:rFonts w:hint="eastAsia"/>
                <w:color w:val="auto"/>
                <w:kern w:val="0"/>
                <w:sz w:val="21"/>
                <w:szCs w:val="21"/>
                <w:lang w:val="en-US" w:eastAsia="zh-CN"/>
              </w:rPr>
              <w:t>042</w:t>
            </w:r>
            <w:r>
              <w:rPr>
                <w:rFonts w:hint="eastAsia"/>
                <w:color w:val="auto"/>
              </w:rPr>
              <w:t>t/a</w:t>
            </w:r>
          </w:p>
        </w:tc>
        <w:tc>
          <w:tcPr>
            <w:tcW w:w="2865"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1185" w:type="dxa"/>
            <w:vMerge w:val="continue"/>
            <w:tcBorders>
              <w:left w:val="single" w:color="auto" w:sz="4" w:space="0"/>
              <w:right w:val="single" w:color="auto" w:sz="4" w:space="0"/>
            </w:tcBorders>
            <w:vAlign w:val="center"/>
          </w:tcPr>
          <w:p>
            <w:pPr>
              <w:spacing w:line="240" w:lineRule="auto"/>
              <w:ind w:firstLine="0" w:firstLineChars="0"/>
              <w:jc w:val="center"/>
              <w:rPr>
                <w:color w:val="auto"/>
                <w:spacing w:val="-2"/>
                <w:sz w:val="21"/>
                <w:szCs w:val="21"/>
              </w:rPr>
            </w:pPr>
          </w:p>
        </w:tc>
        <w:tc>
          <w:tcPr>
            <w:tcW w:w="1233" w:type="dxa"/>
            <w:tcBorders>
              <w:left w:val="single" w:color="auto" w:sz="4" w:space="0"/>
              <w:right w:val="single" w:color="auto" w:sz="4" w:space="0"/>
            </w:tcBorders>
            <w:vAlign w:val="center"/>
          </w:tcPr>
          <w:p>
            <w:pPr>
              <w:pStyle w:val="3"/>
              <w:spacing w:line="240" w:lineRule="auto"/>
              <w:ind w:firstLine="0" w:firstLineChars="0"/>
              <w:jc w:val="center"/>
              <w:rPr>
                <w:color w:val="auto"/>
                <w:sz w:val="21"/>
                <w:szCs w:val="21"/>
              </w:rPr>
            </w:pPr>
            <w:r>
              <w:rPr>
                <w:rFonts w:hint="eastAsia" w:eastAsiaTheme="minorEastAsia"/>
                <w:color w:val="auto"/>
                <w:sz w:val="21"/>
                <w:szCs w:val="21"/>
              </w:rPr>
              <w:t>悬浮物</w:t>
            </w:r>
          </w:p>
        </w:tc>
        <w:tc>
          <w:tcPr>
            <w:tcW w:w="1500" w:type="dxa"/>
            <w:tcBorders>
              <w:top w:val="single" w:color="auto" w:sz="4" w:space="0"/>
              <w:left w:val="single" w:color="auto" w:sz="4" w:space="0"/>
              <w:right w:val="single" w:color="auto" w:sz="4" w:space="0"/>
            </w:tcBorders>
            <w:vAlign w:val="center"/>
          </w:tcPr>
          <w:p>
            <w:pPr>
              <w:pStyle w:val="3"/>
              <w:spacing w:line="240" w:lineRule="auto"/>
              <w:ind w:firstLine="0" w:firstLineChars="0"/>
              <w:jc w:val="center"/>
              <w:rPr>
                <w:color w:val="auto"/>
                <w:kern w:val="0"/>
                <w:sz w:val="21"/>
                <w:szCs w:val="21"/>
              </w:rPr>
            </w:pPr>
            <w:r>
              <w:rPr>
                <w:rFonts w:hint="eastAsia" w:eastAsiaTheme="minorEastAsia"/>
                <w:color w:val="auto"/>
                <w:sz w:val="21"/>
                <w:szCs w:val="21"/>
              </w:rPr>
              <w:t>300</w:t>
            </w:r>
            <w:r>
              <w:rPr>
                <w:color w:val="auto"/>
                <w:sz w:val="21"/>
                <w:szCs w:val="21"/>
              </w:rPr>
              <w:t>mg/L</w:t>
            </w:r>
          </w:p>
        </w:tc>
        <w:tc>
          <w:tcPr>
            <w:tcW w:w="1165"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lang w:val="en-US" w:eastAsia="zh-CN"/>
              </w:rPr>
              <w:t>036</w:t>
            </w:r>
            <w:r>
              <w:rPr>
                <w:rFonts w:hint="eastAsia"/>
                <w:color w:val="auto"/>
              </w:rPr>
              <w:t>t/a</w:t>
            </w:r>
          </w:p>
        </w:tc>
        <w:tc>
          <w:tcPr>
            <w:tcW w:w="2865"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color w:val="auto"/>
                <w:spacing w:val="-2"/>
                <w:sz w:val="21"/>
                <w:szCs w:val="21"/>
              </w:rPr>
            </w:pPr>
            <w:r>
              <w:rPr>
                <w:rFonts w:hint="eastAsia"/>
                <w:color w:val="auto"/>
                <w:spacing w:val="-2"/>
                <w:sz w:val="21"/>
                <w:szCs w:val="21"/>
              </w:rPr>
              <w:t>噪声</w:t>
            </w:r>
          </w:p>
        </w:tc>
        <w:tc>
          <w:tcPr>
            <w:tcW w:w="1185" w:type="dxa"/>
            <w:tcBorders>
              <w:top w:val="single" w:color="auto" w:sz="4" w:space="0"/>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pacing w:val="-2"/>
                <w:sz w:val="21"/>
                <w:szCs w:val="21"/>
              </w:rPr>
            </w:pPr>
            <w:r>
              <w:rPr>
                <w:color w:val="auto"/>
                <w:sz w:val="21"/>
                <w:szCs w:val="21"/>
              </w:rPr>
              <w:t>生产设备、辅助设备、运输车辆</w:t>
            </w:r>
          </w:p>
        </w:tc>
        <w:tc>
          <w:tcPr>
            <w:tcW w:w="1233"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color w:val="auto"/>
                <w:spacing w:val="-2"/>
                <w:sz w:val="21"/>
                <w:szCs w:val="21"/>
              </w:rPr>
            </w:pPr>
            <w:r>
              <w:rPr>
                <w:color w:val="auto"/>
                <w:sz w:val="21"/>
                <w:szCs w:val="21"/>
              </w:rPr>
              <w:t>噪声</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spacing w:val="-2"/>
                <w:sz w:val="21"/>
                <w:szCs w:val="21"/>
              </w:rPr>
            </w:pPr>
            <w:r>
              <w:rPr>
                <w:color w:val="auto"/>
                <w:sz w:val="21"/>
                <w:szCs w:val="21"/>
              </w:rPr>
              <w:t>70～85dB(A)</w:t>
            </w:r>
          </w:p>
        </w:tc>
        <w:tc>
          <w:tcPr>
            <w:tcW w:w="2865" w:type="dxa"/>
            <w:gridSpan w:val="2"/>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color w:val="auto"/>
                <w:spacing w:val="-2"/>
                <w:sz w:val="21"/>
                <w:szCs w:val="21"/>
              </w:rPr>
            </w:pPr>
            <w:r>
              <w:rPr>
                <w:bCs/>
                <w:color w:val="auto"/>
                <w:sz w:val="21"/>
                <w:szCs w:val="21"/>
              </w:rPr>
              <w:t>GB12348-2008《工业企业厂界环境噪声排放标准》</w:t>
            </w:r>
            <w:r>
              <w:rPr>
                <w:rFonts w:hint="eastAsia"/>
                <w:bCs/>
                <w:color w:val="auto"/>
                <w:sz w:val="21"/>
                <w:szCs w:val="21"/>
              </w:rPr>
              <w:t>2</w:t>
            </w:r>
            <w:r>
              <w:rPr>
                <w:bCs/>
                <w:color w:val="auto"/>
                <w:sz w:val="21"/>
                <w:szCs w:val="21"/>
              </w:rPr>
              <w:t>类标准（</w:t>
            </w:r>
            <w:r>
              <w:rPr>
                <w:color w:val="auto"/>
                <w:sz w:val="21"/>
                <w:szCs w:val="21"/>
              </w:rPr>
              <w:t>昼间≤</w:t>
            </w:r>
            <w:r>
              <w:rPr>
                <w:rFonts w:hint="eastAsia"/>
                <w:color w:val="auto"/>
                <w:sz w:val="21"/>
                <w:szCs w:val="21"/>
              </w:rPr>
              <w:t>60</w:t>
            </w:r>
            <w:r>
              <w:rPr>
                <w:color w:val="auto"/>
                <w:sz w:val="21"/>
                <w:szCs w:val="21"/>
              </w:rPr>
              <w:t>dB(A)、夜间≤5</w:t>
            </w:r>
            <w:r>
              <w:rPr>
                <w:rFonts w:hint="eastAsia"/>
                <w:color w:val="auto"/>
                <w:sz w:val="21"/>
                <w:szCs w:val="21"/>
              </w:rPr>
              <w:t>0</w:t>
            </w:r>
            <w:r>
              <w:rPr>
                <w:color w:val="auto"/>
                <w:sz w:val="21"/>
                <w:szCs w:val="21"/>
              </w:rPr>
              <w:t>dB(A)</w:t>
            </w:r>
            <w:r>
              <w:rPr>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color w:val="auto"/>
                <w:spacing w:val="-2"/>
                <w:sz w:val="21"/>
                <w:szCs w:val="21"/>
              </w:rPr>
            </w:pPr>
          </w:p>
          <w:p>
            <w:pPr>
              <w:widowControl/>
              <w:spacing w:line="240" w:lineRule="auto"/>
              <w:ind w:firstLine="0" w:firstLineChars="0"/>
              <w:jc w:val="center"/>
              <w:rPr>
                <w:color w:val="auto"/>
                <w:spacing w:val="-2"/>
                <w:sz w:val="21"/>
                <w:szCs w:val="21"/>
              </w:rPr>
            </w:pPr>
          </w:p>
          <w:p>
            <w:pPr>
              <w:widowControl/>
              <w:spacing w:line="240" w:lineRule="auto"/>
              <w:ind w:firstLine="0" w:firstLineChars="0"/>
              <w:jc w:val="center"/>
              <w:rPr>
                <w:color w:val="auto"/>
                <w:spacing w:val="-2"/>
                <w:sz w:val="21"/>
                <w:szCs w:val="21"/>
              </w:rPr>
            </w:pPr>
          </w:p>
          <w:p>
            <w:pPr>
              <w:widowControl/>
              <w:spacing w:line="240" w:lineRule="auto"/>
              <w:ind w:firstLine="0" w:firstLineChars="0"/>
              <w:jc w:val="center"/>
              <w:rPr>
                <w:color w:val="auto"/>
                <w:spacing w:val="-2"/>
                <w:sz w:val="21"/>
                <w:szCs w:val="21"/>
              </w:rPr>
            </w:pPr>
          </w:p>
          <w:p>
            <w:pPr>
              <w:widowControl/>
              <w:spacing w:line="240" w:lineRule="auto"/>
              <w:ind w:firstLine="0" w:firstLineChars="0"/>
              <w:jc w:val="center"/>
              <w:rPr>
                <w:color w:val="auto"/>
                <w:spacing w:val="-2"/>
                <w:sz w:val="21"/>
                <w:szCs w:val="21"/>
              </w:rPr>
            </w:pPr>
          </w:p>
          <w:p>
            <w:pPr>
              <w:widowControl/>
              <w:spacing w:line="240" w:lineRule="auto"/>
              <w:ind w:firstLine="0" w:firstLineChars="0"/>
              <w:jc w:val="center"/>
              <w:rPr>
                <w:color w:val="auto"/>
                <w:spacing w:val="-2"/>
                <w:sz w:val="21"/>
                <w:szCs w:val="21"/>
              </w:rPr>
            </w:pPr>
            <w:r>
              <w:rPr>
                <w:rFonts w:hint="eastAsia"/>
                <w:color w:val="auto"/>
                <w:spacing w:val="-2"/>
                <w:sz w:val="21"/>
                <w:szCs w:val="21"/>
              </w:rPr>
              <w:t>固体</w:t>
            </w:r>
          </w:p>
          <w:p>
            <w:pPr>
              <w:widowControl/>
              <w:spacing w:line="240" w:lineRule="auto"/>
              <w:ind w:firstLine="0" w:firstLineChars="0"/>
              <w:jc w:val="center"/>
              <w:rPr>
                <w:color w:val="auto"/>
                <w:spacing w:val="-2"/>
                <w:sz w:val="21"/>
                <w:szCs w:val="21"/>
              </w:rPr>
            </w:pPr>
            <w:r>
              <w:rPr>
                <w:rFonts w:hint="eastAsia"/>
                <w:color w:val="auto"/>
                <w:spacing w:val="-2"/>
                <w:sz w:val="21"/>
                <w:szCs w:val="21"/>
              </w:rPr>
              <w:t>废物</w:t>
            </w:r>
          </w:p>
        </w:tc>
        <w:tc>
          <w:tcPr>
            <w:tcW w:w="1185"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eastAsia="宋体"/>
                <w:color w:val="auto"/>
                <w:spacing w:val="-2"/>
                <w:sz w:val="21"/>
                <w:szCs w:val="21"/>
                <w:lang w:eastAsia="zh-CN"/>
              </w:rPr>
            </w:pPr>
            <w:r>
              <w:rPr>
                <w:rFonts w:hint="eastAsia" w:ascii="宋体" w:hAnsi="宋体" w:cs="宋体"/>
                <w:color w:val="auto"/>
                <w:sz w:val="21"/>
                <w:szCs w:val="21"/>
              </w:rPr>
              <w:t>破碎车间</w:t>
            </w:r>
          </w:p>
        </w:tc>
        <w:tc>
          <w:tcPr>
            <w:tcW w:w="1233" w:type="dxa"/>
            <w:tcBorders>
              <w:top w:val="single" w:color="auto" w:sz="4" w:space="0"/>
              <w:left w:val="single" w:color="auto" w:sz="4" w:space="0"/>
              <w:bottom w:val="single" w:color="000000" w:sz="6" w:space="0"/>
              <w:right w:val="single" w:color="auto" w:sz="4" w:space="0"/>
            </w:tcBorders>
            <w:vAlign w:val="center"/>
          </w:tcPr>
          <w:p>
            <w:pPr>
              <w:pStyle w:val="33"/>
              <w:spacing w:line="240" w:lineRule="auto"/>
              <w:ind w:firstLine="0" w:firstLineChars="0"/>
              <w:rPr>
                <w:rFonts w:ascii="Times New Roman" w:hAnsi="Times New Roman" w:cs="Times New Roman"/>
                <w:bCs/>
                <w:color w:val="auto"/>
                <w:spacing w:val="-2"/>
                <w:sz w:val="21"/>
                <w:szCs w:val="21"/>
              </w:rPr>
            </w:pPr>
            <w:r>
              <w:rPr>
                <w:rFonts w:hint="eastAsia" w:ascii="Times New Roman" w:hAnsi="Times New Roman" w:cs="Times New Roman"/>
                <w:color w:val="auto"/>
                <w:sz w:val="21"/>
                <w:szCs w:val="21"/>
              </w:rPr>
              <w:t>除尘设备收集的粉尘</w:t>
            </w:r>
          </w:p>
        </w:tc>
        <w:tc>
          <w:tcPr>
            <w:tcW w:w="2665" w:type="dxa"/>
            <w:gridSpan w:val="2"/>
            <w:tcBorders>
              <w:top w:val="single" w:color="auto" w:sz="4" w:space="0"/>
              <w:left w:val="single" w:color="auto" w:sz="4" w:space="0"/>
              <w:bottom w:val="single" w:color="000000" w:sz="6" w:space="0"/>
              <w:right w:val="single" w:color="auto" w:sz="4" w:space="0"/>
            </w:tcBorders>
            <w:vAlign w:val="center"/>
          </w:tcPr>
          <w:p>
            <w:pPr>
              <w:pStyle w:val="33"/>
              <w:spacing w:line="240" w:lineRule="auto"/>
              <w:ind w:firstLine="0" w:firstLineChars="0"/>
              <w:rPr>
                <w:rFonts w:ascii="Times New Roman" w:hAnsi="Times New Roman" w:cs="Times New Roman"/>
                <w:bCs/>
                <w:color w:val="auto"/>
                <w:spacing w:val="-2"/>
                <w:sz w:val="21"/>
                <w:szCs w:val="21"/>
              </w:rPr>
            </w:pPr>
            <w:r>
              <w:rPr>
                <w:rFonts w:hint="eastAsia" w:ascii="Times New Roman" w:hAnsi="Times New Roman" w:cs="Times New Roman"/>
                <w:color w:val="auto"/>
                <w:sz w:val="21"/>
                <w:szCs w:val="21"/>
                <w:lang w:val="en-US" w:eastAsia="zh-CN"/>
              </w:rPr>
              <w:t>0.7344</w:t>
            </w:r>
            <w:r>
              <w:rPr>
                <w:rFonts w:hint="eastAsia" w:ascii="Times New Roman" w:hAnsi="Times New Roman" w:cs="Times New Roman"/>
                <w:color w:val="auto"/>
                <w:sz w:val="21"/>
                <w:szCs w:val="21"/>
              </w:rPr>
              <w:t>t</w:t>
            </w:r>
            <w:r>
              <w:rPr>
                <w:rFonts w:ascii="Times New Roman" w:hAnsi="Times New Roman" w:cs="Times New Roman"/>
                <w:color w:val="auto"/>
              </w:rPr>
              <w:t>/a</w:t>
            </w:r>
          </w:p>
        </w:tc>
        <w:tc>
          <w:tcPr>
            <w:tcW w:w="2865" w:type="dxa"/>
            <w:gridSpan w:val="2"/>
            <w:tcBorders>
              <w:top w:val="single" w:color="auto" w:sz="4" w:space="0"/>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rFonts w:hint="eastAsia"/>
                <w:color w:val="auto"/>
                <w:sz w:val="21"/>
                <w:szCs w:val="21"/>
                <w:lang w:eastAsia="zh-CN"/>
              </w:rPr>
              <w:t>作为</w:t>
            </w:r>
            <w:r>
              <w:rPr>
                <w:rFonts w:hint="eastAsia"/>
                <w:color w:val="auto"/>
                <w:sz w:val="21"/>
                <w:szCs w:val="21"/>
              </w:rPr>
              <w:t>成品一起外售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7" w:type="dxa"/>
            <w:vMerge w:val="continue"/>
            <w:tcBorders>
              <w:left w:val="single" w:color="auto" w:sz="4" w:space="0"/>
              <w:right w:val="single" w:color="auto" w:sz="4" w:space="0"/>
            </w:tcBorders>
            <w:vAlign w:val="center"/>
          </w:tcPr>
          <w:p>
            <w:pPr>
              <w:pStyle w:val="33"/>
              <w:spacing w:line="240" w:lineRule="auto"/>
              <w:ind w:firstLine="0" w:firstLineChars="0"/>
              <w:rPr>
                <w:color w:val="auto"/>
              </w:rPr>
            </w:pPr>
          </w:p>
        </w:tc>
        <w:tc>
          <w:tcPr>
            <w:tcW w:w="977" w:type="dxa"/>
            <w:vMerge w:val="continue"/>
            <w:tcBorders>
              <w:left w:val="single" w:color="auto" w:sz="4" w:space="0"/>
              <w:right w:val="single" w:color="auto" w:sz="4" w:space="0"/>
            </w:tcBorders>
            <w:vAlign w:val="center"/>
          </w:tcPr>
          <w:p>
            <w:pPr>
              <w:pStyle w:val="33"/>
              <w:spacing w:line="240" w:lineRule="auto"/>
              <w:ind w:firstLine="0" w:firstLineChars="0"/>
              <w:rPr>
                <w:color w:val="auto"/>
              </w:rPr>
            </w:pPr>
          </w:p>
        </w:tc>
        <w:tc>
          <w:tcPr>
            <w:tcW w:w="1185" w:type="dxa"/>
            <w:vMerge w:val="continue"/>
            <w:tcBorders>
              <w:left w:val="single" w:color="auto" w:sz="4" w:space="0"/>
              <w:right w:val="single" w:color="auto" w:sz="4" w:space="0"/>
            </w:tcBorders>
            <w:vAlign w:val="center"/>
          </w:tcPr>
          <w:p>
            <w:pPr>
              <w:pStyle w:val="33"/>
              <w:spacing w:line="240" w:lineRule="auto"/>
              <w:ind w:firstLine="0" w:firstLineChars="0"/>
              <w:rPr>
                <w:color w:val="auto"/>
              </w:rPr>
            </w:pPr>
          </w:p>
        </w:tc>
        <w:tc>
          <w:tcPr>
            <w:tcW w:w="1233" w:type="dxa"/>
            <w:tcBorders>
              <w:top w:val="single" w:color="auto" w:sz="4" w:space="0"/>
              <w:left w:val="single" w:color="auto" w:sz="4" w:space="0"/>
              <w:bottom w:val="single" w:color="000000" w:sz="6" w:space="0"/>
              <w:right w:val="single" w:color="auto" w:sz="4" w:space="0"/>
            </w:tcBorders>
            <w:vAlign w:val="center"/>
          </w:tcPr>
          <w:p>
            <w:pPr>
              <w:pStyle w:val="33"/>
              <w:spacing w:line="240" w:lineRule="auto"/>
              <w:ind w:firstLine="0" w:firstLineChars="0"/>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eastAsia="zh-CN"/>
              </w:rPr>
              <w:t>破碎车间沉降粉尘</w:t>
            </w:r>
          </w:p>
        </w:tc>
        <w:tc>
          <w:tcPr>
            <w:tcW w:w="2665" w:type="dxa"/>
            <w:gridSpan w:val="2"/>
            <w:tcBorders>
              <w:top w:val="single" w:color="auto" w:sz="4" w:space="0"/>
              <w:left w:val="single" w:color="auto" w:sz="4" w:space="0"/>
              <w:bottom w:val="single" w:color="000000" w:sz="6" w:space="0"/>
              <w:right w:val="single" w:color="auto" w:sz="4" w:space="0"/>
            </w:tcBorders>
            <w:vAlign w:val="center"/>
          </w:tcPr>
          <w:p>
            <w:pPr>
              <w:pStyle w:val="33"/>
              <w:spacing w:line="240" w:lineRule="auto"/>
              <w:ind w:firstLine="0" w:firstLineChars="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0.</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t/a</w:t>
            </w:r>
          </w:p>
        </w:tc>
        <w:tc>
          <w:tcPr>
            <w:tcW w:w="2865" w:type="dxa"/>
            <w:gridSpan w:val="2"/>
            <w:tcBorders>
              <w:top w:val="single" w:color="auto" w:sz="4" w:space="0"/>
              <w:left w:val="single" w:color="auto" w:sz="4" w:space="0"/>
              <w:right w:val="single" w:color="auto" w:sz="4" w:space="0"/>
            </w:tcBorders>
            <w:vAlign w:val="center"/>
          </w:tcPr>
          <w:p>
            <w:pPr>
              <w:pStyle w:val="33"/>
              <w:spacing w:line="240" w:lineRule="auto"/>
              <w:ind w:firstLine="0" w:firstLineChars="0"/>
              <w:rPr>
                <w:rFonts w:hint="eastAsia" w:ascii="Times New Roman" w:hAnsi="Times New Roman" w:cs="Times New Roman"/>
                <w:color w:val="auto"/>
                <w:sz w:val="21"/>
                <w:szCs w:val="21"/>
              </w:rPr>
            </w:pPr>
            <w:r>
              <w:rPr>
                <w:rFonts w:hint="eastAsia"/>
                <w:color w:val="auto"/>
                <w:sz w:val="21"/>
                <w:szCs w:val="21"/>
                <w:lang w:eastAsia="zh-CN"/>
              </w:rPr>
              <w:t>作为</w:t>
            </w:r>
            <w:r>
              <w:rPr>
                <w:rFonts w:hint="eastAsia"/>
                <w:color w:val="auto"/>
                <w:sz w:val="21"/>
                <w:szCs w:val="21"/>
              </w:rPr>
              <w:t>成品一起外售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1185" w:type="dxa"/>
            <w:tcBorders>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pacing w:val="-2"/>
                <w:sz w:val="21"/>
                <w:szCs w:val="21"/>
              </w:rPr>
            </w:pPr>
            <w:r>
              <w:rPr>
                <w:rFonts w:hint="eastAsia" w:ascii="Times New Roman" w:hAnsi="Times New Roman" w:cs="Times New Roman"/>
                <w:color w:val="auto"/>
                <w:sz w:val="21"/>
                <w:szCs w:val="21"/>
              </w:rPr>
              <w:t>食堂</w:t>
            </w:r>
          </w:p>
        </w:tc>
        <w:tc>
          <w:tcPr>
            <w:tcW w:w="1233" w:type="dxa"/>
            <w:tcBorders>
              <w:top w:val="single" w:color="000000" w:sz="6" w:space="0"/>
              <w:left w:val="single" w:color="auto" w:sz="4" w:space="0"/>
              <w:bottom w:val="single" w:color="000000" w:sz="6"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rFonts w:hint="eastAsia" w:ascii="Times New Roman" w:hAnsi="Times New Roman" w:cs="Times New Roman"/>
                <w:color w:val="auto"/>
                <w:sz w:val="21"/>
                <w:szCs w:val="21"/>
              </w:rPr>
              <w:t>泔水</w:t>
            </w:r>
          </w:p>
        </w:tc>
        <w:tc>
          <w:tcPr>
            <w:tcW w:w="2665" w:type="dxa"/>
            <w:gridSpan w:val="2"/>
            <w:tcBorders>
              <w:top w:val="single" w:color="000000" w:sz="6" w:space="0"/>
              <w:left w:val="single" w:color="auto" w:sz="4" w:space="0"/>
              <w:bottom w:val="single" w:color="000000" w:sz="6"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rFonts w:hint="eastAsia" w:ascii="Times New Roman" w:hAnsi="Times New Roman" w:cs="Times New Roman"/>
                <w:color w:val="auto"/>
                <w:sz w:val="21"/>
                <w:szCs w:val="21"/>
              </w:rPr>
              <w:t>0.</w:t>
            </w:r>
            <w:r>
              <w:rPr>
                <w:rFonts w:hint="eastAsia" w:ascii="Times New Roman" w:hAnsi="Times New Roman" w:cs="Times New Roman"/>
                <w:color w:val="auto"/>
                <w:sz w:val="21"/>
                <w:szCs w:val="21"/>
                <w:lang w:val="en-US" w:eastAsia="zh-CN"/>
              </w:rPr>
              <w:t>6</w:t>
            </w:r>
            <w:r>
              <w:rPr>
                <w:rFonts w:ascii="Times New Roman" w:hAnsi="Times New Roman" w:cs="Times New Roman"/>
                <w:color w:val="auto"/>
              </w:rPr>
              <w:t>t/a</w:t>
            </w:r>
          </w:p>
        </w:tc>
        <w:tc>
          <w:tcPr>
            <w:tcW w:w="2865" w:type="dxa"/>
            <w:gridSpan w:val="2"/>
            <w:tcBorders>
              <w:left w:val="single" w:color="auto" w:sz="4" w:space="0"/>
              <w:right w:val="single" w:color="auto" w:sz="4" w:space="0"/>
            </w:tcBorders>
            <w:vAlign w:val="center"/>
          </w:tcPr>
          <w:p>
            <w:pPr>
              <w:pStyle w:val="33"/>
              <w:spacing w:line="240" w:lineRule="auto"/>
              <w:ind w:firstLine="0" w:firstLineChars="0"/>
              <w:rPr>
                <w:rFonts w:hint="eastAsia" w:ascii="Times New Roman" w:hAnsi="Times New Roman" w:eastAsia="宋体" w:cs="Times New Roman"/>
                <w:color w:val="auto"/>
                <w:spacing w:val="-2"/>
                <w:sz w:val="21"/>
                <w:szCs w:val="21"/>
                <w:lang w:eastAsia="zh-CN"/>
              </w:rPr>
            </w:pPr>
            <w:r>
              <w:rPr>
                <w:rFonts w:hint="eastAsia" w:ascii="Times New Roman" w:hAnsi="Times New Roman" w:cs="Times New Roman"/>
                <w:color w:val="auto"/>
                <w:sz w:val="21"/>
                <w:szCs w:val="21"/>
              </w:rPr>
              <w:t>收集在泔水桶内</w:t>
            </w:r>
            <w:r>
              <w:rPr>
                <w:rFonts w:hint="eastAsia" w:ascii="Times New Roman" w:hAnsi="Times New Roman" w:cs="Times New Roman"/>
                <w:color w:val="auto"/>
                <w:sz w:val="21"/>
                <w:szCs w:val="21"/>
                <w:lang w:eastAsia="zh-CN"/>
              </w:rPr>
              <w:t>由农户定期清运作为饲料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1185" w:type="dxa"/>
            <w:tcBorders>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pacing w:val="-2"/>
                <w:sz w:val="21"/>
                <w:szCs w:val="21"/>
              </w:rPr>
            </w:pPr>
            <w:r>
              <w:rPr>
                <w:rFonts w:hint="eastAsia" w:ascii="Times New Roman" w:hAnsi="Times New Roman" w:cs="Times New Roman"/>
                <w:color w:val="auto"/>
                <w:sz w:val="21"/>
                <w:szCs w:val="21"/>
              </w:rPr>
              <w:t>食堂</w:t>
            </w:r>
          </w:p>
        </w:tc>
        <w:tc>
          <w:tcPr>
            <w:tcW w:w="1233" w:type="dxa"/>
            <w:tcBorders>
              <w:top w:val="single" w:color="000000" w:sz="6" w:space="0"/>
              <w:left w:val="single" w:color="auto" w:sz="4" w:space="0"/>
              <w:bottom w:val="single" w:color="000000" w:sz="6"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rFonts w:hint="eastAsia" w:ascii="Times New Roman" w:hAnsi="Times New Roman" w:cs="Times New Roman"/>
                <w:color w:val="auto"/>
                <w:sz w:val="21"/>
                <w:szCs w:val="21"/>
              </w:rPr>
              <w:t>隔油池废油</w:t>
            </w:r>
          </w:p>
        </w:tc>
        <w:tc>
          <w:tcPr>
            <w:tcW w:w="2665" w:type="dxa"/>
            <w:gridSpan w:val="2"/>
            <w:tcBorders>
              <w:top w:val="single" w:color="000000" w:sz="6" w:space="0"/>
              <w:left w:val="single" w:color="auto" w:sz="4" w:space="0"/>
              <w:bottom w:val="single" w:color="000000" w:sz="6"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rFonts w:hint="eastAsia" w:ascii="Times New Roman" w:hAnsi="Times New Roman" w:cs="Times New Roman"/>
                <w:color w:val="auto"/>
                <w:sz w:val="21"/>
                <w:szCs w:val="21"/>
              </w:rPr>
              <w:t>0.</w:t>
            </w:r>
            <w:r>
              <w:rPr>
                <w:rFonts w:hint="eastAsia" w:ascii="Times New Roman" w:hAnsi="Times New Roman" w:cs="Times New Roman"/>
                <w:color w:val="auto"/>
                <w:sz w:val="21"/>
                <w:szCs w:val="21"/>
                <w:lang w:val="en-US" w:eastAsia="zh-CN"/>
              </w:rPr>
              <w:t>03</w:t>
            </w:r>
            <w:r>
              <w:rPr>
                <w:rFonts w:ascii="Times New Roman" w:hAnsi="Times New Roman" w:cs="Times New Roman"/>
                <w:color w:val="auto"/>
              </w:rPr>
              <w:t>t/a</w:t>
            </w:r>
          </w:p>
        </w:tc>
        <w:tc>
          <w:tcPr>
            <w:tcW w:w="2865" w:type="dxa"/>
            <w:gridSpan w:val="2"/>
            <w:tcBorders>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pacing w:val="-2"/>
                <w:sz w:val="21"/>
                <w:szCs w:val="21"/>
              </w:rPr>
            </w:pPr>
            <w:r>
              <w:rPr>
                <w:rFonts w:hint="eastAsia" w:ascii="Times New Roman" w:hAnsi="Times New Roman" w:cs="Times New Roman"/>
                <w:color w:val="auto"/>
                <w:sz w:val="21"/>
                <w:szCs w:val="21"/>
              </w:rPr>
              <w:t>委托有资质单位定期清掏清运处置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1185" w:type="dxa"/>
            <w:tcBorders>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pacing w:val="-2"/>
                <w:sz w:val="21"/>
                <w:szCs w:val="21"/>
              </w:rPr>
            </w:pPr>
            <w:r>
              <w:rPr>
                <w:rFonts w:hint="eastAsia" w:ascii="Times New Roman" w:hAnsi="Times New Roman" w:cs="Times New Roman"/>
                <w:color w:val="auto"/>
                <w:sz w:val="21"/>
                <w:szCs w:val="21"/>
              </w:rPr>
              <w:t>员工</w:t>
            </w:r>
          </w:p>
        </w:tc>
        <w:tc>
          <w:tcPr>
            <w:tcW w:w="1233" w:type="dxa"/>
            <w:tcBorders>
              <w:top w:val="single" w:color="000000" w:sz="6" w:space="0"/>
              <w:left w:val="single" w:color="auto" w:sz="4" w:space="0"/>
              <w:bottom w:val="single" w:color="000000" w:sz="6"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rFonts w:hint="eastAsia" w:ascii="Times New Roman" w:hAnsi="Times New Roman" w:cs="Times New Roman"/>
                <w:color w:val="auto"/>
                <w:sz w:val="21"/>
                <w:szCs w:val="21"/>
              </w:rPr>
              <w:t>生活垃圾</w:t>
            </w:r>
          </w:p>
        </w:tc>
        <w:tc>
          <w:tcPr>
            <w:tcW w:w="2665" w:type="dxa"/>
            <w:gridSpan w:val="2"/>
            <w:tcBorders>
              <w:top w:val="single" w:color="000000" w:sz="6" w:space="0"/>
              <w:left w:val="single" w:color="auto" w:sz="4" w:space="0"/>
              <w:bottom w:val="single" w:color="000000" w:sz="6"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1.5</w:t>
            </w:r>
            <w:r>
              <w:rPr>
                <w:rFonts w:ascii="Times New Roman" w:hAnsi="Times New Roman" w:cs="Times New Roman"/>
                <w:color w:val="auto"/>
              </w:rPr>
              <w:t>t/a</w:t>
            </w:r>
          </w:p>
        </w:tc>
        <w:tc>
          <w:tcPr>
            <w:tcW w:w="2865" w:type="dxa"/>
            <w:gridSpan w:val="2"/>
            <w:tcBorders>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pacing w:val="-2"/>
                <w:sz w:val="21"/>
                <w:szCs w:val="21"/>
              </w:rPr>
            </w:pPr>
            <w:r>
              <w:rPr>
                <w:rFonts w:hint="eastAsia" w:ascii="Times New Roman" w:hAnsi="Times New Roman" w:cs="Times New Roman"/>
                <w:color w:val="auto"/>
                <w:sz w:val="21"/>
                <w:szCs w:val="21"/>
              </w:rPr>
              <w:t>经垃圾桶收集后，定期清运至周边村庄指定的垃圾堆存点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977" w:type="dxa"/>
            <w:vMerge w:val="continue"/>
            <w:tcBorders>
              <w:left w:val="single" w:color="auto" w:sz="4" w:space="0"/>
              <w:right w:val="single" w:color="auto" w:sz="4" w:space="0"/>
            </w:tcBorders>
            <w:vAlign w:val="center"/>
          </w:tcPr>
          <w:p>
            <w:pPr>
              <w:widowControl/>
              <w:spacing w:line="240" w:lineRule="auto"/>
              <w:ind w:firstLine="0" w:firstLineChars="0"/>
              <w:rPr>
                <w:color w:val="auto"/>
                <w:spacing w:val="-2"/>
                <w:sz w:val="21"/>
                <w:szCs w:val="21"/>
              </w:rPr>
            </w:pPr>
          </w:p>
        </w:tc>
        <w:tc>
          <w:tcPr>
            <w:tcW w:w="1185" w:type="dxa"/>
            <w:tcBorders>
              <w:left w:val="single" w:color="auto" w:sz="4"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rFonts w:hint="eastAsia" w:ascii="Times New Roman" w:hAnsi="Times New Roman" w:cs="Times New Roman"/>
                <w:color w:val="auto"/>
                <w:sz w:val="21"/>
                <w:szCs w:val="21"/>
              </w:rPr>
              <w:t>设备维修保养</w:t>
            </w:r>
          </w:p>
        </w:tc>
        <w:tc>
          <w:tcPr>
            <w:tcW w:w="1233" w:type="dxa"/>
            <w:tcBorders>
              <w:top w:val="single" w:color="000000" w:sz="6" w:space="0"/>
              <w:left w:val="single" w:color="auto" w:sz="4" w:space="0"/>
              <w:bottom w:val="single" w:color="000000" w:sz="6" w:space="0"/>
              <w:right w:val="single" w:color="auto" w:sz="4" w:space="0"/>
            </w:tcBorders>
            <w:vAlign w:val="center"/>
          </w:tcPr>
          <w:p>
            <w:pPr>
              <w:pStyle w:val="21"/>
              <w:spacing w:line="240" w:lineRule="auto"/>
              <w:ind w:firstLine="0" w:firstLineChars="0"/>
              <w:rPr>
                <w:rFonts w:ascii="Times New Roman" w:hAnsi="Times New Roman"/>
                <w:color w:val="auto"/>
                <w:kern w:val="2"/>
                <w:sz w:val="21"/>
                <w:szCs w:val="21"/>
              </w:rPr>
            </w:pPr>
            <w:r>
              <w:rPr>
                <w:rFonts w:hint="eastAsia" w:ascii="Times New Roman" w:hAnsi="Times New Roman"/>
                <w:color w:val="auto"/>
                <w:sz w:val="21"/>
                <w:szCs w:val="21"/>
              </w:rPr>
              <w:t>废矿物油</w:t>
            </w:r>
          </w:p>
        </w:tc>
        <w:tc>
          <w:tcPr>
            <w:tcW w:w="2665" w:type="dxa"/>
            <w:gridSpan w:val="2"/>
            <w:tcBorders>
              <w:top w:val="single" w:color="000000" w:sz="6" w:space="0"/>
              <w:left w:val="single" w:color="auto" w:sz="4" w:space="0"/>
              <w:bottom w:val="single" w:color="000000" w:sz="6" w:space="0"/>
              <w:right w:val="single" w:color="auto" w:sz="4" w:space="0"/>
            </w:tcBorders>
            <w:vAlign w:val="center"/>
          </w:tcPr>
          <w:p>
            <w:pPr>
              <w:pStyle w:val="33"/>
              <w:spacing w:line="240" w:lineRule="auto"/>
              <w:ind w:firstLine="0" w:firstLineChars="0"/>
              <w:rPr>
                <w:rFonts w:ascii="Times New Roman" w:hAnsi="Times New Roman" w:cs="Times New Roman"/>
                <w:color w:val="auto"/>
                <w:sz w:val="21"/>
                <w:szCs w:val="21"/>
              </w:rPr>
            </w:pPr>
            <w:r>
              <w:rPr>
                <w:rFonts w:hint="eastAsia" w:ascii="Times New Roman" w:hAnsi="Times New Roman" w:cs="Times New Roman"/>
                <w:color w:val="auto"/>
                <w:sz w:val="21"/>
                <w:szCs w:val="21"/>
              </w:rPr>
              <w:t>0.</w:t>
            </w:r>
            <w:r>
              <w:rPr>
                <w:rFonts w:hint="eastAsia" w:ascii="Times New Roman" w:hAnsi="Times New Roman" w:cs="Times New Roman"/>
                <w:color w:val="auto"/>
                <w:sz w:val="21"/>
                <w:szCs w:val="21"/>
                <w:lang w:val="en-US" w:eastAsia="zh-CN"/>
              </w:rPr>
              <w:t>05</w:t>
            </w:r>
            <w:r>
              <w:rPr>
                <w:rFonts w:ascii="Times New Roman" w:hAnsi="Times New Roman" w:cs="Times New Roman"/>
                <w:color w:val="auto"/>
              </w:rPr>
              <w:t>t/a</w:t>
            </w:r>
          </w:p>
        </w:tc>
        <w:tc>
          <w:tcPr>
            <w:tcW w:w="2865" w:type="dxa"/>
            <w:gridSpan w:val="2"/>
            <w:tcBorders>
              <w:left w:val="single" w:color="auto" w:sz="4" w:space="0"/>
              <w:right w:val="single" w:color="auto" w:sz="4" w:space="0"/>
            </w:tcBorders>
            <w:vAlign w:val="center"/>
          </w:tcPr>
          <w:p>
            <w:pPr>
              <w:spacing w:line="240" w:lineRule="auto"/>
              <w:ind w:firstLine="0" w:firstLineChars="0"/>
              <w:rPr>
                <w:color w:val="auto"/>
                <w:sz w:val="21"/>
                <w:szCs w:val="21"/>
              </w:rPr>
            </w:pPr>
            <w:r>
              <w:rPr>
                <w:rFonts w:hint="eastAsia"/>
                <w:color w:val="auto"/>
                <w:sz w:val="21"/>
                <w:szCs w:val="21"/>
              </w:rPr>
              <w:t>在危废暂存间存放后</w:t>
            </w:r>
            <w:r>
              <w:rPr>
                <w:color w:val="auto"/>
                <w:sz w:val="21"/>
                <w:szCs w:val="21"/>
              </w:rPr>
              <w:t>，</w:t>
            </w:r>
            <w:r>
              <w:rPr>
                <w:rFonts w:hint="eastAsia"/>
                <w:bCs/>
                <w:color w:val="auto"/>
                <w:sz w:val="21"/>
                <w:szCs w:val="21"/>
              </w:rPr>
              <w:t>交由有资质的单位</w:t>
            </w:r>
            <w:r>
              <w:rPr>
                <w:bCs/>
                <w:color w:val="auto"/>
                <w:sz w:val="21"/>
                <w:szCs w:val="21"/>
              </w:rPr>
              <w:t>定期清运处置。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652" w:type="dxa"/>
            <w:gridSpan w:val="8"/>
            <w:tcBorders>
              <w:top w:val="single" w:color="auto" w:sz="4" w:space="0"/>
              <w:left w:val="single" w:color="auto" w:sz="4" w:space="0"/>
              <w:bottom w:val="single" w:color="auto" w:sz="4" w:space="0"/>
              <w:right w:val="single" w:color="auto" w:sz="4" w:space="0"/>
            </w:tcBorders>
            <w:vAlign w:val="center"/>
          </w:tcPr>
          <w:p>
            <w:pPr>
              <w:ind w:firstLine="482"/>
              <w:rPr>
                <w:b/>
                <w:bCs/>
                <w:color w:val="auto"/>
              </w:rPr>
            </w:pPr>
            <w:r>
              <w:rPr>
                <w:b/>
                <w:bCs/>
                <w:color w:val="auto"/>
              </w:rPr>
              <w:t>主要生态影响：</w:t>
            </w:r>
          </w:p>
          <w:p>
            <w:pPr>
              <w:ind w:firstLine="480"/>
              <w:rPr>
                <w:color w:val="auto"/>
                <w:sz w:val="21"/>
                <w:szCs w:val="21"/>
              </w:rPr>
            </w:pPr>
            <w:r>
              <w:rPr>
                <w:color w:val="auto"/>
              </w:rPr>
              <w:t>项目位于</w:t>
            </w:r>
            <w:r>
              <w:rPr>
                <w:rFonts w:hint="eastAsia"/>
                <w:color w:val="auto"/>
              </w:rPr>
              <w:t>云南省昆明市宜良县匡远镇瑞星村委会麦冲村</w:t>
            </w:r>
            <w:r>
              <w:rPr>
                <w:color w:val="auto"/>
              </w:rPr>
              <w:t>。项目</w:t>
            </w:r>
            <w:r>
              <w:rPr>
                <w:rFonts w:hint="eastAsia"/>
                <w:color w:val="auto"/>
              </w:rPr>
              <w:t>主要生态影响集中在施工期，根据现场调查，项目施工期主要主要进行厂房厂区截排水沟及雨水收集池进行建设，</w:t>
            </w:r>
            <w:r>
              <w:rPr>
                <w:rFonts w:hint="eastAsia" w:hAnsi="宋体"/>
                <w:color w:val="auto"/>
              </w:rPr>
              <w:t>施工</w:t>
            </w:r>
            <w:r>
              <w:rPr>
                <w:rFonts w:hint="eastAsia" w:ascii="宋体" w:cs="宋体" w:hAnsiTheme="minorHAnsi"/>
                <w:color w:val="auto"/>
                <w:kern w:val="0"/>
              </w:rPr>
              <w:t>工程量较小，施工时间短，在落实好工程施工区域围挡、建筑物遮盖等措施的前提下，</w:t>
            </w:r>
            <w:r>
              <w:rPr>
                <w:rFonts w:hint="eastAsia"/>
                <w:color w:val="auto"/>
              </w:rPr>
              <w:t>项目施工期对周围生态环境影响小。</w:t>
            </w:r>
          </w:p>
        </w:tc>
      </w:tr>
    </w:tbl>
    <w:p>
      <w:pPr>
        <w:ind w:firstLine="480"/>
        <w:jc w:val="center"/>
      </w:pPr>
      <w:r>
        <w:br w:type="page"/>
      </w:r>
    </w:p>
    <w:p>
      <w:pPr>
        <w:pStyle w:val="4"/>
        <w:adjustRightInd w:val="0"/>
        <w:snapToGrid w:val="0"/>
        <w:spacing w:line="360" w:lineRule="auto"/>
        <w:ind w:firstLine="0" w:firstLineChars="0"/>
        <w:rPr>
          <w:color w:val="000000" w:themeColor="text1"/>
          <w:sz w:val="32"/>
          <w:szCs w:val="32"/>
        </w:rPr>
      </w:pPr>
      <w:bookmarkStart w:id="30" w:name="_Toc426044927"/>
      <w:bookmarkStart w:id="31" w:name="_Toc13238"/>
      <w:r>
        <w:rPr>
          <w:rFonts w:hint="eastAsia"/>
          <w:color w:val="000000" w:themeColor="text1"/>
          <w:sz w:val="32"/>
          <w:szCs w:val="32"/>
        </w:rPr>
        <w:t>表</w:t>
      </w:r>
      <w:r>
        <w:rPr>
          <w:color w:val="000000" w:themeColor="text1"/>
          <w:sz w:val="32"/>
          <w:szCs w:val="32"/>
        </w:rPr>
        <w:t>七、环境影响分析</w:t>
      </w:r>
      <w:bookmarkEnd w:id="30"/>
      <w:bookmarkEnd w:id="31"/>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ind w:firstLine="482"/>
              <w:rPr>
                <w:b/>
                <w:color w:val="000000" w:themeColor="text1"/>
              </w:rPr>
            </w:pPr>
            <w:r>
              <w:rPr>
                <w:rFonts w:hint="eastAsia"/>
                <w:b/>
                <w:color w:val="000000" w:themeColor="text1"/>
              </w:rPr>
              <w:t>一、</w:t>
            </w:r>
            <w:r>
              <w:rPr>
                <w:b/>
                <w:color w:val="000000" w:themeColor="text1"/>
              </w:rPr>
              <w:t>施工期环境影响分析</w:t>
            </w:r>
          </w:p>
          <w:p>
            <w:pPr>
              <w:snapToGrid w:val="0"/>
              <w:ind w:firstLine="482"/>
              <w:rPr>
                <w:b/>
              </w:rPr>
            </w:pPr>
            <w:r>
              <w:rPr>
                <w:rFonts w:hint="eastAsia"/>
                <w:b/>
              </w:rPr>
              <w:t>1、大气环境影响分析</w:t>
            </w:r>
          </w:p>
          <w:p>
            <w:pPr>
              <w:snapToGrid w:val="0"/>
              <w:ind w:firstLine="480"/>
            </w:pPr>
            <w:r>
              <w:rPr>
                <w:rFonts w:hint="eastAsia"/>
              </w:rPr>
              <w:t>（1）扬尘</w:t>
            </w:r>
          </w:p>
          <w:p>
            <w:pPr>
              <w:ind w:firstLine="480"/>
              <w:jc w:val="left"/>
              <w:rPr>
                <w:color w:val="000000"/>
                <w:kern w:val="0"/>
              </w:rPr>
            </w:pPr>
            <w:r>
              <w:rPr>
                <w:rFonts w:hint="eastAsia" w:hAnsi="宋体"/>
                <w:color w:val="000000" w:themeColor="text1"/>
              </w:rPr>
              <w:t>根据工程分析可知，施工期产生的扬尘主要为施工扬尘、</w:t>
            </w:r>
            <w:r>
              <w:rPr>
                <w:rFonts w:hint="eastAsia" w:hAnsi="宋体"/>
                <w:bCs/>
                <w:color w:val="000000" w:themeColor="text1"/>
              </w:rPr>
              <w:t>运输车辆及燃油机械设备产生的燃油废气</w:t>
            </w:r>
            <w:r>
              <w:rPr>
                <w:rFonts w:hint="eastAsia" w:hAnsi="宋体"/>
                <w:color w:val="000000" w:themeColor="text1"/>
              </w:rPr>
              <w:t>。</w:t>
            </w:r>
            <w:r>
              <w:rPr>
                <w:color w:val="000000"/>
                <w:kern w:val="0"/>
              </w:rPr>
              <w:t>根据</w:t>
            </w:r>
            <w:r>
              <w:rPr>
                <w:rFonts w:hint="eastAsia"/>
                <w:color w:val="000000"/>
                <w:kern w:val="0"/>
              </w:rPr>
              <w:t>北京市环境科学研究院对7个建筑工程工地的扬尘测定的结果，具体如下</w:t>
            </w:r>
            <w:r>
              <w:rPr>
                <w:color w:val="000000"/>
                <w:kern w:val="0"/>
              </w:rPr>
              <w:t>：</w:t>
            </w:r>
          </w:p>
          <w:p>
            <w:pPr>
              <w:ind w:firstLine="480"/>
              <w:jc w:val="left"/>
              <w:rPr>
                <w:color w:val="000000"/>
                <w:kern w:val="0"/>
              </w:rPr>
            </w:pPr>
            <w:r>
              <w:rPr>
                <w:rFonts w:hint="eastAsia"/>
                <w:color w:val="000000"/>
                <w:kern w:val="0"/>
              </w:rPr>
              <w:t>①</w:t>
            </w:r>
            <w:r>
              <w:rPr>
                <w:color w:val="000000"/>
                <w:kern w:val="0"/>
              </w:rPr>
              <w:t>当风速为2.4m/s时，建筑施工扬尘污染严重，工地内TSP浓度为上风向对照点的1.5~2.3倍，平均1.88倍，相当于《环境空气质量标准》（GB3095-2012）中二级标准限值的1.4~2.5倍，平均1.98倍。</w:t>
            </w:r>
          </w:p>
          <w:p>
            <w:pPr>
              <w:ind w:firstLine="480"/>
              <w:jc w:val="left"/>
              <w:rPr>
                <w:color w:val="000000"/>
                <w:kern w:val="0"/>
              </w:rPr>
            </w:pPr>
            <w:r>
              <w:rPr>
                <w:rFonts w:hint="eastAsia"/>
                <w:color w:val="000000"/>
                <w:kern w:val="0"/>
              </w:rPr>
              <w:t>②</w:t>
            </w:r>
            <w:r>
              <w:rPr>
                <w:color w:val="000000"/>
                <w:kern w:val="0"/>
              </w:rPr>
              <w:t>建筑施工扬尘的影响范围为其下风向150m之内，在风速1.5~2.0m/s范围内，施工场地下风向100m之内扬尘影响较严重，被影响地区的TSP浓度平均值为0.491mg/m</w:t>
            </w:r>
            <w:r>
              <w:rPr>
                <w:color w:val="000000"/>
                <w:kern w:val="0"/>
                <w:vertAlign w:val="superscript"/>
              </w:rPr>
              <w:t>3</w:t>
            </w:r>
            <w:r>
              <w:rPr>
                <w:color w:val="000000"/>
                <w:kern w:val="0"/>
              </w:rPr>
              <w:t>，为上风向对照点的1.5倍，相当于GB3095-2012《环境空气质量标准》中二级标准限值的1.6倍。</w:t>
            </w:r>
          </w:p>
          <w:p>
            <w:pPr>
              <w:ind w:firstLine="480"/>
              <w:jc w:val="left"/>
              <w:rPr>
                <w:color w:val="000000"/>
                <w:kern w:val="0"/>
              </w:rPr>
            </w:pPr>
            <w:r>
              <w:rPr>
                <w:rFonts w:hint="eastAsia"/>
                <w:color w:val="000000"/>
                <w:kern w:val="0"/>
              </w:rPr>
              <w:t>类比其他建筑工地扬尘污染情况见表7-1。</w:t>
            </w:r>
          </w:p>
          <w:p>
            <w:pPr>
              <w:ind w:firstLine="482"/>
              <w:jc w:val="center"/>
              <w:rPr>
                <w:b/>
                <w:color w:val="000000"/>
                <w:kern w:val="0"/>
                <w:szCs w:val="21"/>
              </w:rPr>
            </w:pPr>
            <w:r>
              <w:rPr>
                <w:b/>
                <w:color w:val="000000"/>
                <w:kern w:val="0"/>
                <w:szCs w:val="21"/>
              </w:rPr>
              <w:t>表7-</w:t>
            </w:r>
            <w:r>
              <w:rPr>
                <w:rFonts w:hint="eastAsia"/>
                <w:b/>
                <w:color w:val="000000"/>
                <w:kern w:val="0"/>
                <w:szCs w:val="21"/>
              </w:rPr>
              <w:t xml:space="preserve">1    </w:t>
            </w:r>
            <w:r>
              <w:rPr>
                <w:b/>
                <w:color w:val="000000"/>
                <w:kern w:val="0"/>
                <w:szCs w:val="21"/>
              </w:rPr>
              <w:t>类比其它建筑施工工地扬尘污染情况</w:t>
            </w:r>
            <w:r>
              <w:rPr>
                <w:rFonts w:hint="eastAsia"/>
                <w:b/>
                <w:color w:val="000000"/>
                <w:kern w:val="0"/>
                <w:szCs w:val="21"/>
              </w:rPr>
              <w:t xml:space="preserve">   单位：</w:t>
            </w:r>
            <w:r>
              <w:rPr>
                <w:b/>
                <w:color w:val="000000"/>
                <w:kern w:val="0"/>
                <w:szCs w:val="21"/>
              </w:rPr>
              <w:t>mg/m</w:t>
            </w:r>
            <w:r>
              <w:rPr>
                <w:b/>
                <w:color w:val="000000"/>
                <w:kern w:val="0"/>
                <w:szCs w:val="21"/>
                <w:vertAlign w:val="superscript"/>
              </w:rPr>
              <w:t>3</w:t>
            </w:r>
          </w:p>
          <w:tbl>
            <w:tblPr>
              <w:tblStyle w:val="22"/>
              <w:tblW w:w="8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2"/>
              <w:gridCol w:w="1275"/>
              <w:gridCol w:w="1275"/>
              <w:gridCol w:w="1312"/>
              <w:gridCol w:w="1404"/>
              <w:gridCol w:w="1406"/>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730" w:type="dxa"/>
                  <w:vMerge w:val="restart"/>
                  <w:vAlign w:val="center"/>
                </w:tcPr>
                <w:p>
                  <w:pPr>
                    <w:widowControl/>
                    <w:adjustRightInd w:val="0"/>
                    <w:snapToGrid w:val="0"/>
                    <w:spacing w:line="240" w:lineRule="auto"/>
                    <w:ind w:firstLine="0" w:firstLineChars="0"/>
                    <w:jc w:val="center"/>
                    <w:textAlignment w:val="baseline"/>
                    <w:rPr>
                      <w:b/>
                      <w:kern w:val="0"/>
                      <w:sz w:val="21"/>
                      <w:szCs w:val="21"/>
                    </w:rPr>
                  </w:pPr>
                  <w:r>
                    <w:rPr>
                      <w:b/>
                      <w:kern w:val="0"/>
                      <w:sz w:val="21"/>
                      <w:szCs w:val="21"/>
                    </w:rPr>
                    <w:t>检测</w:t>
                  </w:r>
                </w:p>
                <w:p>
                  <w:pPr>
                    <w:widowControl/>
                    <w:adjustRightInd w:val="0"/>
                    <w:snapToGrid w:val="0"/>
                    <w:spacing w:line="240" w:lineRule="auto"/>
                    <w:ind w:firstLine="0" w:firstLineChars="0"/>
                    <w:jc w:val="center"/>
                    <w:textAlignment w:val="baseline"/>
                    <w:rPr>
                      <w:b/>
                      <w:kern w:val="0"/>
                      <w:sz w:val="21"/>
                      <w:szCs w:val="21"/>
                    </w:rPr>
                  </w:pPr>
                  <w:r>
                    <w:rPr>
                      <w:b/>
                      <w:kern w:val="0"/>
                      <w:sz w:val="21"/>
                      <w:szCs w:val="21"/>
                    </w:rPr>
                    <w:t>位置</w:t>
                  </w:r>
                </w:p>
              </w:tc>
              <w:tc>
                <w:tcPr>
                  <w:tcW w:w="1239" w:type="dxa"/>
                  <w:vMerge w:val="restart"/>
                  <w:vAlign w:val="center"/>
                </w:tcPr>
                <w:p>
                  <w:pPr>
                    <w:widowControl/>
                    <w:adjustRightInd w:val="0"/>
                    <w:snapToGrid w:val="0"/>
                    <w:spacing w:line="240" w:lineRule="auto"/>
                    <w:ind w:firstLine="0" w:firstLineChars="0"/>
                    <w:jc w:val="center"/>
                    <w:textAlignment w:val="baseline"/>
                    <w:rPr>
                      <w:b/>
                      <w:kern w:val="0"/>
                      <w:sz w:val="21"/>
                      <w:szCs w:val="21"/>
                    </w:rPr>
                  </w:pPr>
                  <w:r>
                    <w:rPr>
                      <w:b/>
                      <w:kern w:val="0"/>
                      <w:sz w:val="21"/>
                      <w:szCs w:val="21"/>
                    </w:rPr>
                    <w:t>工地上风向50m</w:t>
                  </w:r>
                </w:p>
              </w:tc>
              <w:tc>
                <w:tcPr>
                  <w:tcW w:w="1239" w:type="dxa"/>
                  <w:vMerge w:val="restart"/>
                  <w:vAlign w:val="center"/>
                </w:tcPr>
                <w:p>
                  <w:pPr>
                    <w:widowControl/>
                    <w:adjustRightInd w:val="0"/>
                    <w:snapToGrid w:val="0"/>
                    <w:spacing w:line="240" w:lineRule="auto"/>
                    <w:ind w:firstLine="0" w:firstLineChars="0"/>
                    <w:jc w:val="center"/>
                    <w:textAlignment w:val="baseline"/>
                    <w:rPr>
                      <w:b/>
                      <w:kern w:val="0"/>
                      <w:sz w:val="21"/>
                      <w:szCs w:val="21"/>
                    </w:rPr>
                  </w:pPr>
                  <w:r>
                    <w:rPr>
                      <w:b/>
                      <w:kern w:val="0"/>
                      <w:sz w:val="21"/>
                      <w:szCs w:val="21"/>
                    </w:rPr>
                    <w:t>工地内</w:t>
                  </w:r>
                </w:p>
              </w:tc>
              <w:tc>
                <w:tcPr>
                  <w:tcW w:w="4152" w:type="dxa"/>
                  <w:gridSpan w:val="3"/>
                  <w:vAlign w:val="center"/>
                </w:tcPr>
                <w:p>
                  <w:pPr>
                    <w:widowControl/>
                    <w:adjustRightInd w:val="0"/>
                    <w:snapToGrid w:val="0"/>
                    <w:spacing w:line="240" w:lineRule="auto"/>
                    <w:ind w:firstLine="0" w:firstLineChars="0"/>
                    <w:jc w:val="center"/>
                    <w:textAlignment w:val="baseline"/>
                    <w:rPr>
                      <w:b/>
                      <w:kern w:val="0"/>
                      <w:sz w:val="21"/>
                      <w:szCs w:val="21"/>
                    </w:rPr>
                  </w:pPr>
                  <w:r>
                    <w:rPr>
                      <w:b/>
                      <w:kern w:val="0"/>
                      <w:sz w:val="21"/>
                      <w:szCs w:val="21"/>
                    </w:rPr>
                    <w:t>工地下风向</w:t>
                  </w:r>
                </w:p>
              </w:tc>
              <w:tc>
                <w:tcPr>
                  <w:tcW w:w="938" w:type="dxa"/>
                  <w:vMerge w:val="restart"/>
                  <w:vAlign w:val="center"/>
                </w:tcPr>
                <w:p>
                  <w:pPr>
                    <w:widowControl/>
                    <w:adjustRightInd w:val="0"/>
                    <w:snapToGrid w:val="0"/>
                    <w:spacing w:line="240" w:lineRule="auto"/>
                    <w:ind w:firstLine="0" w:firstLineChars="0"/>
                    <w:textAlignment w:val="baseline"/>
                    <w:rPr>
                      <w:b/>
                      <w:kern w:val="0"/>
                      <w:sz w:val="21"/>
                      <w:szCs w:val="21"/>
                    </w:rPr>
                  </w:pPr>
                  <w:r>
                    <w:rPr>
                      <w:rFonts w:hint="eastAsia"/>
                      <w:b/>
                      <w:kern w:val="0"/>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730" w:type="dxa"/>
                  <w:vMerge w:val="continue"/>
                  <w:vAlign w:val="center"/>
                </w:tcPr>
                <w:p>
                  <w:pPr>
                    <w:widowControl/>
                    <w:adjustRightInd w:val="0"/>
                    <w:snapToGrid w:val="0"/>
                    <w:spacing w:line="240" w:lineRule="auto"/>
                    <w:ind w:firstLine="0" w:firstLineChars="0"/>
                    <w:jc w:val="center"/>
                    <w:textAlignment w:val="baseline"/>
                    <w:rPr>
                      <w:b/>
                      <w:kern w:val="0"/>
                      <w:sz w:val="21"/>
                      <w:szCs w:val="21"/>
                    </w:rPr>
                  </w:pPr>
                </w:p>
              </w:tc>
              <w:tc>
                <w:tcPr>
                  <w:tcW w:w="1239" w:type="dxa"/>
                  <w:vMerge w:val="continue"/>
                  <w:vAlign w:val="center"/>
                </w:tcPr>
                <w:p>
                  <w:pPr>
                    <w:widowControl/>
                    <w:adjustRightInd w:val="0"/>
                    <w:snapToGrid w:val="0"/>
                    <w:spacing w:line="240" w:lineRule="auto"/>
                    <w:ind w:firstLine="0" w:firstLineChars="0"/>
                    <w:jc w:val="center"/>
                    <w:textAlignment w:val="baseline"/>
                    <w:rPr>
                      <w:b/>
                      <w:kern w:val="0"/>
                      <w:sz w:val="21"/>
                      <w:szCs w:val="21"/>
                    </w:rPr>
                  </w:pPr>
                </w:p>
              </w:tc>
              <w:tc>
                <w:tcPr>
                  <w:tcW w:w="1239" w:type="dxa"/>
                  <w:vMerge w:val="continue"/>
                  <w:vAlign w:val="center"/>
                </w:tcPr>
                <w:p>
                  <w:pPr>
                    <w:widowControl/>
                    <w:adjustRightInd w:val="0"/>
                    <w:snapToGrid w:val="0"/>
                    <w:spacing w:line="240" w:lineRule="auto"/>
                    <w:ind w:firstLine="0" w:firstLineChars="0"/>
                    <w:jc w:val="center"/>
                    <w:textAlignment w:val="baseline"/>
                    <w:rPr>
                      <w:b/>
                      <w:kern w:val="0"/>
                      <w:sz w:val="21"/>
                      <w:szCs w:val="21"/>
                    </w:rPr>
                  </w:pPr>
                </w:p>
              </w:tc>
              <w:tc>
                <w:tcPr>
                  <w:tcW w:w="1316" w:type="dxa"/>
                  <w:vAlign w:val="center"/>
                </w:tcPr>
                <w:p>
                  <w:pPr>
                    <w:widowControl/>
                    <w:adjustRightInd w:val="0"/>
                    <w:snapToGrid w:val="0"/>
                    <w:spacing w:line="240" w:lineRule="auto"/>
                    <w:ind w:firstLine="0" w:firstLineChars="0"/>
                    <w:jc w:val="center"/>
                    <w:textAlignment w:val="baseline"/>
                    <w:rPr>
                      <w:b/>
                      <w:kern w:val="0"/>
                      <w:sz w:val="21"/>
                      <w:szCs w:val="21"/>
                    </w:rPr>
                  </w:pPr>
                  <w:r>
                    <w:rPr>
                      <w:b/>
                      <w:kern w:val="0"/>
                      <w:sz w:val="21"/>
                      <w:szCs w:val="21"/>
                    </w:rPr>
                    <w:t>50m</w:t>
                  </w:r>
                </w:p>
              </w:tc>
              <w:tc>
                <w:tcPr>
                  <w:tcW w:w="1417" w:type="dxa"/>
                  <w:vAlign w:val="center"/>
                </w:tcPr>
                <w:p>
                  <w:pPr>
                    <w:widowControl/>
                    <w:adjustRightInd w:val="0"/>
                    <w:snapToGrid w:val="0"/>
                    <w:spacing w:line="240" w:lineRule="auto"/>
                    <w:ind w:firstLine="0" w:firstLineChars="0"/>
                    <w:jc w:val="center"/>
                    <w:textAlignment w:val="baseline"/>
                    <w:rPr>
                      <w:b/>
                      <w:kern w:val="0"/>
                      <w:sz w:val="21"/>
                      <w:szCs w:val="21"/>
                    </w:rPr>
                  </w:pPr>
                  <w:r>
                    <w:rPr>
                      <w:b/>
                      <w:kern w:val="0"/>
                      <w:sz w:val="21"/>
                      <w:szCs w:val="21"/>
                    </w:rPr>
                    <w:t>100m</w:t>
                  </w:r>
                </w:p>
              </w:tc>
              <w:tc>
                <w:tcPr>
                  <w:tcW w:w="1419" w:type="dxa"/>
                  <w:vAlign w:val="center"/>
                </w:tcPr>
                <w:p>
                  <w:pPr>
                    <w:widowControl/>
                    <w:adjustRightInd w:val="0"/>
                    <w:snapToGrid w:val="0"/>
                    <w:spacing w:line="240" w:lineRule="auto"/>
                    <w:ind w:firstLine="0" w:firstLineChars="0"/>
                    <w:jc w:val="center"/>
                    <w:textAlignment w:val="baseline"/>
                    <w:rPr>
                      <w:b/>
                      <w:kern w:val="0"/>
                      <w:sz w:val="21"/>
                      <w:szCs w:val="21"/>
                    </w:rPr>
                  </w:pPr>
                  <w:r>
                    <w:rPr>
                      <w:b/>
                      <w:kern w:val="0"/>
                      <w:sz w:val="21"/>
                      <w:szCs w:val="21"/>
                    </w:rPr>
                    <w:t>150m</w:t>
                  </w:r>
                </w:p>
              </w:tc>
              <w:tc>
                <w:tcPr>
                  <w:tcW w:w="938" w:type="dxa"/>
                  <w:vMerge w:val="continue"/>
                  <w:vAlign w:val="center"/>
                </w:tcPr>
                <w:p>
                  <w:pPr>
                    <w:widowControl/>
                    <w:adjustRightInd w:val="0"/>
                    <w:snapToGrid w:val="0"/>
                    <w:spacing w:line="240" w:lineRule="auto"/>
                    <w:ind w:firstLine="0" w:firstLineChars="0"/>
                    <w:jc w:val="center"/>
                    <w:textAlignment w:val="baseline"/>
                    <w:rPr>
                      <w:b/>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730"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范围值</w:t>
                  </w:r>
                </w:p>
              </w:tc>
              <w:tc>
                <w:tcPr>
                  <w:tcW w:w="1239"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0.303~0.328</w:t>
                  </w:r>
                </w:p>
              </w:tc>
              <w:tc>
                <w:tcPr>
                  <w:tcW w:w="1239"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0.409~0.759</w:t>
                  </w:r>
                </w:p>
              </w:tc>
              <w:tc>
                <w:tcPr>
                  <w:tcW w:w="1316"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0.434~0.538</w:t>
                  </w:r>
                </w:p>
              </w:tc>
              <w:tc>
                <w:tcPr>
                  <w:tcW w:w="1417"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0.356~0.465</w:t>
                  </w:r>
                </w:p>
              </w:tc>
              <w:tc>
                <w:tcPr>
                  <w:tcW w:w="1419"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0.309~0.336</w:t>
                  </w:r>
                </w:p>
              </w:tc>
              <w:tc>
                <w:tcPr>
                  <w:tcW w:w="938" w:type="dxa"/>
                  <w:vMerge w:val="restart"/>
                  <w:vAlign w:val="center"/>
                </w:tcPr>
                <w:p>
                  <w:pPr>
                    <w:widowControl/>
                    <w:adjustRightInd w:val="0"/>
                    <w:snapToGrid w:val="0"/>
                    <w:spacing w:line="240" w:lineRule="auto"/>
                    <w:ind w:firstLine="0" w:firstLineChars="0"/>
                    <w:jc w:val="center"/>
                    <w:textAlignment w:val="baseline"/>
                    <w:rPr>
                      <w:kern w:val="0"/>
                      <w:sz w:val="21"/>
                      <w:szCs w:val="21"/>
                    </w:rPr>
                  </w:pPr>
                  <w:r>
                    <w:rPr>
                      <w:rFonts w:hint="eastAsia"/>
                      <w:kern w:val="0"/>
                      <w:sz w:val="21"/>
                      <w:szCs w:val="21"/>
                    </w:rPr>
                    <w:t>平均风速</w:t>
                  </w:r>
                </w:p>
                <w:p>
                  <w:pPr>
                    <w:widowControl/>
                    <w:adjustRightInd w:val="0"/>
                    <w:snapToGrid w:val="0"/>
                    <w:spacing w:line="240" w:lineRule="auto"/>
                    <w:ind w:firstLine="0" w:firstLineChars="0"/>
                    <w:jc w:val="center"/>
                    <w:textAlignment w:val="baseline"/>
                    <w:rPr>
                      <w:kern w:val="0"/>
                      <w:sz w:val="21"/>
                      <w:szCs w:val="21"/>
                    </w:rPr>
                  </w:pPr>
                  <w:r>
                    <w:rPr>
                      <w:kern w:val="0"/>
                      <w:sz w:val="21"/>
                      <w:szCs w:val="21"/>
                    </w:rPr>
                    <w:t>2.4m/s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730"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均值</w:t>
                  </w:r>
                </w:p>
              </w:tc>
              <w:tc>
                <w:tcPr>
                  <w:tcW w:w="1239"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0.317</w:t>
                  </w:r>
                </w:p>
              </w:tc>
              <w:tc>
                <w:tcPr>
                  <w:tcW w:w="1239"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0.596</w:t>
                  </w:r>
                </w:p>
              </w:tc>
              <w:tc>
                <w:tcPr>
                  <w:tcW w:w="1316"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0.487</w:t>
                  </w:r>
                </w:p>
              </w:tc>
              <w:tc>
                <w:tcPr>
                  <w:tcW w:w="1417"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0.390</w:t>
                  </w:r>
                </w:p>
              </w:tc>
              <w:tc>
                <w:tcPr>
                  <w:tcW w:w="1419" w:type="dxa"/>
                  <w:vAlign w:val="center"/>
                </w:tcPr>
                <w:p>
                  <w:pPr>
                    <w:widowControl/>
                    <w:adjustRightInd w:val="0"/>
                    <w:snapToGrid w:val="0"/>
                    <w:spacing w:line="240" w:lineRule="auto"/>
                    <w:ind w:firstLine="0" w:firstLineChars="0"/>
                    <w:jc w:val="center"/>
                    <w:textAlignment w:val="baseline"/>
                    <w:rPr>
                      <w:kern w:val="0"/>
                      <w:sz w:val="21"/>
                      <w:szCs w:val="21"/>
                    </w:rPr>
                  </w:pPr>
                  <w:r>
                    <w:rPr>
                      <w:kern w:val="0"/>
                      <w:sz w:val="21"/>
                      <w:szCs w:val="21"/>
                    </w:rPr>
                    <w:t>0.322</w:t>
                  </w:r>
                </w:p>
              </w:tc>
              <w:tc>
                <w:tcPr>
                  <w:tcW w:w="938" w:type="dxa"/>
                  <w:vMerge w:val="continue"/>
                </w:tcPr>
                <w:p>
                  <w:pPr>
                    <w:widowControl/>
                    <w:adjustRightInd w:val="0"/>
                    <w:snapToGrid w:val="0"/>
                    <w:spacing w:line="240" w:lineRule="auto"/>
                    <w:ind w:firstLine="0" w:firstLineChars="0"/>
                    <w:jc w:val="center"/>
                    <w:textAlignment w:val="baseline"/>
                    <w:rPr>
                      <w:kern w:val="0"/>
                      <w:sz w:val="21"/>
                      <w:szCs w:val="21"/>
                    </w:rPr>
                  </w:pPr>
                </w:p>
              </w:tc>
            </w:tr>
          </w:tbl>
          <w:p>
            <w:pPr>
              <w:spacing w:before="156" w:beforeLines="50"/>
              <w:ind w:firstLine="480"/>
              <w:rPr>
                <w:color w:val="FF0000"/>
                <w:kern w:val="0"/>
              </w:rPr>
            </w:pPr>
            <w:r>
              <w:rPr>
                <w:rFonts w:hint="eastAsia"/>
                <w:color w:val="000000"/>
                <w:kern w:val="0"/>
              </w:rPr>
              <w:t>根据气候背景资料分析，昆明市常年主导风向为西南风，年平均风速2.2m/s。当地年均风速稍小于类比的2.4m/s的风速，项目一般施工影响在下风向300m范围内。</w:t>
            </w:r>
            <w:r>
              <w:rPr>
                <w:rFonts w:hint="eastAsia"/>
                <w:kern w:val="0"/>
              </w:rPr>
              <w:t>根据表3-4可知，项目区下风向（即东北侧）767m处有西岳庙村 ，距</w:t>
            </w:r>
            <w:r>
              <w:rPr>
                <w:rFonts w:hint="eastAsia"/>
                <w:color w:val="000000" w:themeColor="text1"/>
              </w:rPr>
              <w:t>离项目区最近的居民点为西北侧的麦冲村，其距离项目区275m，</w:t>
            </w:r>
            <w:r>
              <w:rPr>
                <w:rFonts w:hint="eastAsia"/>
                <w:kern w:val="0"/>
              </w:rPr>
              <w:t>位于项目区侧风向，因此，项目建设对周围居民影响小。</w:t>
            </w:r>
          </w:p>
          <w:p>
            <w:pPr>
              <w:ind w:firstLine="480"/>
              <w:jc w:val="left"/>
              <w:rPr>
                <w:color w:val="000000"/>
                <w:kern w:val="0"/>
              </w:rPr>
            </w:pPr>
            <w:r>
              <w:rPr>
                <w:rFonts w:hint="eastAsia"/>
                <w:color w:val="000000"/>
                <w:kern w:val="0"/>
              </w:rPr>
              <w:t>本次环评要求，项目施工过程中须采取降尘措施，对施工场地中堆放的易起尘建筑材料、临时堆放的土方以及建筑垃圾等应采取遮盖围挡措施，必要时应加盖工棚；同时及时对施工场地进行洒水降尘。施工建筑材料的运输均采用篷布进行覆盖。</w:t>
            </w:r>
          </w:p>
          <w:p>
            <w:pPr>
              <w:ind w:firstLine="480"/>
              <w:jc w:val="left"/>
              <w:rPr>
                <w:color w:val="000000"/>
                <w:kern w:val="0"/>
              </w:rPr>
            </w:pPr>
            <w:r>
              <w:rPr>
                <w:rFonts w:hint="eastAsia"/>
                <w:color w:val="000000"/>
                <w:kern w:val="0"/>
              </w:rPr>
              <w:t>根据资料显示，在施工期间对施工区域采取围护、对施工场地路面每天洒水4～5次，扬尘可减少70～80%左右，扬尘污染影响距离缩小至20~50m范围内。因此，在采取有效抑尘措施的前提下，项目施工对区域环境的影响有限，且其影响是暂时的，随施工结束而自然消失。</w:t>
            </w:r>
          </w:p>
          <w:p>
            <w:pPr>
              <w:snapToGrid w:val="0"/>
              <w:ind w:firstLine="360" w:firstLineChars="150"/>
              <w:rPr>
                <w:rFonts w:hAnsiTheme="minorEastAsia" w:eastAsiaTheme="minorEastAsia"/>
              </w:rPr>
            </w:pPr>
            <w:r>
              <w:rPr>
                <w:rFonts w:hint="eastAsia" w:hAnsiTheme="minorEastAsia" w:eastAsiaTheme="minorEastAsia"/>
              </w:rPr>
              <w:t>（2）施工机械及运输车辆尾气</w:t>
            </w:r>
          </w:p>
          <w:p>
            <w:pPr>
              <w:autoSpaceDE w:val="0"/>
              <w:autoSpaceDN w:val="0"/>
              <w:adjustRightInd w:val="0"/>
              <w:ind w:firstLine="480"/>
              <w:jc w:val="left"/>
              <w:rPr>
                <w:rFonts w:hAnsiTheme="minorEastAsia" w:eastAsiaTheme="minorEastAsia"/>
                <w:kern w:val="0"/>
              </w:rPr>
            </w:pPr>
            <w:r>
              <w:rPr>
                <w:rFonts w:hAnsiTheme="minorEastAsia" w:eastAsiaTheme="minorEastAsia"/>
                <w:color w:val="000000" w:themeColor="text1"/>
              </w:rPr>
              <w:t>根据工程分析可知，</w:t>
            </w:r>
            <w:r>
              <w:rPr>
                <w:rFonts w:hAnsiTheme="minorEastAsia" w:eastAsiaTheme="minorEastAsia"/>
              </w:rPr>
              <w:t>施工机械及运输车辆尾气主要为</w:t>
            </w:r>
            <w:r>
              <w:rPr>
                <w:rFonts w:hAnsiTheme="minorEastAsia" w:eastAsiaTheme="minorEastAsia"/>
                <w:bCs/>
                <w:color w:val="000000" w:themeColor="text1"/>
              </w:rPr>
              <w:t>烯烃类、</w:t>
            </w:r>
            <w:r>
              <w:rPr>
                <w:rFonts w:eastAsiaTheme="minorEastAsia"/>
                <w:bCs/>
                <w:color w:val="000000" w:themeColor="text1"/>
              </w:rPr>
              <w:t>CO</w:t>
            </w:r>
            <w:r>
              <w:rPr>
                <w:rFonts w:hAnsiTheme="minorEastAsia" w:eastAsiaTheme="minorEastAsia"/>
                <w:bCs/>
                <w:color w:val="000000" w:themeColor="text1"/>
              </w:rPr>
              <w:t>和</w:t>
            </w:r>
            <w:r>
              <w:rPr>
                <w:rFonts w:eastAsiaTheme="minorEastAsia"/>
                <w:bCs/>
                <w:color w:val="000000" w:themeColor="text1"/>
              </w:rPr>
              <w:t>NO</w:t>
            </w:r>
            <w:r>
              <w:rPr>
                <w:rFonts w:eastAsiaTheme="minorEastAsia"/>
                <w:bCs/>
                <w:color w:val="000000" w:themeColor="text1"/>
                <w:vertAlign w:val="subscript"/>
              </w:rPr>
              <w:t>x</w:t>
            </w:r>
            <w:r>
              <w:rPr>
                <w:rFonts w:hAnsiTheme="minorEastAsia" w:eastAsiaTheme="minorEastAsia"/>
                <w:bCs/>
                <w:color w:val="000000" w:themeColor="text1"/>
              </w:rPr>
              <w:t>，属于无组织排放</w:t>
            </w:r>
            <w:r>
              <w:rPr>
                <w:rFonts w:hAnsiTheme="minorEastAsia" w:eastAsiaTheme="minorEastAsia"/>
                <w:kern w:val="0"/>
              </w:rPr>
              <w:t>，具有间断性产生、产生量较小、产生点相对分散、易被稀释扩散等特点。本项目施工范围相对较大，施工场地周围空旷，大气扩散条件相对较好，故一般情况下，施工机械和运输车辆所产生污染在空气中经自然扩散和稀释后，对项目周围空气环境质量影响不大。</w:t>
            </w:r>
          </w:p>
          <w:p>
            <w:pPr>
              <w:adjustRightInd w:val="0"/>
              <w:snapToGrid w:val="0"/>
              <w:ind w:firstLine="482"/>
              <w:rPr>
                <w:rFonts w:ascii="宋体" w:cs="宋体" w:hAnsiTheme="minorHAnsi" w:eastAsiaTheme="minorEastAsia"/>
                <w:b/>
                <w:kern w:val="0"/>
              </w:rPr>
            </w:pPr>
            <w:r>
              <w:rPr>
                <w:rFonts w:hint="eastAsia" w:ascii="宋体" w:cs="宋体" w:hAnsiTheme="minorHAnsi"/>
                <w:b/>
                <w:kern w:val="0"/>
              </w:rPr>
              <w:t>施工期大气污染物影响减缓措施</w:t>
            </w:r>
            <w:r>
              <w:rPr>
                <w:rFonts w:hint="eastAsia" w:ascii="宋体" w:cs="宋体" w:hAnsiTheme="minorHAnsi" w:eastAsiaTheme="minorEastAsia"/>
                <w:b/>
                <w:kern w:val="0"/>
              </w:rPr>
              <w:t>：</w:t>
            </w:r>
          </w:p>
          <w:p>
            <w:pPr>
              <w:autoSpaceDE w:val="0"/>
              <w:autoSpaceDN w:val="0"/>
              <w:adjustRightInd w:val="0"/>
              <w:ind w:firstLine="480"/>
              <w:jc w:val="left"/>
              <w:rPr>
                <w:kern w:val="0"/>
              </w:rPr>
            </w:pPr>
            <w:r>
              <w:rPr>
                <w:rFonts w:hint="eastAsia" w:ascii="宋体" w:hAnsi="宋体"/>
                <w:color w:val="000000"/>
                <w:szCs w:val="22"/>
              </w:rPr>
              <w:t>①</w:t>
            </w:r>
            <w:r>
              <w:rPr>
                <w:rFonts w:hint="eastAsia" w:ascii="宋体" w:cs="宋体"/>
                <w:kern w:val="0"/>
              </w:rPr>
              <w:t>运输车辆采用密闭车斗，车斗应用棚布遮盖严实</w:t>
            </w:r>
            <w:r>
              <w:rPr>
                <w:rFonts w:hint="eastAsia"/>
                <w:kern w:val="0"/>
              </w:rPr>
              <w:t>。</w:t>
            </w:r>
          </w:p>
          <w:p>
            <w:pPr>
              <w:autoSpaceDE w:val="0"/>
              <w:autoSpaceDN w:val="0"/>
              <w:adjustRightInd w:val="0"/>
              <w:ind w:firstLine="480"/>
              <w:jc w:val="left"/>
              <w:rPr>
                <w:kern w:val="0"/>
              </w:rPr>
            </w:pPr>
            <w:r>
              <w:rPr>
                <w:rFonts w:hint="eastAsia" w:ascii="宋体" w:hAnsi="宋体"/>
                <w:color w:val="000000"/>
                <w:szCs w:val="22"/>
              </w:rPr>
              <w:t>②</w:t>
            </w:r>
            <w:r>
              <w:rPr>
                <w:kern w:val="0"/>
              </w:rPr>
              <w:t>晴天或无降水时，对施工场地易产生二次扬尘的作业面（点）、道路进行洒水，对施工场地内车辆限速以减少二次扬尘。建立洒水清扫制度，指定专人负责洒水和清扫工作</w:t>
            </w:r>
            <w:r>
              <w:rPr>
                <w:rFonts w:hint="eastAsia"/>
                <w:kern w:val="0"/>
              </w:rPr>
              <w:t>。</w:t>
            </w:r>
          </w:p>
          <w:p>
            <w:pPr>
              <w:autoSpaceDE w:val="0"/>
              <w:autoSpaceDN w:val="0"/>
              <w:adjustRightInd w:val="0"/>
              <w:ind w:firstLine="480"/>
              <w:jc w:val="left"/>
              <w:rPr>
                <w:kern w:val="0"/>
              </w:rPr>
            </w:pPr>
            <w:r>
              <w:rPr>
                <w:rFonts w:hint="eastAsia" w:ascii="宋体" w:hAnsi="宋体"/>
                <w:color w:val="000000"/>
                <w:szCs w:val="22"/>
              </w:rPr>
              <w:t>③</w:t>
            </w:r>
            <w:r>
              <w:rPr>
                <w:rFonts w:hint="eastAsia"/>
                <w:color w:val="000000" w:themeColor="text1"/>
              </w:rPr>
              <w:t>进场道路定期清扫。</w:t>
            </w:r>
          </w:p>
          <w:p>
            <w:pPr>
              <w:snapToGrid w:val="0"/>
              <w:ind w:firstLine="480"/>
              <w:rPr>
                <w:rFonts w:hAnsiTheme="minorEastAsia" w:eastAsiaTheme="minorEastAsia"/>
              </w:rPr>
            </w:pPr>
            <w:r>
              <w:rPr>
                <w:rFonts w:hint="eastAsia"/>
                <w:color w:val="000000" w:themeColor="text1"/>
              </w:rPr>
              <w:t>④</w:t>
            </w:r>
            <w:r>
              <w:rPr>
                <w:rFonts w:hAnsiTheme="minorEastAsia" w:eastAsiaTheme="minorEastAsia"/>
              </w:rPr>
              <w:t>施工过程产生弃土和建筑垃圾需要及时清运，无法及时清运的需要采取覆盖防尘布，喷洒抑尘剂或洒水等措施。</w:t>
            </w:r>
          </w:p>
          <w:p>
            <w:pPr>
              <w:ind w:firstLine="480"/>
              <w:jc w:val="left"/>
              <w:rPr>
                <w:color w:val="000000"/>
                <w:kern w:val="0"/>
              </w:rPr>
            </w:pPr>
            <w:r>
              <w:rPr>
                <w:rFonts w:hint="eastAsia"/>
                <w:color w:val="000000"/>
                <w:kern w:val="0"/>
              </w:rPr>
              <w:t>综上所述，施工期产生的粉尘污染是暂时的，随着施工活动的结束，施工扬尘对环境空气的影响也就随之消失。在采取了上述措施后，</w:t>
            </w:r>
            <w:r>
              <w:rPr>
                <w:rFonts w:hint="eastAsia"/>
              </w:rPr>
              <w:t>施工对环境空气的影响可以接受。</w:t>
            </w:r>
          </w:p>
          <w:p>
            <w:pPr>
              <w:autoSpaceDE w:val="0"/>
              <w:autoSpaceDN w:val="0"/>
              <w:adjustRightInd w:val="0"/>
              <w:ind w:firstLine="482"/>
              <w:jc w:val="left"/>
              <w:rPr>
                <w:rFonts w:eastAsiaTheme="minorEastAsia"/>
                <w:b/>
                <w:kern w:val="0"/>
              </w:rPr>
            </w:pPr>
            <w:r>
              <w:rPr>
                <w:rFonts w:hint="eastAsia" w:eastAsiaTheme="minorEastAsia"/>
                <w:b/>
                <w:kern w:val="0"/>
              </w:rPr>
              <w:t>2、水环境影响分析</w:t>
            </w:r>
          </w:p>
          <w:p>
            <w:pPr>
              <w:adjustRightInd w:val="0"/>
              <w:snapToGrid w:val="0"/>
              <w:ind w:firstLine="480"/>
              <w:rPr>
                <w:bCs/>
                <w:color w:val="000000" w:themeColor="text1"/>
              </w:rPr>
            </w:pPr>
            <w:r>
              <w:rPr>
                <w:rFonts w:hint="eastAsia"/>
                <w:bCs/>
                <w:color w:val="000000" w:themeColor="text1"/>
              </w:rPr>
              <w:t>项目施工期废水主要包括混凝土养护、以及施工车辆、机械设备冲洗产生的施工废水，以及施工人员排放的生活污水。</w:t>
            </w:r>
          </w:p>
          <w:p>
            <w:pPr>
              <w:adjustRightInd w:val="0"/>
              <w:snapToGrid w:val="0"/>
              <w:ind w:firstLine="482"/>
              <w:rPr>
                <w:b/>
                <w:bCs/>
                <w:color w:val="000000" w:themeColor="text1"/>
              </w:rPr>
            </w:pPr>
            <w:r>
              <w:rPr>
                <w:rFonts w:hint="eastAsia"/>
                <w:b/>
                <w:bCs/>
                <w:color w:val="000000" w:themeColor="text1"/>
              </w:rPr>
              <w:t>①施工废水</w:t>
            </w:r>
          </w:p>
          <w:p>
            <w:pPr>
              <w:adjustRightInd w:val="0"/>
              <w:snapToGrid w:val="0"/>
              <w:ind w:firstLine="480"/>
              <w:rPr>
                <w:bCs/>
                <w:color w:val="000000" w:themeColor="text1"/>
              </w:rPr>
            </w:pPr>
            <w:r>
              <w:rPr>
                <w:rFonts w:hint="eastAsia"/>
                <w:bCs/>
                <w:color w:val="000000" w:themeColor="text1"/>
              </w:rPr>
              <w:t>施工废水主要是混凝土养护、以及施工车辆、机械设备的冲洗废水。类比同类工程，项目施工废水产生量约为2m</w:t>
            </w:r>
            <w:r>
              <w:rPr>
                <w:rFonts w:hint="eastAsia"/>
                <w:bCs/>
                <w:color w:val="000000" w:themeColor="text1"/>
                <w:vertAlign w:val="superscript"/>
              </w:rPr>
              <w:t>3</w:t>
            </w:r>
            <w:r>
              <w:rPr>
                <w:rFonts w:hint="eastAsia"/>
                <w:bCs/>
                <w:color w:val="000000" w:themeColor="text1"/>
              </w:rPr>
              <w:t>/d。依托石材加工项目沉淀处理后全部回用于施工生产及施工场地洒水降尘。</w:t>
            </w:r>
          </w:p>
          <w:p>
            <w:pPr>
              <w:adjustRightInd w:val="0"/>
              <w:snapToGrid w:val="0"/>
              <w:ind w:firstLine="482"/>
              <w:rPr>
                <w:b/>
                <w:bCs/>
                <w:color w:val="000000" w:themeColor="text1"/>
              </w:rPr>
            </w:pPr>
            <w:r>
              <w:rPr>
                <w:rFonts w:hint="eastAsia"/>
                <w:b/>
                <w:bCs/>
                <w:color w:val="000000" w:themeColor="text1"/>
              </w:rPr>
              <w:t>②生活污水</w:t>
            </w:r>
          </w:p>
          <w:p>
            <w:pPr>
              <w:adjustRightInd w:val="0"/>
              <w:snapToGrid w:val="0"/>
              <w:ind w:firstLine="480"/>
            </w:pPr>
            <w:r>
              <w:rPr>
                <w:rFonts w:hint="eastAsia"/>
                <w:color w:val="000000" w:themeColor="text1"/>
              </w:rPr>
              <w:t>项目施工期施工人员洗手废水依托石材加工项目沉淀处理后，全部回用于场地洒水降尘</w:t>
            </w:r>
            <w:r>
              <w:rPr>
                <w:rFonts w:hint="eastAsia"/>
              </w:rPr>
              <w:t>。</w:t>
            </w:r>
          </w:p>
          <w:p>
            <w:pPr>
              <w:adjustRightInd w:val="0"/>
              <w:snapToGrid w:val="0"/>
              <w:ind w:firstLine="448" w:firstLineChars="187"/>
            </w:pPr>
            <w:r>
              <w:rPr>
                <w:rFonts w:hint="eastAsia"/>
              </w:rPr>
              <w:t>施工过程中通过严格执行上述污染防治措施，对产生的施工废水、生活污水进行收集处理，妥善组织安排施工作业，对地表水环境影响小。</w:t>
            </w:r>
          </w:p>
          <w:p>
            <w:pPr>
              <w:autoSpaceDE w:val="0"/>
              <w:autoSpaceDN w:val="0"/>
              <w:adjustRightInd w:val="0"/>
              <w:ind w:firstLine="482"/>
              <w:jc w:val="left"/>
              <w:rPr>
                <w:b/>
                <w:color w:val="000000" w:themeColor="text1"/>
              </w:rPr>
            </w:pPr>
            <w:r>
              <w:rPr>
                <w:rFonts w:hint="eastAsia"/>
                <w:b/>
                <w:color w:val="000000" w:themeColor="text1"/>
              </w:rPr>
              <w:t>3、声环境影响分析</w:t>
            </w:r>
          </w:p>
          <w:p>
            <w:pPr>
              <w:autoSpaceDE w:val="0"/>
              <w:autoSpaceDN w:val="0"/>
              <w:adjustRightInd w:val="0"/>
              <w:ind w:firstLine="480"/>
              <w:jc w:val="left"/>
              <w:rPr>
                <w:color w:val="000000" w:themeColor="text1"/>
              </w:rPr>
            </w:pPr>
            <w:r>
              <w:rPr>
                <w:color w:val="000000" w:themeColor="text1"/>
              </w:rPr>
              <w:t>根据工程分析可知，项目施工期噪声主要来源于施工设备及运输车辆噪声，噪声源强</w:t>
            </w:r>
            <w:r>
              <w:rPr>
                <w:rFonts w:hint="eastAsia"/>
                <w:color w:val="000000" w:themeColor="text1"/>
              </w:rPr>
              <w:t>为65</w:t>
            </w:r>
            <w:r>
              <w:rPr>
                <w:color w:val="000000" w:themeColor="text1"/>
              </w:rPr>
              <w:t>-90dB（A）。</w:t>
            </w:r>
          </w:p>
          <w:p>
            <w:pPr>
              <w:adjustRightInd w:val="0"/>
              <w:snapToGrid w:val="0"/>
              <w:ind w:firstLine="480"/>
              <w:textAlignment w:val="baseline"/>
            </w:pPr>
            <w:r>
              <w:t>项目施工中大多数机械设备噪声均属于中低频噪声，预测其影响程度、范围时只考虑其距离传播衰减，不考虑障碍物如场界围墙、</w:t>
            </w:r>
            <w:r>
              <w:rPr>
                <w:rFonts w:hint="eastAsia"/>
              </w:rPr>
              <w:t>树木</w:t>
            </w:r>
            <w:r>
              <w:t>等噪声衰减量。</w:t>
            </w:r>
          </w:p>
          <w:p>
            <w:pPr>
              <w:adjustRightInd w:val="0"/>
              <w:snapToGrid w:val="0"/>
              <w:ind w:firstLine="480"/>
              <w:textAlignment w:val="baseline"/>
            </w:pPr>
            <w:r>
              <w:t>距离传播衰减模式：</w:t>
            </w:r>
          </w:p>
          <w:p>
            <w:pPr>
              <w:adjustRightInd w:val="0"/>
              <w:snapToGrid w:val="0"/>
              <w:ind w:firstLine="480"/>
              <w:jc w:val="center"/>
              <w:textAlignment w:val="baseline"/>
            </w:pPr>
            <w:r>
              <w:t>Lp（r）=Lp（r</w:t>
            </w:r>
            <w:r>
              <w:rPr>
                <w:vertAlign w:val="subscript"/>
              </w:rPr>
              <w:t>0</w:t>
            </w:r>
            <w:r>
              <w:t>）－20lg（r/r</w:t>
            </w:r>
            <w:r>
              <w:rPr>
                <w:vertAlign w:val="subscript"/>
              </w:rPr>
              <w:t>0</w:t>
            </w:r>
            <w:r>
              <w:t>）</w:t>
            </w:r>
          </w:p>
          <w:p>
            <w:pPr>
              <w:adjustRightInd w:val="0"/>
              <w:snapToGrid w:val="0"/>
              <w:ind w:firstLine="2160" w:firstLineChars="900"/>
              <w:textAlignment w:val="baseline"/>
            </w:pPr>
            <w:r>
              <w:t>式中：Lp（r）—距声源r处的声压级，dB(A)；</w:t>
            </w:r>
          </w:p>
          <w:p>
            <w:pPr>
              <w:adjustRightInd w:val="0"/>
              <w:snapToGrid w:val="0"/>
              <w:ind w:firstLine="2880" w:firstLineChars="1200"/>
              <w:textAlignment w:val="baseline"/>
            </w:pPr>
            <w:r>
              <w:t>Lp（r</w:t>
            </w:r>
            <w:r>
              <w:rPr>
                <w:vertAlign w:val="subscript"/>
              </w:rPr>
              <w:t>0</w:t>
            </w:r>
            <w:r>
              <w:t>）—参考位置r</w:t>
            </w:r>
            <w:r>
              <w:rPr>
                <w:vertAlign w:val="subscript"/>
              </w:rPr>
              <w:t>0</w:t>
            </w:r>
            <w:r>
              <w:t>处的声压级，dB(A)。</w:t>
            </w:r>
          </w:p>
          <w:p>
            <w:pPr>
              <w:adjustRightInd w:val="0"/>
              <w:snapToGrid w:val="0"/>
              <w:ind w:firstLine="480"/>
              <w:textAlignment w:val="baseline"/>
            </w:pPr>
            <w:r>
              <w:t>噪声叠加值计算模式：</w:t>
            </w:r>
          </w:p>
          <w:p>
            <w:pPr>
              <w:snapToGrid w:val="0"/>
              <w:ind w:firstLine="480"/>
              <w:jc w:val="center"/>
            </w:pPr>
            <w:r>
              <w:t>L</w:t>
            </w:r>
            <w:r>
              <w:rPr>
                <w:vertAlign w:val="subscript"/>
              </w:rPr>
              <w:t>PT</w:t>
            </w:r>
            <w:r>
              <w:t>=10lg（</w:t>
            </w:r>
            <w:r>
              <w:rPr>
                <w:position w:val="-28"/>
              </w:rPr>
              <w:object>
                <v:shape id="_x0000_i1031" o:spt="75" type="#_x0000_t75" style="height:35.25pt;width:29.25pt;" o:ole="t" filled="f" o:preferrelative="t" stroked="f" coordsize="21600,21600">
                  <v:path/>
                  <v:fill on="f" focussize="0,0"/>
                  <v:stroke on="f" joinstyle="miter"/>
                  <v:imagedata r:id="rId31" o:title=""/>
                  <o:lock v:ext="edit" aspectratio="t"/>
                  <w10:wrap type="none"/>
                  <w10:anchorlock/>
                </v:shape>
                <o:OLEObject Type="Embed" ProgID="Equation.3" ShapeID="_x0000_i1031" DrawAspect="Content" ObjectID="_1468075731" r:id="rId30">
                  <o:LockedField>false</o:LockedField>
                </o:OLEObject>
              </w:object>
            </w:r>
            <w:r>
              <w:rPr>
                <w:vertAlign w:val="superscript"/>
              </w:rPr>
              <w:t>0.1Lpi</w:t>
            </w:r>
            <w:r>
              <w:t>）</w:t>
            </w:r>
          </w:p>
          <w:p>
            <w:pPr>
              <w:adjustRightInd w:val="0"/>
              <w:snapToGrid w:val="0"/>
              <w:ind w:firstLine="2400" w:firstLineChars="1000"/>
              <w:textAlignment w:val="baseline"/>
            </w:pPr>
            <w:r>
              <w:t>式中：L</w:t>
            </w:r>
            <w:r>
              <w:rPr>
                <w:vertAlign w:val="subscript"/>
              </w:rPr>
              <w:t>PT</w:t>
            </w:r>
            <w:r>
              <w:t>—预测点出新增的总声压级，dB(A)；</w:t>
            </w:r>
          </w:p>
          <w:p>
            <w:pPr>
              <w:adjustRightInd w:val="0"/>
              <w:snapToGrid w:val="0"/>
              <w:ind w:firstLine="2400" w:firstLineChars="1000"/>
              <w:textAlignment w:val="baseline"/>
            </w:pPr>
            <w:r>
              <w:t xml:space="preserve">      Lpi—第i个声源至预测点处的声压级，dB(A)；</w:t>
            </w:r>
          </w:p>
          <w:p>
            <w:pPr>
              <w:adjustRightInd w:val="0"/>
              <w:snapToGrid w:val="0"/>
              <w:ind w:firstLine="480"/>
              <w:textAlignment w:val="baseline"/>
            </w:pPr>
            <w:r>
              <w:t xml:space="preserve">     </w:t>
            </w:r>
            <w:r>
              <w:rPr>
                <w:rFonts w:hint="eastAsia"/>
              </w:rPr>
              <w:t xml:space="preserve">                </w:t>
            </w:r>
            <w:r>
              <w:t xml:space="preserve"> n—声源个数。</w:t>
            </w:r>
          </w:p>
          <w:p>
            <w:pPr>
              <w:snapToGrid w:val="0"/>
              <w:ind w:firstLine="480"/>
              <w:jc w:val="left"/>
            </w:pPr>
            <w:r>
              <w:rPr>
                <w:rFonts w:hint="eastAsia"/>
              </w:rPr>
              <w:t>根据上述预测模式，各个施工阶段采用的主要施工机械对周围场界噪声贡献值见表7</w:t>
            </w:r>
            <w:r>
              <w:t>-</w:t>
            </w:r>
            <w:r>
              <w:rPr>
                <w:rFonts w:hint="eastAsia"/>
              </w:rPr>
              <w:t>2</w:t>
            </w:r>
            <w:r>
              <w:t>。</w:t>
            </w:r>
          </w:p>
          <w:p>
            <w:pPr>
              <w:snapToGrid w:val="0"/>
              <w:ind w:firstLine="482"/>
              <w:jc w:val="center"/>
              <w:rPr>
                <w:b/>
              </w:rPr>
            </w:pPr>
            <w:r>
              <w:rPr>
                <w:b/>
                <w:bCs/>
              </w:rPr>
              <w:t>表</w:t>
            </w:r>
            <w:r>
              <w:rPr>
                <w:rFonts w:hint="eastAsia"/>
                <w:b/>
                <w:bCs/>
              </w:rPr>
              <w:t>7</w:t>
            </w:r>
            <w:r>
              <w:rPr>
                <w:b/>
                <w:bCs/>
              </w:rPr>
              <w:t>-</w:t>
            </w:r>
            <w:r>
              <w:rPr>
                <w:rFonts w:hint="eastAsia"/>
                <w:b/>
                <w:bCs/>
              </w:rPr>
              <w:t xml:space="preserve">2   </w:t>
            </w:r>
            <w:r>
              <w:rPr>
                <w:b/>
                <w:bCs/>
              </w:rPr>
              <w:t>施工</w:t>
            </w:r>
            <w:r>
              <w:rPr>
                <w:rFonts w:hint="eastAsia"/>
                <w:b/>
                <w:bCs/>
              </w:rPr>
              <w:t>机械</w:t>
            </w:r>
            <w:r>
              <w:rPr>
                <w:b/>
                <w:bCs/>
              </w:rPr>
              <w:t>噪声贡献</w:t>
            </w:r>
            <w:r>
              <w:rPr>
                <w:b/>
              </w:rPr>
              <w:t>值</w:t>
            </w:r>
            <w:r>
              <w:rPr>
                <w:rFonts w:hint="eastAsia"/>
                <w:b/>
              </w:rPr>
              <w:t>一览表    单位：</w:t>
            </w:r>
            <w:r>
              <w:rPr>
                <w:b/>
              </w:rPr>
              <w:t>dB（A）</w:t>
            </w:r>
          </w:p>
          <w:tbl>
            <w:tblPr>
              <w:tblStyle w:val="22"/>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429"/>
              <w:gridCol w:w="1104"/>
              <w:gridCol w:w="641"/>
              <w:gridCol w:w="554"/>
              <w:gridCol w:w="694"/>
              <w:gridCol w:w="592"/>
              <w:gridCol w:w="662"/>
              <w:gridCol w:w="556"/>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87" w:type="dxa"/>
                  <w:gridSpan w:val="2"/>
                  <w:vMerge w:val="restart"/>
                  <w:tcBorders>
                    <w:tl2br w:val="single" w:color="auto" w:sz="4" w:space="0"/>
                  </w:tcBorders>
                  <w:vAlign w:val="center"/>
                </w:tcPr>
                <w:p>
                  <w:pPr>
                    <w:spacing w:line="240" w:lineRule="auto"/>
                    <w:ind w:firstLine="1476" w:firstLineChars="700"/>
                    <w:rPr>
                      <w:b/>
                      <w:sz w:val="21"/>
                      <w:szCs w:val="21"/>
                    </w:rPr>
                  </w:pPr>
                  <w:r>
                    <w:rPr>
                      <w:b/>
                      <w:sz w:val="21"/>
                      <w:szCs w:val="21"/>
                    </w:rPr>
                    <w:t>距离（m）</w:t>
                  </w:r>
                </w:p>
                <w:p>
                  <w:pPr>
                    <w:spacing w:line="240" w:lineRule="auto"/>
                    <w:ind w:firstLine="0" w:firstLineChars="0"/>
                    <w:rPr>
                      <w:b/>
                      <w:sz w:val="21"/>
                      <w:szCs w:val="21"/>
                    </w:rPr>
                  </w:pPr>
                  <w:r>
                    <w:rPr>
                      <w:b/>
                      <w:sz w:val="21"/>
                      <w:szCs w:val="21"/>
                    </w:rPr>
                    <w:t>施工阶段</w:t>
                  </w:r>
                </w:p>
              </w:tc>
              <w:tc>
                <w:tcPr>
                  <w:tcW w:w="5492" w:type="dxa"/>
                  <w:gridSpan w:val="8"/>
                  <w:vAlign w:val="center"/>
                </w:tcPr>
                <w:p>
                  <w:pPr>
                    <w:spacing w:line="240" w:lineRule="auto"/>
                    <w:ind w:firstLine="0" w:firstLineChars="0"/>
                    <w:jc w:val="center"/>
                    <w:rPr>
                      <w:b/>
                      <w:sz w:val="21"/>
                      <w:szCs w:val="21"/>
                    </w:rPr>
                  </w:pPr>
                  <w:r>
                    <w:rPr>
                      <w:b/>
                      <w:sz w:val="21"/>
                      <w:szCs w:val="21"/>
                    </w:rPr>
                    <w:t>噪声随距离衰减贡献值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87" w:type="dxa"/>
                  <w:gridSpan w:val="2"/>
                  <w:vMerge w:val="continue"/>
                  <w:vAlign w:val="center"/>
                </w:tcPr>
                <w:p>
                  <w:pPr>
                    <w:spacing w:line="240" w:lineRule="auto"/>
                    <w:ind w:firstLine="0" w:firstLineChars="0"/>
                    <w:rPr>
                      <w:b/>
                      <w:sz w:val="21"/>
                      <w:szCs w:val="21"/>
                    </w:rPr>
                  </w:pPr>
                </w:p>
              </w:tc>
              <w:tc>
                <w:tcPr>
                  <w:tcW w:w="1104" w:type="dxa"/>
                  <w:vAlign w:val="center"/>
                </w:tcPr>
                <w:p>
                  <w:pPr>
                    <w:spacing w:line="240" w:lineRule="auto"/>
                    <w:ind w:firstLine="0" w:firstLineChars="0"/>
                    <w:rPr>
                      <w:b/>
                      <w:sz w:val="21"/>
                      <w:szCs w:val="21"/>
                    </w:rPr>
                  </w:pPr>
                  <w:r>
                    <w:rPr>
                      <w:rFonts w:hint="eastAsia"/>
                      <w:b/>
                      <w:sz w:val="21"/>
                      <w:szCs w:val="21"/>
                    </w:rPr>
                    <w:t>源强</w:t>
                  </w:r>
                </w:p>
              </w:tc>
              <w:tc>
                <w:tcPr>
                  <w:tcW w:w="641" w:type="dxa"/>
                  <w:vAlign w:val="center"/>
                </w:tcPr>
                <w:p>
                  <w:pPr>
                    <w:spacing w:line="240" w:lineRule="auto"/>
                    <w:ind w:firstLine="0" w:firstLineChars="0"/>
                    <w:jc w:val="center"/>
                    <w:rPr>
                      <w:b/>
                      <w:sz w:val="21"/>
                      <w:szCs w:val="21"/>
                    </w:rPr>
                  </w:pPr>
                  <w:r>
                    <w:rPr>
                      <w:rFonts w:hint="eastAsia"/>
                      <w:b/>
                      <w:sz w:val="21"/>
                      <w:szCs w:val="21"/>
                    </w:rPr>
                    <w:t>10</w:t>
                  </w:r>
                </w:p>
              </w:tc>
              <w:tc>
                <w:tcPr>
                  <w:tcW w:w="554" w:type="dxa"/>
                  <w:vAlign w:val="center"/>
                </w:tcPr>
                <w:p>
                  <w:pPr>
                    <w:spacing w:line="240" w:lineRule="auto"/>
                    <w:ind w:firstLine="0" w:firstLineChars="0"/>
                    <w:jc w:val="center"/>
                    <w:rPr>
                      <w:b/>
                      <w:sz w:val="21"/>
                      <w:szCs w:val="21"/>
                    </w:rPr>
                  </w:pPr>
                  <w:r>
                    <w:rPr>
                      <w:rFonts w:hint="eastAsia"/>
                      <w:b/>
                      <w:sz w:val="21"/>
                      <w:szCs w:val="21"/>
                    </w:rPr>
                    <w:t>15</w:t>
                  </w:r>
                </w:p>
              </w:tc>
              <w:tc>
                <w:tcPr>
                  <w:tcW w:w="694" w:type="dxa"/>
                  <w:vAlign w:val="center"/>
                </w:tcPr>
                <w:p>
                  <w:pPr>
                    <w:spacing w:line="240" w:lineRule="auto"/>
                    <w:ind w:firstLine="0" w:firstLineChars="0"/>
                    <w:jc w:val="center"/>
                    <w:rPr>
                      <w:b/>
                      <w:sz w:val="21"/>
                      <w:szCs w:val="21"/>
                    </w:rPr>
                  </w:pPr>
                  <w:r>
                    <w:rPr>
                      <w:rFonts w:hint="eastAsia"/>
                      <w:b/>
                      <w:sz w:val="21"/>
                      <w:szCs w:val="21"/>
                    </w:rPr>
                    <w:t>30</w:t>
                  </w:r>
                </w:p>
              </w:tc>
              <w:tc>
                <w:tcPr>
                  <w:tcW w:w="592" w:type="dxa"/>
                  <w:vAlign w:val="center"/>
                </w:tcPr>
                <w:p>
                  <w:pPr>
                    <w:spacing w:line="240" w:lineRule="auto"/>
                    <w:ind w:firstLine="0" w:firstLineChars="0"/>
                    <w:jc w:val="center"/>
                    <w:rPr>
                      <w:b/>
                      <w:sz w:val="21"/>
                      <w:szCs w:val="21"/>
                    </w:rPr>
                  </w:pPr>
                  <w:r>
                    <w:rPr>
                      <w:rFonts w:hint="eastAsia"/>
                      <w:b/>
                      <w:sz w:val="21"/>
                      <w:szCs w:val="21"/>
                    </w:rPr>
                    <w:t>50</w:t>
                  </w:r>
                </w:p>
              </w:tc>
              <w:tc>
                <w:tcPr>
                  <w:tcW w:w="662" w:type="dxa"/>
                  <w:vAlign w:val="center"/>
                </w:tcPr>
                <w:p>
                  <w:pPr>
                    <w:spacing w:line="240" w:lineRule="auto"/>
                    <w:ind w:firstLine="0" w:firstLineChars="0"/>
                    <w:jc w:val="center"/>
                    <w:rPr>
                      <w:b/>
                      <w:sz w:val="21"/>
                      <w:szCs w:val="21"/>
                    </w:rPr>
                  </w:pPr>
                  <w:r>
                    <w:rPr>
                      <w:rFonts w:hint="eastAsia"/>
                      <w:b/>
                      <w:sz w:val="21"/>
                      <w:szCs w:val="21"/>
                    </w:rPr>
                    <w:t>70</w:t>
                  </w:r>
                </w:p>
              </w:tc>
              <w:tc>
                <w:tcPr>
                  <w:tcW w:w="556" w:type="dxa"/>
                  <w:vAlign w:val="center"/>
                </w:tcPr>
                <w:p>
                  <w:pPr>
                    <w:spacing w:line="240" w:lineRule="auto"/>
                    <w:ind w:firstLine="0" w:firstLineChars="0"/>
                    <w:jc w:val="center"/>
                    <w:rPr>
                      <w:b/>
                      <w:sz w:val="21"/>
                      <w:szCs w:val="21"/>
                    </w:rPr>
                  </w:pPr>
                  <w:r>
                    <w:rPr>
                      <w:rFonts w:hint="eastAsia"/>
                      <w:b/>
                      <w:sz w:val="21"/>
                      <w:szCs w:val="21"/>
                    </w:rPr>
                    <w:t>100</w:t>
                  </w:r>
                </w:p>
              </w:tc>
              <w:tc>
                <w:tcPr>
                  <w:tcW w:w="689" w:type="dxa"/>
                  <w:vAlign w:val="center"/>
                </w:tcPr>
                <w:p>
                  <w:pPr>
                    <w:spacing w:line="240" w:lineRule="auto"/>
                    <w:ind w:firstLine="0" w:firstLineChars="0"/>
                    <w:jc w:val="center"/>
                    <w:rPr>
                      <w:b/>
                      <w:sz w:val="21"/>
                      <w:szCs w:val="21"/>
                    </w:rPr>
                  </w:pPr>
                  <w:r>
                    <w:rPr>
                      <w:rFonts w:hint="eastAsia"/>
                      <w:b/>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restart"/>
                  <w:vAlign w:val="center"/>
                </w:tcPr>
                <w:p>
                  <w:pPr>
                    <w:spacing w:line="240" w:lineRule="auto"/>
                    <w:ind w:firstLine="0" w:firstLineChars="0"/>
                    <w:jc w:val="center"/>
                    <w:rPr>
                      <w:kern w:val="28"/>
                      <w:sz w:val="21"/>
                      <w:szCs w:val="21"/>
                    </w:rPr>
                  </w:pPr>
                  <w:r>
                    <w:rPr>
                      <w:rFonts w:hint="eastAsia"/>
                      <w:kern w:val="28"/>
                      <w:sz w:val="21"/>
                      <w:szCs w:val="21"/>
                    </w:rPr>
                    <w:t>土石方阶段</w:t>
                  </w:r>
                </w:p>
              </w:tc>
              <w:tc>
                <w:tcPr>
                  <w:tcW w:w="1429" w:type="dxa"/>
                  <w:vAlign w:val="center"/>
                </w:tcPr>
                <w:p>
                  <w:pPr>
                    <w:spacing w:line="240" w:lineRule="auto"/>
                    <w:ind w:firstLine="0" w:firstLineChars="0"/>
                    <w:jc w:val="center"/>
                    <w:rPr>
                      <w:sz w:val="21"/>
                      <w:szCs w:val="21"/>
                    </w:rPr>
                  </w:pPr>
                  <w:r>
                    <w:rPr>
                      <w:rFonts w:hint="eastAsia"/>
                      <w:sz w:val="21"/>
                      <w:szCs w:val="21"/>
                    </w:rPr>
                    <w:t>推土机</w:t>
                  </w:r>
                </w:p>
              </w:tc>
              <w:tc>
                <w:tcPr>
                  <w:tcW w:w="1104" w:type="dxa"/>
                  <w:vAlign w:val="center"/>
                </w:tcPr>
                <w:p>
                  <w:pPr>
                    <w:spacing w:line="240" w:lineRule="auto"/>
                    <w:ind w:firstLine="0" w:firstLineChars="0"/>
                    <w:jc w:val="center"/>
                    <w:rPr>
                      <w:sz w:val="21"/>
                      <w:szCs w:val="21"/>
                    </w:rPr>
                  </w:pPr>
                  <w:r>
                    <w:rPr>
                      <w:rFonts w:hint="eastAsia"/>
                      <w:sz w:val="21"/>
                      <w:szCs w:val="21"/>
                    </w:rPr>
                    <w:t>75</w:t>
                  </w:r>
                </w:p>
              </w:tc>
              <w:tc>
                <w:tcPr>
                  <w:tcW w:w="641" w:type="dxa"/>
                  <w:vAlign w:val="center"/>
                </w:tcPr>
                <w:p>
                  <w:pPr>
                    <w:spacing w:line="240" w:lineRule="auto"/>
                    <w:ind w:firstLine="0" w:firstLineChars="0"/>
                    <w:jc w:val="center"/>
                    <w:rPr>
                      <w:sz w:val="21"/>
                      <w:szCs w:val="21"/>
                    </w:rPr>
                  </w:pPr>
                  <w:r>
                    <w:rPr>
                      <w:rFonts w:hint="eastAsia"/>
                      <w:sz w:val="21"/>
                      <w:szCs w:val="21"/>
                    </w:rPr>
                    <w:t>55</w:t>
                  </w:r>
                </w:p>
              </w:tc>
              <w:tc>
                <w:tcPr>
                  <w:tcW w:w="554" w:type="dxa"/>
                  <w:vAlign w:val="center"/>
                </w:tcPr>
                <w:p>
                  <w:pPr>
                    <w:spacing w:line="240" w:lineRule="auto"/>
                    <w:ind w:firstLine="0" w:firstLineChars="0"/>
                    <w:jc w:val="center"/>
                    <w:rPr>
                      <w:sz w:val="21"/>
                      <w:szCs w:val="21"/>
                    </w:rPr>
                  </w:pPr>
                  <w:r>
                    <w:rPr>
                      <w:rFonts w:hint="eastAsia"/>
                      <w:sz w:val="21"/>
                      <w:szCs w:val="21"/>
                    </w:rPr>
                    <w:t>51</w:t>
                  </w:r>
                </w:p>
              </w:tc>
              <w:tc>
                <w:tcPr>
                  <w:tcW w:w="694" w:type="dxa"/>
                  <w:vAlign w:val="center"/>
                </w:tcPr>
                <w:p>
                  <w:pPr>
                    <w:spacing w:line="240" w:lineRule="auto"/>
                    <w:ind w:firstLine="0" w:firstLineChars="0"/>
                    <w:jc w:val="center"/>
                    <w:rPr>
                      <w:sz w:val="21"/>
                      <w:szCs w:val="21"/>
                    </w:rPr>
                  </w:pPr>
                  <w:r>
                    <w:rPr>
                      <w:rFonts w:hint="eastAsia"/>
                      <w:sz w:val="21"/>
                      <w:szCs w:val="21"/>
                    </w:rPr>
                    <w:t>45</w:t>
                  </w:r>
                </w:p>
              </w:tc>
              <w:tc>
                <w:tcPr>
                  <w:tcW w:w="592" w:type="dxa"/>
                  <w:vAlign w:val="center"/>
                </w:tcPr>
                <w:p>
                  <w:pPr>
                    <w:spacing w:line="240" w:lineRule="auto"/>
                    <w:ind w:firstLine="0" w:firstLineChars="0"/>
                    <w:jc w:val="center"/>
                    <w:rPr>
                      <w:sz w:val="21"/>
                      <w:szCs w:val="21"/>
                    </w:rPr>
                  </w:pPr>
                  <w:r>
                    <w:rPr>
                      <w:rFonts w:hint="eastAsia"/>
                      <w:sz w:val="21"/>
                      <w:szCs w:val="21"/>
                    </w:rPr>
                    <w:t>41</w:t>
                  </w:r>
                </w:p>
              </w:tc>
              <w:tc>
                <w:tcPr>
                  <w:tcW w:w="662" w:type="dxa"/>
                  <w:vAlign w:val="center"/>
                </w:tcPr>
                <w:p>
                  <w:pPr>
                    <w:spacing w:line="240" w:lineRule="auto"/>
                    <w:ind w:firstLine="0" w:firstLineChars="0"/>
                    <w:jc w:val="center"/>
                    <w:rPr>
                      <w:sz w:val="21"/>
                      <w:szCs w:val="21"/>
                    </w:rPr>
                  </w:pPr>
                  <w:r>
                    <w:rPr>
                      <w:rFonts w:hint="eastAsia"/>
                      <w:sz w:val="21"/>
                      <w:szCs w:val="21"/>
                    </w:rPr>
                    <w:t>38</w:t>
                  </w:r>
                </w:p>
              </w:tc>
              <w:tc>
                <w:tcPr>
                  <w:tcW w:w="556" w:type="dxa"/>
                  <w:vAlign w:val="center"/>
                </w:tcPr>
                <w:p>
                  <w:pPr>
                    <w:spacing w:line="240" w:lineRule="auto"/>
                    <w:ind w:firstLine="0" w:firstLineChars="0"/>
                    <w:jc w:val="center"/>
                    <w:rPr>
                      <w:sz w:val="21"/>
                      <w:szCs w:val="21"/>
                    </w:rPr>
                  </w:pPr>
                  <w:r>
                    <w:rPr>
                      <w:rFonts w:hint="eastAsia"/>
                      <w:sz w:val="21"/>
                      <w:szCs w:val="21"/>
                    </w:rPr>
                    <w:t>35</w:t>
                  </w:r>
                </w:p>
              </w:tc>
              <w:tc>
                <w:tcPr>
                  <w:tcW w:w="689" w:type="dxa"/>
                  <w:vAlign w:val="center"/>
                </w:tcPr>
                <w:p>
                  <w:pPr>
                    <w:spacing w:line="240" w:lineRule="auto"/>
                    <w:ind w:firstLine="0" w:firstLineChars="0"/>
                    <w:jc w:val="center"/>
                    <w:rPr>
                      <w:sz w:val="21"/>
                      <w:szCs w:val="21"/>
                    </w:rPr>
                  </w:pPr>
                  <w:r>
                    <w:rPr>
                      <w:rFonts w:hint="eastAsia"/>
                      <w:sz w:val="21"/>
                      <w:szCs w:val="21"/>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rPr>
                      <w:sz w:val="21"/>
                      <w:szCs w:val="21"/>
                    </w:rPr>
                  </w:pPr>
                </w:p>
              </w:tc>
              <w:tc>
                <w:tcPr>
                  <w:tcW w:w="1429" w:type="dxa"/>
                  <w:vAlign w:val="center"/>
                </w:tcPr>
                <w:p>
                  <w:pPr>
                    <w:spacing w:line="240" w:lineRule="auto"/>
                    <w:ind w:firstLine="0" w:firstLineChars="0"/>
                    <w:jc w:val="center"/>
                    <w:rPr>
                      <w:sz w:val="21"/>
                      <w:szCs w:val="21"/>
                    </w:rPr>
                  </w:pPr>
                  <w:r>
                    <w:rPr>
                      <w:rFonts w:hint="eastAsia"/>
                      <w:sz w:val="21"/>
                      <w:szCs w:val="21"/>
                    </w:rPr>
                    <w:t>挖掘机</w:t>
                  </w:r>
                </w:p>
              </w:tc>
              <w:tc>
                <w:tcPr>
                  <w:tcW w:w="1104" w:type="dxa"/>
                  <w:vAlign w:val="center"/>
                </w:tcPr>
                <w:p>
                  <w:pPr>
                    <w:spacing w:line="240" w:lineRule="auto"/>
                    <w:ind w:firstLine="0" w:firstLineChars="0"/>
                    <w:jc w:val="center"/>
                    <w:rPr>
                      <w:sz w:val="21"/>
                      <w:szCs w:val="21"/>
                    </w:rPr>
                  </w:pPr>
                  <w:r>
                    <w:rPr>
                      <w:rFonts w:hint="eastAsia"/>
                      <w:sz w:val="21"/>
                      <w:szCs w:val="21"/>
                    </w:rPr>
                    <w:t>75</w:t>
                  </w:r>
                </w:p>
              </w:tc>
              <w:tc>
                <w:tcPr>
                  <w:tcW w:w="641" w:type="dxa"/>
                  <w:vAlign w:val="center"/>
                </w:tcPr>
                <w:p>
                  <w:pPr>
                    <w:spacing w:line="240" w:lineRule="auto"/>
                    <w:ind w:firstLine="0" w:firstLineChars="0"/>
                    <w:jc w:val="center"/>
                    <w:rPr>
                      <w:sz w:val="21"/>
                      <w:szCs w:val="21"/>
                    </w:rPr>
                  </w:pPr>
                  <w:r>
                    <w:rPr>
                      <w:rFonts w:hint="eastAsia"/>
                      <w:sz w:val="21"/>
                      <w:szCs w:val="21"/>
                    </w:rPr>
                    <w:t>55</w:t>
                  </w:r>
                </w:p>
              </w:tc>
              <w:tc>
                <w:tcPr>
                  <w:tcW w:w="554" w:type="dxa"/>
                  <w:vAlign w:val="center"/>
                </w:tcPr>
                <w:p>
                  <w:pPr>
                    <w:spacing w:line="240" w:lineRule="auto"/>
                    <w:ind w:firstLine="0" w:firstLineChars="0"/>
                    <w:jc w:val="center"/>
                    <w:rPr>
                      <w:sz w:val="21"/>
                      <w:szCs w:val="21"/>
                    </w:rPr>
                  </w:pPr>
                  <w:r>
                    <w:rPr>
                      <w:rFonts w:hint="eastAsia"/>
                      <w:sz w:val="21"/>
                      <w:szCs w:val="21"/>
                    </w:rPr>
                    <w:t>51</w:t>
                  </w:r>
                </w:p>
              </w:tc>
              <w:tc>
                <w:tcPr>
                  <w:tcW w:w="694" w:type="dxa"/>
                  <w:vAlign w:val="center"/>
                </w:tcPr>
                <w:p>
                  <w:pPr>
                    <w:spacing w:line="240" w:lineRule="auto"/>
                    <w:ind w:firstLine="0" w:firstLineChars="0"/>
                    <w:jc w:val="center"/>
                    <w:rPr>
                      <w:sz w:val="21"/>
                      <w:szCs w:val="21"/>
                    </w:rPr>
                  </w:pPr>
                  <w:r>
                    <w:rPr>
                      <w:rFonts w:hint="eastAsia"/>
                      <w:sz w:val="21"/>
                      <w:szCs w:val="21"/>
                    </w:rPr>
                    <w:t>45</w:t>
                  </w:r>
                </w:p>
              </w:tc>
              <w:tc>
                <w:tcPr>
                  <w:tcW w:w="592" w:type="dxa"/>
                  <w:vAlign w:val="center"/>
                </w:tcPr>
                <w:p>
                  <w:pPr>
                    <w:spacing w:line="240" w:lineRule="auto"/>
                    <w:ind w:firstLine="0" w:firstLineChars="0"/>
                    <w:jc w:val="center"/>
                    <w:rPr>
                      <w:sz w:val="21"/>
                      <w:szCs w:val="21"/>
                    </w:rPr>
                  </w:pPr>
                  <w:r>
                    <w:rPr>
                      <w:rFonts w:hint="eastAsia"/>
                      <w:sz w:val="21"/>
                      <w:szCs w:val="21"/>
                    </w:rPr>
                    <w:t>41</w:t>
                  </w:r>
                </w:p>
              </w:tc>
              <w:tc>
                <w:tcPr>
                  <w:tcW w:w="662" w:type="dxa"/>
                  <w:vAlign w:val="center"/>
                </w:tcPr>
                <w:p>
                  <w:pPr>
                    <w:spacing w:line="240" w:lineRule="auto"/>
                    <w:ind w:firstLine="0" w:firstLineChars="0"/>
                    <w:jc w:val="center"/>
                    <w:rPr>
                      <w:sz w:val="21"/>
                      <w:szCs w:val="21"/>
                    </w:rPr>
                  </w:pPr>
                  <w:r>
                    <w:rPr>
                      <w:rFonts w:hint="eastAsia"/>
                      <w:sz w:val="21"/>
                      <w:szCs w:val="21"/>
                    </w:rPr>
                    <w:t>38</w:t>
                  </w:r>
                </w:p>
              </w:tc>
              <w:tc>
                <w:tcPr>
                  <w:tcW w:w="556" w:type="dxa"/>
                  <w:vAlign w:val="center"/>
                </w:tcPr>
                <w:p>
                  <w:pPr>
                    <w:spacing w:line="240" w:lineRule="auto"/>
                    <w:ind w:firstLine="0" w:firstLineChars="0"/>
                    <w:jc w:val="center"/>
                    <w:rPr>
                      <w:sz w:val="21"/>
                      <w:szCs w:val="21"/>
                    </w:rPr>
                  </w:pPr>
                  <w:r>
                    <w:rPr>
                      <w:rFonts w:hint="eastAsia"/>
                      <w:sz w:val="21"/>
                      <w:szCs w:val="21"/>
                    </w:rPr>
                    <w:t>35</w:t>
                  </w:r>
                </w:p>
              </w:tc>
              <w:tc>
                <w:tcPr>
                  <w:tcW w:w="689" w:type="dxa"/>
                  <w:vAlign w:val="center"/>
                </w:tcPr>
                <w:p>
                  <w:pPr>
                    <w:spacing w:line="240" w:lineRule="auto"/>
                    <w:ind w:firstLine="0" w:firstLineChars="0"/>
                    <w:jc w:val="center"/>
                    <w:rPr>
                      <w:sz w:val="21"/>
                      <w:szCs w:val="21"/>
                    </w:rPr>
                  </w:pPr>
                  <w:r>
                    <w:rPr>
                      <w:rFonts w:hint="eastAsia"/>
                      <w:sz w:val="21"/>
                      <w:szCs w:val="21"/>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rPr>
                      <w:sz w:val="21"/>
                      <w:szCs w:val="21"/>
                    </w:rPr>
                  </w:pPr>
                </w:p>
              </w:tc>
              <w:tc>
                <w:tcPr>
                  <w:tcW w:w="1429" w:type="dxa"/>
                  <w:vAlign w:val="center"/>
                </w:tcPr>
                <w:p>
                  <w:pPr>
                    <w:spacing w:line="240" w:lineRule="auto"/>
                    <w:ind w:firstLine="0" w:firstLineChars="0"/>
                    <w:jc w:val="center"/>
                    <w:rPr>
                      <w:sz w:val="21"/>
                      <w:szCs w:val="21"/>
                    </w:rPr>
                  </w:pPr>
                  <w:r>
                    <w:rPr>
                      <w:rFonts w:hint="eastAsia"/>
                      <w:kern w:val="28"/>
                      <w:sz w:val="21"/>
                      <w:szCs w:val="21"/>
                    </w:rPr>
                    <w:t>装载机</w:t>
                  </w:r>
                </w:p>
              </w:tc>
              <w:tc>
                <w:tcPr>
                  <w:tcW w:w="1104" w:type="dxa"/>
                  <w:vAlign w:val="center"/>
                </w:tcPr>
                <w:p>
                  <w:pPr>
                    <w:spacing w:line="240" w:lineRule="auto"/>
                    <w:ind w:firstLine="0" w:firstLineChars="0"/>
                    <w:jc w:val="center"/>
                    <w:rPr>
                      <w:kern w:val="28"/>
                      <w:sz w:val="21"/>
                      <w:szCs w:val="21"/>
                    </w:rPr>
                  </w:pPr>
                  <w:r>
                    <w:rPr>
                      <w:rFonts w:hint="eastAsia"/>
                      <w:kern w:val="28"/>
                      <w:sz w:val="21"/>
                      <w:szCs w:val="21"/>
                    </w:rPr>
                    <w:t>85</w:t>
                  </w:r>
                </w:p>
              </w:tc>
              <w:tc>
                <w:tcPr>
                  <w:tcW w:w="641" w:type="dxa"/>
                  <w:vAlign w:val="center"/>
                </w:tcPr>
                <w:p>
                  <w:pPr>
                    <w:spacing w:line="240" w:lineRule="auto"/>
                    <w:ind w:firstLine="0" w:firstLineChars="0"/>
                    <w:jc w:val="center"/>
                    <w:rPr>
                      <w:sz w:val="21"/>
                      <w:szCs w:val="21"/>
                    </w:rPr>
                  </w:pPr>
                  <w:r>
                    <w:rPr>
                      <w:rFonts w:hint="eastAsia"/>
                      <w:sz w:val="21"/>
                      <w:szCs w:val="21"/>
                    </w:rPr>
                    <w:t>65</w:t>
                  </w:r>
                </w:p>
              </w:tc>
              <w:tc>
                <w:tcPr>
                  <w:tcW w:w="554" w:type="dxa"/>
                  <w:vAlign w:val="center"/>
                </w:tcPr>
                <w:p>
                  <w:pPr>
                    <w:spacing w:line="240" w:lineRule="auto"/>
                    <w:ind w:firstLine="0" w:firstLineChars="0"/>
                    <w:jc w:val="center"/>
                    <w:rPr>
                      <w:sz w:val="21"/>
                      <w:szCs w:val="21"/>
                    </w:rPr>
                  </w:pPr>
                  <w:r>
                    <w:rPr>
                      <w:rFonts w:hint="eastAsia"/>
                      <w:sz w:val="21"/>
                      <w:szCs w:val="21"/>
                    </w:rPr>
                    <w:t>61</w:t>
                  </w:r>
                </w:p>
              </w:tc>
              <w:tc>
                <w:tcPr>
                  <w:tcW w:w="694" w:type="dxa"/>
                  <w:vAlign w:val="center"/>
                </w:tcPr>
                <w:p>
                  <w:pPr>
                    <w:spacing w:line="240" w:lineRule="auto"/>
                    <w:ind w:firstLine="0" w:firstLineChars="0"/>
                    <w:jc w:val="center"/>
                    <w:rPr>
                      <w:sz w:val="21"/>
                      <w:szCs w:val="21"/>
                    </w:rPr>
                  </w:pPr>
                  <w:r>
                    <w:rPr>
                      <w:rFonts w:hint="eastAsia"/>
                      <w:sz w:val="21"/>
                      <w:szCs w:val="21"/>
                    </w:rPr>
                    <w:t>55</w:t>
                  </w:r>
                </w:p>
              </w:tc>
              <w:tc>
                <w:tcPr>
                  <w:tcW w:w="592" w:type="dxa"/>
                  <w:vAlign w:val="center"/>
                </w:tcPr>
                <w:p>
                  <w:pPr>
                    <w:spacing w:line="240" w:lineRule="auto"/>
                    <w:ind w:firstLine="0" w:firstLineChars="0"/>
                    <w:jc w:val="center"/>
                    <w:rPr>
                      <w:sz w:val="21"/>
                      <w:szCs w:val="21"/>
                    </w:rPr>
                  </w:pPr>
                  <w:r>
                    <w:rPr>
                      <w:rFonts w:hint="eastAsia"/>
                      <w:sz w:val="21"/>
                      <w:szCs w:val="21"/>
                    </w:rPr>
                    <w:t>51</w:t>
                  </w:r>
                </w:p>
              </w:tc>
              <w:tc>
                <w:tcPr>
                  <w:tcW w:w="662" w:type="dxa"/>
                  <w:vAlign w:val="center"/>
                </w:tcPr>
                <w:p>
                  <w:pPr>
                    <w:spacing w:line="240" w:lineRule="auto"/>
                    <w:ind w:firstLine="0" w:firstLineChars="0"/>
                    <w:jc w:val="center"/>
                    <w:rPr>
                      <w:sz w:val="21"/>
                      <w:szCs w:val="21"/>
                    </w:rPr>
                  </w:pPr>
                  <w:r>
                    <w:rPr>
                      <w:rFonts w:hint="eastAsia"/>
                      <w:sz w:val="21"/>
                      <w:szCs w:val="21"/>
                    </w:rPr>
                    <w:t>48</w:t>
                  </w:r>
                </w:p>
              </w:tc>
              <w:tc>
                <w:tcPr>
                  <w:tcW w:w="556" w:type="dxa"/>
                  <w:vAlign w:val="center"/>
                </w:tcPr>
                <w:p>
                  <w:pPr>
                    <w:spacing w:line="240" w:lineRule="auto"/>
                    <w:ind w:firstLine="0" w:firstLineChars="0"/>
                    <w:jc w:val="center"/>
                    <w:rPr>
                      <w:sz w:val="21"/>
                      <w:szCs w:val="21"/>
                    </w:rPr>
                  </w:pPr>
                  <w:r>
                    <w:rPr>
                      <w:rFonts w:hint="eastAsia"/>
                      <w:sz w:val="21"/>
                      <w:szCs w:val="21"/>
                    </w:rPr>
                    <w:t>45</w:t>
                  </w:r>
                </w:p>
              </w:tc>
              <w:tc>
                <w:tcPr>
                  <w:tcW w:w="689" w:type="dxa"/>
                  <w:vAlign w:val="center"/>
                </w:tcPr>
                <w:p>
                  <w:pPr>
                    <w:spacing w:line="240" w:lineRule="auto"/>
                    <w:ind w:firstLine="0" w:firstLineChars="0"/>
                    <w:jc w:val="center"/>
                    <w:rPr>
                      <w:sz w:val="21"/>
                      <w:szCs w:val="21"/>
                    </w:rPr>
                  </w:pPr>
                  <w:r>
                    <w:rPr>
                      <w:rFonts w:hint="eastAsia"/>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rPr>
                      <w:sz w:val="21"/>
                      <w:szCs w:val="21"/>
                    </w:rPr>
                  </w:pPr>
                </w:p>
              </w:tc>
              <w:tc>
                <w:tcPr>
                  <w:tcW w:w="2533" w:type="dxa"/>
                  <w:gridSpan w:val="2"/>
                  <w:vAlign w:val="center"/>
                </w:tcPr>
                <w:p>
                  <w:pPr>
                    <w:spacing w:line="240" w:lineRule="auto"/>
                    <w:ind w:firstLine="0" w:firstLineChars="0"/>
                    <w:jc w:val="center"/>
                    <w:rPr>
                      <w:kern w:val="28"/>
                      <w:sz w:val="21"/>
                      <w:szCs w:val="21"/>
                    </w:rPr>
                  </w:pPr>
                  <w:r>
                    <w:rPr>
                      <w:rFonts w:hint="eastAsia"/>
                      <w:sz w:val="21"/>
                      <w:szCs w:val="21"/>
                    </w:rPr>
                    <w:t>该工段机械噪声贡献值</w:t>
                  </w:r>
                </w:p>
              </w:tc>
              <w:tc>
                <w:tcPr>
                  <w:tcW w:w="641" w:type="dxa"/>
                  <w:vAlign w:val="center"/>
                </w:tcPr>
                <w:p>
                  <w:pPr>
                    <w:spacing w:line="240" w:lineRule="auto"/>
                    <w:ind w:firstLine="0" w:firstLineChars="0"/>
                    <w:jc w:val="center"/>
                    <w:rPr>
                      <w:sz w:val="21"/>
                      <w:szCs w:val="21"/>
                    </w:rPr>
                  </w:pPr>
                  <w:r>
                    <w:rPr>
                      <w:rFonts w:hint="eastAsia"/>
                      <w:sz w:val="21"/>
                      <w:szCs w:val="21"/>
                    </w:rPr>
                    <w:t>66</w:t>
                  </w:r>
                </w:p>
              </w:tc>
              <w:tc>
                <w:tcPr>
                  <w:tcW w:w="554" w:type="dxa"/>
                  <w:vAlign w:val="center"/>
                </w:tcPr>
                <w:p>
                  <w:pPr>
                    <w:spacing w:line="240" w:lineRule="auto"/>
                    <w:ind w:firstLine="0" w:firstLineChars="0"/>
                    <w:jc w:val="center"/>
                    <w:rPr>
                      <w:sz w:val="21"/>
                      <w:szCs w:val="21"/>
                    </w:rPr>
                  </w:pPr>
                  <w:r>
                    <w:rPr>
                      <w:rFonts w:hint="eastAsia"/>
                      <w:sz w:val="21"/>
                      <w:szCs w:val="21"/>
                    </w:rPr>
                    <w:t>62</w:t>
                  </w:r>
                </w:p>
              </w:tc>
              <w:tc>
                <w:tcPr>
                  <w:tcW w:w="694" w:type="dxa"/>
                  <w:vAlign w:val="center"/>
                </w:tcPr>
                <w:p>
                  <w:pPr>
                    <w:spacing w:line="240" w:lineRule="auto"/>
                    <w:ind w:firstLine="0" w:firstLineChars="0"/>
                    <w:jc w:val="center"/>
                    <w:rPr>
                      <w:sz w:val="21"/>
                      <w:szCs w:val="21"/>
                    </w:rPr>
                  </w:pPr>
                  <w:r>
                    <w:rPr>
                      <w:rFonts w:hint="eastAsia"/>
                      <w:sz w:val="21"/>
                      <w:szCs w:val="21"/>
                    </w:rPr>
                    <w:t>56</w:t>
                  </w:r>
                </w:p>
              </w:tc>
              <w:tc>
                <w:tcPr>
                  <w:tcW w:w="592" w:type="dxa"/>
                  <w:vAlign w:val="center"/>
                </w:tcPr>
                <w:p>
                  <w:pPr>
                    <w:spacing w:line="240" w:lineRule="auto"/>
                    <w:ind w:firstLine="0" w:firstLineChars="0"/>
                    <w:jc w:val="center"/>
                    <w:rPr>
                      <w:sz w:val="21"/>
                      <w:szCs w:val="21"/>
                    </w:rPr>
                  </w:pPr>
                  <w:r>
                    <w:rPr>
                      <w:rFonts w:hint="eastAsia"/>
                      <w:sz w:val="21"/>
                      <w:szCs w:val="21"/>
                    </w:rPr>
                    <w:t>52</w:t>
                  </w:r>
                </w:p>
              </w:tc>
              <w:tc>
                <w:tcPr>
                  <w:tcW w:w="662" w:type="dxa"/>
                  <w:vAlign w:val="center"/>
                </w:tcPr>
                <w:p>
                  <w:pPr>
                    <w:spacing w:line="240" w:lineRule="auto"/>
                    <w:ind w:firstLine="0" w:firstLineChars="0"/>
                    <w:jc w:val="center"/>
                    <w:rPr>
                      <w:sz w:val="21"/>
                      <w:szCs w:val="21"/>
                    </w:rPr>
                  </w:pPr>
                  <w:r>
                    <w:rPr>
                      <w:rFonts w:hint="eastAsia"/>
                      <w:sz w:val="21"/>
                      <w:szCs w:val="21"/>
                    </w:rPr>
                    <w:t>49</w:t>
                  </w:r>
                </w:p>
              </w:tc>
              <w:tc>
                <w:tcPr>
                  <w:tcW w:w="556" w:type="dxa"/>
                  <w:vAlign w:val="center"/>
                </w:tcPr>
                <w:p>
                  <w:pPr>
                    <w:spacing w:line="240" w:lineRule="auto"/>
                    <w:ind w:firstLine="0" w:firstLineChars="0"/>
                    <w:jc w:val="center"/>
                    <w:rPr>
                      <w:sz w:val="21"/>
                      <w:szCs w:val="21"/>
                    </w:rPr>
                  </w:pPr>
                  <w:r>
                    <w:rPr>
                      <w:rFonts w:hint="eastAsia"/>
                      <w:sz w:val="21"/>
                      <w:szCs w:val="21"/>
                    </w:rPr>
                    <w:t>46</w:t>
                  </w:r>
                </w:p>
              </w:tc>
              <w:tc>
                <w:tcPr>
                  <w:tcW w:w="689" w:type="dxa"/>
                  <w:vAlign w:val="center"/>
                </w:tcPr>
                <w:p>
                  <w:pPr>
                    <w:spacing w:line="240" w:lineRule="auto"/>
                    <w:ind w:firstLine="0" w:firstLineChars="0"/>
                    <w:jc w:val="center"/>
                    <w:rPr>
                      <w:sz w:val="21"/>
                      <w:szCs w:val="21"/>
                    </w:rPr>
                  </w:pPr>
                  <w:r>
                    <w:rPr>
                      <w:rFonts w:hint="eastAsia"/>
                      <w:sz w:val="21"/>
                      <w:szCs w:val="21"/>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restart"/>
                  <w:vAlign w:val="center"/>
                </w:tcPr>
                <w:p>
                  <w:pPr>
                    <w:spacing w:line="240" w:lineRule="auto"/>
                    <w:ind w:firstLine="0" w:firstLineChars="0"/>
                    <w:jc w:val="center"/>
                    <w:rPr>
                      <w:sz w:val="21"/>
                      <w:szCs w:val="21"/>
                    </w:rPr>
                  </w:pPr>
                  <w:r>
                    <w:rPr>
                      <w:rFonts w:hint="eastAsia"/>
                      <w:sz w:val="21"/>
                      <w:szCs w:val="21"/>
                    </w:rPr>
                    <w:t>基础阶段</w:t>
                  </w:r>
                </w:p>
              </w:tc>
              <w:tc>
                <w:tcPr>
                  <w:tcW w:w="1429" w:type="dxa"/>
                  <w:vAlign w:val="center"/>
                </w:tcPr>
                <w:p>
                  <w:pPr>
                    <w:spacing w:line="240" w:lineRule="auto"/>
                    <w:ind w:firstLine="0" w:firstLineChars="0"/>
                    <w:jc w:val="center"/>
                    <w:rPr>
                      <w:sz w:val="21"/>
                      <w:szCs w:val="21"/>
                    </w:rPr>
                  </w:pPr>
                  <w:r>
                    <w:rPr>
                      <w:rFonts w:hint="eastAsia"/>
                      <w:sz w:val="21"/>
                      <w:szCs w:val="21"/>
                    </w:rPr>
                    <w:t>挖掘机</w:t>
                  </w:r>
                </w:p>
              </w:tc>
              <w:tc>
                <w:tcPr>
                  <w:tcW w:w="1104" w:type="dxa"/>
                  <w:vAlign w:val="center"/>
                </w:tcPr>
                <w:p>
                  <w:pPr>
                    <w:spacing w:line="240" w:lineRule="auto"/>
                    <w:ind w:firstLine="0" w:firstLineChars="0"/>
                    <w:jc w:val="center"/>
                    <w:rPr>
                      <w:sz w:val="21"/>
                      <w:szCs w:val="21"/>
                    </w:rPr>
                  </w:pPr>
                  <w:r>
                    <w:rPr>
                      <w:rFonts w:hint="eastAsia"/>
                      <w:sz w:val="21"/>
                      <w:szCs w:val="21"/>
                    </w:rPr>
                    <w:t>75</w:t>
                  </w:r>
                </w:p>
              </w:tc>
              <w:tc>
                <w:tcPr>
                  <w:tcW w:w="641" w:type="dxa"/>
                  <w:vAlign w:val="center"/>
                </w:tcPr>
                <w:p>
                  <w:pPr>
                    <w:spacing w:line="240" w:lineRule="auto"/>
                    <w:ind w:firstLine="0" w:firstLineChars="0"/>
                    <w:jc w:val="center"/>
                    <w:rPr>
                      <w:sz w:val="21"/>
                      <w:szCs w:val="21"/>
                    </w:rPr>
                  </w:pPr>
                  <w:r>
                    <w:rPr>
                      <w:rFonts w:hint="eastAsia"/>
                      <w:sz w:val="21"/>
                      <w:szCs w:val="21"/>
                    </w:rPr>
                    <w:t>55</w:t>
                  </w:r>
                </w:p>
              </w:tc>
              <w:tc>
                <w:tcPr>
                  <w:tcW w:w="554" w:type="dxa"/>
                  <w:vAlign w:val="center"/>
                </w:tcPr>
                <w:p>
                  <w:pPr>
                    <w:spacing w:line="240" w:lineRule="auto"/>
                    <w:ind w:firstLine="0" w:firstLineChars="0"/>
                    <w:jc w:val="center"/>
                    <w:rPr>
                      <w:sz w:val="21"/>
                      <w:szCs w:val="21"/>
                    </w:rPr>
                  </w:pPr>
                  <w:r>
                    <w:rPr>
                      <w:rFonts w:hint="eastAsia"/>
                      <w:sz w:val="21"/>
                      <w:szCs w:val="21"/>
                    </w:rPr>
                    <w:t>51</w:t>
                  </w:r>
                </w:p>
              </w:tc>
              <w:tc>
                <w:tcPr>
                  <w:tcW w:w="694" w:type="dxa"/>
                  <w:vAlign w:val="center"/>
                </w:tcPr>
                <w:p>
                  <w:pPr>
                    <w:spacing w:line="240" w:lineRule="auto"/>
                    <w:ind w:firstLine="0" w:firstLineChars="0"/>
                    <w:jc w:val="center"/>
                    <w:rPr>
                      <w:sz w:val="21"/>
                      <w:szCs w:val="21"/>
                    </w:rPr>
                  </w:pPr>
                  <w:r>
                    <w:rPr>
                      <w:rFonts w:hint="eastAsia"/>
                      <w:sz w:val="21"/>
                      <w:szCs w:val="21"/>
                    </w:rPr>
                    <w:t>45</w:t>
                  </w:r>
                </w:p>
              </w:tc>
              <w:tc>
                <w:tcPr>
                  <w:tcW w:w="592" w:type="dxa"/>
                  <w:vAlign w:val="center"/>
                </w:tcPr>
                <w:p>
                  <w:pPr>
                    <w:spacing w:line="240" w:lineRule="auto"/>
                    <w:ind w:firstLine="0" w:firstLineChars="0"/>
                    <w:jc w:val="center"/>
                    <w:rPr>
                      <w:sz w:val="21"/>
                      <w:szCs w:val="21"/>
                    </w:rPr>
                  </w:pPr>
                  <w:r>
                    <w:rPr>
                      <w:rFonts w:hint="eastAsia"/>
                      <w:sz w:val="21"/>
                      <w:szCs w:val="21"/>
                    </w:rPr>
                    <w:t>41</w:t>
                  </w:r>
                </w:p>
              </w:tc>
              <w:tc>
                <w:tcPr>
                  <w:tcW w:w="662" w:type="dxa"/>
                  <w:vAlign w:val="center"/>
                </w:tcPr>
                <w:p>
                  <w:pPr>
                    <w:spacing w:line="240" w:lineRule="auto"/>
                    <w:ind w:firstLine="0" w:firstLineChars="0"/>
                    <w:jc w:val="center"/>
                    <w:rPr>
                      <w:sz w:val="21"/>
                      <w:szCs w:val="21"/>
                    </w:rPr>
                  </w:pPr>
                  <w:r>
                    <w:rPr>
                      <w:rFonts w:hint="eastAsia"/>
                      <w:sz w:val="21"/>
                      <w:szCs w:val="21"/>
                    </w:rPr>
                    <w:t>38</w:t>
                  </w:r>
                </w:p>
              </w:tc>
              <w:tc>
                <w:tcPr>
                  <w:tcW w:w="556" w:type="dxa"/>
                  <w:vAlign w:val="center"/>
                </w:tcPr>
                <w:p>
                  <w:pPr>
                    <w:spacing w:line="240" w:lineRule="auto"/>
                    <w:ind w:firstLine="0" w:firstLineChars="0"/>
                    <w:jc w:val="center"/>
                    <w:rPr>
                      <w:sz w:val="21"/>
                      <w:szCs w:val="21"/>
                    </w:rPr>
                  </w:pPr>
                  <w:r>
                    <w:rPr>
                      <w:rFonts w:hint="eastAsia"/>
                      <w:sz w:val="21"/>
                      <w:szCs w:val="21"/>
                    </w:rPr>
                    <w:t>35</w:t>
                  </w:r>
                </w:p>
              </w:tc>
              <w:tc>
                <w:tcPr>
                  <w:tcW w:w="689" w:type="dxa"/>
                  <w:vAlign w:val="center"/>
                </w:tcPr>
                <w:p>
                  <w:pPr>
                    <w:spacing w:line="240" w:lineRule="auto"/>
                    <w:ind w:firstLine="0" w:firstLineChars="0"/>
                    <w:jc w:val="center"/>
                    <w:rPr>
                      <w:sz w:val="21"/>
                      <w:szCs w:val="21"/>
                    </w:rPr>
                  </w:pPr>
                  <w:r>
                    <w:rPr>
                      <w:rFonts w:hint="eastAsia"/>
                      <w:sz w:val="21"/>
                      <w:szCs w:val="21"/>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rPr>
                      <w:sz w:val="21"/>
                      <w:szCs w:val="21"/>
                    </w:rPr>
                  </w:pPr>
                </w:p>
              </w:tc>
              <w:tc>
                <w:tcPr>
                  <w:tcW w:w="1429" w:type="dxa"/>
                  <w:vAlign w:val="center"/>
                </w:tcPr>
                <w:p>
                  <w:pPr>
                    <w:spacing w:line="240" w:lineRule="auto"/>
                    <w:ind w:firstLine="0" w:firstLineChars="0"/>
                    <w:jc w:val="center"/>
                    <w:rPr>
                      <w:sz w:val="21"/>
                      <w:szCs w:val="21"/>
                    </w:rPr>
                  </w:pPr>
                  <w:r>
                    <w:rPr>
                      <w:rFonts w:hint="eastAsia"/>
                      <w:sz w:val="21"/>
                      <w:szCs w:val="21"/>
                    </w:rPr>
                    <w:t>推土机</w:t>
                  </w:r>
                </w:p>
              </w:tc>
              <w:tc>
                <w:tcPr>
                  <w:tcW w:w="1104" w:type="dxa"/>
                  <w:vAlign w:val="center"/>
                </w:tcPr>
                <w:p>
                  <w:pPr>
                    <w:spacing w:line="240" w:lineRule="auto"/>
                    <w:ind w:firstLine="0" w:firstLineChars="0"/>
                    <w:jc w:val="center"/>
                    <w:rPr>
                      <w:sz w:val="21"/>
                      <w:szCs w:val="21"/>
                    </w:rPr>
                  </w:pPr>
                  <w:r>
                    <w:rPr>
                      <w:rFonts w:hint="eastAsia"/>
                      <w:sz w:val="21"/>
                      <w:szCs w:val="21"/>
                    </w:rPr>
                    <w:t>75</w:t>
                  </w:r>
                </w:p>
              </w:tc>
              <w:tc>
                <w:tcPr>
                  <w:tcW w:w="641" w:type="dxa"/>
                  <w:vAlign w:val="center"/>
                </w:tcPr>
                <w:p>
                  <w:pPr>
                    <w:spacing w:line="240" w:lineRule="auto"/>
                    <w:ind w:firstLine="0" w:firstLineChars="0"/>
                    <w:jc w:val="center"/>
                    <w:rPr>
                      <w:sz w:val="21"/>
                      <w:szCs w:val="21"/>
                    </w:rPr>
                  </w:pPr>
                  <w:r>
                    <w:rPr>
                      <w:rFonts w:hint="eastAsia"/>
                      <w:sz w:val="21"/>
                      <w:szCs w:val="21"/>
                    </w:rPr>
                    <w:t>55</w:t>
                  </w:r>
                </w:p>
              </w:tc>
              <w:tc>
                <w:tcPr>
                  <w:tcW w:w="554" w:type="dxa"/>
                  <w:vAlign w:val="center"/>
                </w:tcPr>
                <w:p>
                  <w:pPr>
                    <w:spacing w:line="240" w:lineRule="auto"/>
                    <w:ind w:firstLine="0" w:firstLineChars="0"/>
                    <w:jc w:val="center"/>
                    <w:rPr>
                      <w:sz w:val="21"/>
                      <w:szCs w:val="21"/>
                    </w:rPr>
                  </w:pPr>
                  <w:r>
                    <w:rPr>
                      <w:rFonts w:hint="eastAsia"/>
                      <w:sz w:val="21"/>
                      <w:szCs w:val="21"/>
                    </w:rPr>
                    <w:t>51</w:t>
                  </w:r>
                </w:p>
              </w:tc>
              <w:tc>
                <w:tcPr>
                  <w:tcW w:w="694" w:type="dxa"/>
                  <w:vAlign w:val="center"/>
                </w:tcPr>
                <w:p>
                  <w:pPr>
                    <w:spacing w:line="240" w:lineRule="auto"/>
                    <w:ind w:firstLine="0" w:firstLineChars="0"/>
                    <w:jc w:val="center"/>
                    <w:rPr>
                      <w:sz w:val="21"/>
                      <w:szCs w:val="21"/>
                    </w:rPr>
                  </w:pPr>
                  <w:r>
                    <w:rPr>
                      <w:rFonts w:hint="eastAsia"/>
                      <w:sz w:val="21"/>
                      <w:szCs w:val="21"/>
                    </w:rPr>
                    <w:t>45</w:t>
                  </w:r>
                </w:p>
              </w:tc>
              <w:tc>
                <w:tcPr>
                  <w:tcW w:w="592" w:type="dxa"/>
                  <w:vAlign w:val="center"/>
                </w:tcPr>
                <w:p>
                  <w:pPr>
                    <w:spacing w:line="240" w:lineRule="auto"/>
                    <w:ind w:firstLine="0" w:firstLineChars="0"/>
                    <w:jc w:val="center"/>
                    <w:rPr>
                      <w:sz w:val="21"/>
                      <w:szCs w:val="21"/>
                    </w:rPr>
                  </w:pPr>
                  <w:r>
                    <w:rPr>
                      <w:rFonts w:hint="eastAsia"/>
                      <w:sz w:val="21"/>
                      <w:szCs w:val="21"/>
                    </w:rPr>
                    <w:t>41</w:t>
                  </w:r>
                </w:p>
              </w:tc>
              <w:tc>
                <w:tcPr>
                  <w:tcW w:w="662" w:type="dxa"/>
                  <w:vAlign w:val="center"/>
                </w:tcPr>
                <w:p>
                  <w:pPr>
                    <w:spacing w:line="240" w:lineRule="auto"/>
                    <w:ind w:firstLine="0" w:firstLineChars="0"/>
                    <w:jc w:val="center"/>
                    <w:rPr>
                      <w:sz w:val="21"/>
                      <w:szCs w:val="21"/>
                    </w:rPr>
                  </w:pPr>
                  <w:r>
                    <w:rPr>
                      <w:rFonts w:hint="eastAsia"/>
                      <w:sz w:val="21"/>
                      <w:szCs w:val="21"/>
                    </w:rPr>
                    <w:t>38</w:t>
                  </w:r>
                </w:p>
              </w:tc>
              <w:tc>
                <w:tcPr>
                  <w:tcW w:w="556" w:type="dxa"/>
                  <w:vAlign w:val="center"/>
                </w:tcPr>
                <w:p>
                  <w:pPr>
                    <w:spacing w:line="240" w:lineRule="auto"/>
                    <w:ind w:firstLine="0" w:firstLineChars="0"/>
                    <w:jc w:val="center"/>
                    <w:rPr>
                      <w:sz w:val="21"/>
                      <w:szCs w:val="21"/>
                    </w:rPr>
                  </w:pPr>
                  <w:r>
                    <w:rPr>
                      <w:rFonts w:hint="eastAsia"/>
                      <w:sz w:val="21"/>
                      <w:szCs w:val="21"/>
                    </w:rPr>
                    <w:t>35</w:t>
                  </w:r>
                </w:p>
              </w:tc>
              <w:tc>
                <w:tcPr>
                  <w:tcW w:w="689" w:type="dxa"/>
                  <w:vAlign w:val="center"/>
                </w:tcPr>
                <w:p>
                  <w:pPr>
                    <w:spacing w:line="240" w:lineRule="auto"/>
                    <w:ind w:firstLine="0" w:firstLineChars="0"/>
                    <w:jc w:val="center"/>
                    <w:rPr>
                      <w:sz w:val="21"/>
                      <w:szCs w:val="21"/>
                    </w:rPr>
                  </w:pPr>
                  <w:r>
                    <w:rPr>
                      <w:rFonts w:hint="eastAsia"/>
                      <w:sz w:val="21"/>
                      <w:szCs w:val="21"/>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rPr>
                      <w:sz w:val="21"/>
                      <w:szCs w:val="21"/>
                    </w:rPr>
                  </w:pPr>
                </w:p>
              </w:tc>
              <w:tc>
                <w:tcPr>
                  <w:tcW w:w="1429" w:type="dxa"/>
                  <w:vAlign w:val="center"/>
                </w:tcPr>
                <w:p>
                  <w:pPr>
                    <w:spacing w:line="240" w:lineRule="auto"/>
                    <w:ind w:firstLine="0" w:firstLineChars="0"/>
                    <w:jc w:val="center"/>
                    <w:rPr>
                      <w:sz w:val="21"/>
                      <w:szCs w:val="21"/>
                    </w:rPr>
                  </w:pPr>
                  <w:r>
                    <w:rPr>
                      <w:rFonts w:hint="eastAsia"/>
                      <w:sz w:val="21"/>
                      <w:szCs w:val="21"/>
                    </w:rPr>
                    <w:t>碾压机</w:t>
                  </w:r>
                </w:p>
              </w:tc>
              <w:tc>
                <w:tcPr>
                  <w:tcW w:w="1104" w:type="dxa"/>
                  <w:vAlign w:val="center"/>
                </w:tcPr>
                <w:p>
                  <w:pPr>
                    <w:spacing w:line="240" w:lineRule="auto"/>
                    <w:ind w:firstLine="0" w:firstLineChars="0"/>
                    <w:jc w:val="center"/>
                    <w:rPr>
                      <w:sz w:val="21"/>
                      <w:szCs w:val="21"/>
                    </w:rPr>
                  </w:pPr>
                  <w:r>
                    <w:rPr>
                      <w:rFonts w:hint="eastAsia"/>
                      <w:sz w:val="21"/>
                      <w:szCs w:val="21"/>
                    </w:rPr>
                    <w:t>75</w:t>
                  </w:r>
                </w:p>
              </w:tc>
              <w:tc>
                <w:tcPr>
                  <w:tcW w:w="641" w:type="dxa"/>
                  <w:vAlign w:val="center"/>
                </w:tcPr>
                <w:p>
                  <w:pPr>
                    <w:spacing w:line="240" w:lineRule="auto"/>
                    <w:ind w:firstLine="0" w:firstLineChars="0"/>
                    <w:jc w:val="center"/>
                    <w:rPr>
                      <w:sz w:val="21"/>
                      <w:szCs w:val="21"/>
                    </w:rPr>
                  </w:pPr>
                  <w:r>
                    <w:rPr>
                      <w:rFonts w:hint="eastAsia"/>
                      <w:sz w:val="21"/>
                      <w:szCs w:val="21"/>
                    </w:rPr>
                    <w:t>55</w:t>
                  </w:r>
                </w:p>
              </w:tc>
              <w:tc>
                <w:tcPr>
                  <w:tcW w:w="554" w:type="dxa"/>
                  <w:vAlign w:val="center"/>
                </w:tcPr>
                <w:p>
                  <w:pPr>
                    <w:spacing w:line="240" w:lineRule="auto"/>
                    <w:ind w:firstLine="0" w:firstLineChars="0"/>
                    <w:jc w:val="center"/>
                    <w:rPr>
                      <w:sz w:val="21"/>
                      <w:szCs w:val="21"/>
                    </w:rPr>
                  </w:pPr>
                  <w:r>
                    <w:rPr>
                      <w:rFonts w:hint="eastAsia"/>
                      <w:sz w:val="21"/>
                      <w:szCs w:val="21"/>
                    </w:rPr>
                    <w:t>51</w:t>
                  </w:r>
                </w:p>
              </w:tc>
              <w:tc>
                <w:tcPr>
                  <w:tcW w:w="694" w:type="dxa"/>
                  <w:vAlign w:val="center"/>
                </w:tcPr>
                <w:p>
                  <w:pPr>
                    <w:spacing w:line="240" w:lineRule="auto"/>
                    <w:ind w:firstLine="0" w:firstLineChars="0"/>
                    <w:jc w:val="center"/>
                    <w:rPr>
                      <w:sz w:val="21"/>
                      <w:szCs w:val="21"/>
                    </w:rPr>
                  </w:pPr>
                  <w:r>
                    <w:rPr>
                      <w:rFonts w:hint="eastAsia"/>
                      <w:sz w:val="21"/>
                      <w:szCs w:val="21"/>
                    </w:rPr>
                    <w:t>45</w:t>
                  </w:r>
                </w:p>
              </w:tc>
              <w:tc>
                <w:tcPr>
                  <w:tcW w:w="592" w:type="dxa"/>
                  <w:vAlign w:val="center"/>
                </w:tcPr>
                <w:p>
                  <w:pPr>
                    <w:spacing w:line="240" w:lineRule="auto"/>
                    <w:ind w:firstLine="0" w:firstLineChars="0"/>
                    <w:jc w:val="center"/>
                    <w:rPr>
                      <w:sz w:val="21"/>
                      <w:szCs w:val="21"/>
                    </w:rPr>
                  </w:pPr>
                  <w:r>
                    <w:rPr>
                      <w:rFonts w:hint="eastAsia"/>
                      <w:sz w:val="21"/>
                      <w:szCs w:val="21"/>
                    </w:rPr>
                    <w:t>41</w:t>
                  </w:r>
                </w:p>
              </w:tc>
              <w:tc>
                <w:tcPr>
                  <w:tcW w:w="662" w:type="dxa"/>
                  <w:vAlign w:val="center"/>
                </w:tcPr>
                <w:p>
                  <w:pPr>
                    <w:spacing w:line="240" w:lineRule="auto"/>
                    <w:ind w:firstLine="0" w:firstLineChars="0"/>
                    <w:jc w:val="center"/>
                    <w:rPr>
                      <w:sz w:val="21"/>
                      <w:szCs w:val="21"/>
                    </w:rPr>
                  </w:pPr>
                  <w:r>
                    <w:rPr>
                      <w:rFonts w:hint="eastAsia"/>
                      <w:sz w:val="21"/>
                      <w:szCs w:val="21"/>
                    </w:rPr>
                    <w:t>38</w:t>
                  </w:r>
                </w:p>
              </w:tc>
              <w:tc>
                <w:tcPr>
                  <w:tcW w:w="556" w:type="dxa"/>
                  <w:vAlign w:val="center"/>
                </w:tcPr>
                <w:p>
                  <w:pPr>
                    <w:spacing w:line="240" w:lineRule="auto"/>
                    <w:ind w:firstLine="0" w:firstLineChars="0"/>
                    <w:jc w:val="center"/>
                    <w:rPr>
                      <w:sz w:val="21"/>
                      <w:szCs w:val="21"/>
                    </w:rPr>
                  </w:pPr>
                  <w:r>
                    <w:rPr>
                      <w:rFonts w:hint="eastAsia"/>
                      <w:sz w:val="21"/>
                      <w:szCs w:val="21"/>
                    </w:rPr>
                    <w:t>35</w:t>
                  </w:r>
                </w:p>
              </w:tc>
              <w:tc>
                <w:tcPr>
                  <w:tcW w:w="689" w:type="dxa"/>
                  <w:vAlign w:val="center"/>
                </w:tcPr>
                <w:p>
                  <w:pPr>
                    <w:spacing w:line="240" w:lineRule="auto"/>
                    <w:ind w:firstLine="0" w:firstLineChars="0"/>
                    <w:jc w:val="center"/>
                    <w:rPr>
                      <w:sz w:val="21"/>
                      <w:szCs w:val="21"/>
                    </w:rPr>
                  </w:pPr>
                  <w:r>
                    <w:rPr>
                      <w:rFonts w:hint="eastAsia"/>
                      <w:sz w:val="21"/>
                      <w:szCs w:val="21"/>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rPr>
                      <w:sz w:val="21"/>
                      <w:szCs w:val="21"/>
                    </w:rPr>
                  </w:pPr>
                </w:p>
              </w:tc>
              <w:tc>
                <w:tcPr>
                  <w:tcW w:w="2533" w:type="dxa"/>
                  <w:gridSpan w:val="2"/>
                  <w:vAlign w:val="center"/>
                </w:tcPr>
                <w:p>
                  <w:pPr>
                    <w:spacing w:line="240" w:lineRule="auto"/>
                    <w:ind w:firstLine="0" w:firstLineChars="0"/>
                    <w:jc w:val="center"/>
                    <w:rPr>
                      <w:sz w:val="21"/>
                      <w:szCs w:val="21"/>
                    </w:rPr>
                  </w:pPr>
                  <w:r>
                    <w:rPr>
                      <w:rFonts w:hint="eastAsia"/>
                      <w:sz w:val="21"/>
                      <w:szCs w:val="21"/>
                    </w:rPr>
                    <w:t>该工段机械噪声贡献值</w:t>
                  </w:r>
                </w:p>
              </w:tc>
              <w:tc>
                <w:tcPr>
                  <w:tcW w:w="641" w:type="dxa"/>
                  <w:vAlign w:val="center"/>
                </w:tcPr>
                <w:p>
                  <w:pPr>
                    <w:spacing w:line="240" w:lineRule="auto"/>
                    <w:ind w:firstLine="0" w:firstLineChars="0"/>
                    <w:jc w:val="center"/>
                    <w:rPr>
                      <w:sz w:val="21"/>
                      <w:szCs w:val="21"/>
                    </w:rPr>
                  </w:pPr>
                  <w:r>
                    <w:rPr>
                      <w:rFonts w:hint="eastAsia"/>
                      <w:sz w:val="21"/>
                      <w:szCs w:val="21"/>
                    </w:rPr>
                    <w:t>60</w:t>
                  </w:r>
                </w:p>
              </w:tc>
              <w:tc>
                <w:tcPr>
                  <w:tcW w:w="554" w:type="dxa"/>
                  <w:vAlign w:val="center"/>
                </w:tcPr>
                <w:p>
                  <w:pPr>
                    <w:spacing w:line="240" w:lineRule="auto"/>
                    <w:ind w:firstLine="0" w:firstLineChars="0"/>
                    <w:jc w:val="center"/>
                    <w:rPr>
                      <w:sz w:val="21"/>
                      <w:szCs w:val="21"/>
                    </w:rPr>
                  </w:pPr>
                  <w:r>
                    <w:rPr>
                      <w:rFonts w:hint="eastAsia"/>
                      <w:sz w:val="21"/>
                      <w:szCs w:val="21"/>
                    </w:rPr>
                    <w:t>56</w:t>
                  </w:r>
                </w:p>
              </w:tc>
              <w:tc>
                <w:tcPr>
                  <w:tcW w:w="694" w:type="dxa"/>
                  <w:vAlign w:val="center"/>
                </w:tcPr>
                <w:p>
                  <w:pPr>
                    <w:spacing w:line="240" w:lineRule="auto"/>
                    <w:ind w:firstLine="0" w:firstLineChars="0"/>
                    <w:jc w:val="center"/>
                    <w:rPr>
                      <w:sz w:val="21"/>
                      <w:szCs w:val="21"/>
                    </w:rPr>
                  </w:pPr>
                  <w:r>
                    <w:rPr>
                      <w:rFonts w:hint="eastAsia"/>
                      <w:sz w:val="21"/>
                      <w:szCs w:val="21"/>
                    </w:rPr>
                    <w:t>50</w:t>
                  </w:r>
                </w:p>
              </w:tc>
              <w:tc>
                <w:tcPr>
                  <w:tcW w:w="592" w:type="dxa"/>
                  <w:vAlign w:val="center"/>
                </w:tcPr>
                <w:p>
                  <w:pPr>
                    <w:spacing w:line="240" w:lineRule="auto"/>
                    <w:ind w:firstLine="0" w:firstLineChars="0"/>
                    <w:jc w:val="center"/>
                    <w:rPr>
                      <w:sz w:val="21"/>
                      <w:szCs w:val="21"/>
                    </w:rPr>
                  </w:pPr>
                  <w:r>
                    <w:rPr>
                      <w:rFonts w:hint="eastAsia"/>
                      <w:sz w:val="21"/>
                      <w:szCs w:val="21"/>
                    </w:rPr>
                    <w:t>46</w:t>
                  </w:r>
                </w:p>
              </w:tc>
              <w:tc>
                <w:tcPr>
                  <w:tcW w:w="662" w:type="dxa"/>
                  <w:vAlign w:val="center"/>
                </w:tcPr>
                <w:p>
                  <w:pPr>
                    <w:spacing w:line="240" w:lineRule="auto"/>
                    <w:ind w:firstLine="0" w:firstLineChars="0"/>
                    <w:jc w:val="center"/>
                    <w:rPr>
                      <w:sz w:val="21"/>
                      <w:szCs w:val="21"/>
                    </w:rPr>
                  </w:pPr>
                  <w:r>
                    <w:rPr>
                      <w:rFonts w:hint="eastAsia"/>
                      <w:sz w:val="21"/>
                      <w:szCs w:val="21"/>
                    </w:rPr>
                    <w:t>43</w:t>
                  </w:r>
                </w:p>
              </w:tc>
              <w:tc>
                <w:tcPr>
                  <w:tcW w:w="556" w:type="dxa"/>
                  <w:vAlign w:val="center"/>
                </w:tcPr>
                <w:p>
                  <w:pPr>
                    <w:spacing w:line="240" w:lineRule="auto"/>
                    <w:ind w:firstLine="0" w:firstLineChars="0"/>
                    <w:jc w:val="center"/>
                    <w:rPr>
                      <w:sz w:val="21"/>
                      <w:szCs w:val="21"/>
                    </w:rPr>
                  </w:pPr>
                  <w:r>
                    <w:rPr>
                      <w:rFonts w:hint="eastAsia"/>
                      <w:sz w:val="21"/>
                      <w:szCs w:val="21"/>
                    </w:rPr>
                    <w:t>40</w:t>
                  </w:r>
                </w:p>
              </w:tc>
              <w:tc>
                <w:tcPr>
                  <w:tcW w:w="689" w:type="dxa"/>
                  <w:vAlign w:val="center"/>
                </w:tcPr>
                <w:p>
                  <w:pPr>
                    <w:spacing w:line="240" w:lineRule="auto"/>
                    <w:ind w:firstLine="0" w:firstLineChars="0"/>
                    <w:jc w:val="center"/>
                    <w:rPr>
                      <w:sz w:val="21"/>
                      <w:szCs w:val="21"/>
                    </w:rPr>
                  </w:pPr>
                  <w:r>
                    <w:rPr>
                      <w:rFonts w:hint="eastAsia"/>
                      <w:sz w:val="21"/>
                      <w:szCs w:val="21"/>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restart"/>
                  <w:vAlign w:val="center"/>
                </w:tcPr>
                <w:p>
                  <w:pPr>
                    <w:spacing w:line="240" w:lineRule="auto"/>
                    <w:ind w:firstLine="0" w:firstLineChars="0"/>
                    <w:jc w:val="center"/>
                    <w:rPr>
                      <w:sz w:val="21"/>
                      <w:szCs w:val="21"/>
                    </w:rPr>
                  </w:pPr>
                  <w:r>
                    <w:rPr>
                      <w:rFonts w:hint="eastAsia"/>
                      <w:sz w:val="21"/>
                      <w:szCs w:val="21"/>
                    </w:rPr>
                    <w:t>结构阶段</w:t>
                  </w:r>
                </w:p>
              </w:tc>
              <w:tc>
                <w:tcPr>
                  <w:tcW w:w="1429" w:type="dxa"/>
                  <w:vAlign w:val="center"/>
                </w:tcPr>
                <w:p>
                  <w:pPr>
                    <w:spacing w:line="240" w:lineRule="auto"/>
                    <w:ind w:firstLine="0" w:firstLineChars="0"/>
                    <w:jc w:val="center"/>
                    <w:rPr>
                      <w:sz w:val="21"/>
                      <w:szCs w:val="21"/>
                    </w:rPr>
                  </w:pPr>
                  <w:r>
                    <w:rPr>
                      <w:rFonts w:hint="eastAsia"/>
                      <w:sz w:val="21"/>
                      <w:szCs w:val="21"/>
                    </w:rPr>
                    <w:t>振捣器</w:t>
                  </w:r>
                </w:p>
              </w:tc>
              <w:tc>
                <w:tcPr>
                  <w:tcW w:w="1104" w:type="dxa"/>
                  <w:vAlign w:val="center"/>
                </w:tcPr>
                <w:p>
                  <w:pPr>
                    <w:spacing w:line="240" w:lineRule="auto"/>
                    <w:ind w:firstLine="0" w:firstLineChars="0"/>
                    <w:jc w:val="center"/>
                    <w:rPr>
                      <w:sz w:val="21"/>
                      <w:szCs w:val="21"/>
                    </w:rPr>
                  </w:pPr>
                  <w:r>
                    <w:rPr>
                      <w:rFonts w:hint="eastAsia"/>
                      <w:sz w:val="21"/>
                      <w:szCs w:val="21"/>
                    </w:rPr>
                    <w:t>85</w:t>
                  </w:r>
                </w:p>
              </w:tc>
              <w:tc>
                <w:tcPr>
                  <w:tcW w:w="641" w:type="dxa"/>
                  <w:vAlign w:val="center"/>
                </w:tcPr>
                <w:p>
                  <w:pPr>
                    <w:spacing w:line="240" w:lineRule="auto"/>
                    <w:ind w:firstLine="0" w:firstLineChars="0"/>
                    <w:jc w:val="center"/>
                    <w:rPr>
                      <w:sz w:val="21"/>
                      <w:szCs w:val="21"/>
                    </w:rPr>
                  </w:pPr>
                  <w:r>
                    <w:rPr>
                      <w:rFonts w:hint="eastAsia"/>
                      <w:sz w:val="21"/>
                      <w:szCs w:val="21"/>
                    </w:rPr>
                    <w:t>65</w:t>
                  </w:r>
                </w:p>
              </w:tc>
              <w:tc>
                <w:tcPr>
                  <w:tcW w:w="554" w:type="dxa"/>
                  <w:vAlign w:val="center"/>
                </w:tcPr>
                <w:p>
                  <w:pPr>
                    <w:spacing w:line="240" w:lineRule="auto"/>
                    <w:ind w:firstLine="0" w:firstLineChars="0"/>
                    <w:rPr>
                      <w:sz w:val="21"/>
                      <w:szCs w:val="21"/>
                    </w:rPr>
                  </w:pPr>
                  <w:r>
                    <w:rPr>
                      <w:rFonts w:hint="eastAsia"/>
                      <w:sz w:val="21"/>
                      <w:szCs w:val="21"/>
                    </w:rPr>
                    <w:t>61</w:t>
                  </w:r>
                </w:p>
              </w:tc>
              <w:tc>
                <w:tcPr>
                  <w:tcW w:w="694" w:type="dxa"/>
                  <w:vAlign w:val="center"/>
                </w:tcPr>
                <w:p>
                  <w:pPr>
                    <w:spacing w:line="240" w:lineRule="auto"/>
                    <w:ind w:firstLine="0" w:firstLineChars="0"/>
                    <w:jc w:val="center"/>
                    <w:rPr>
                      <w:sz w:val="21"/>
                      <w:szCs w:val="21"/>
                    </w:rPr>
                  </w:pPr>
                  <w:r>
                    <w:rPr>
                      <w:rFonts w:hint="eastAsia"/>
                      <w:sz w:val="21"/>
                      <w:szCs w:val="21"/>
                    </w:rPr>
                    <w:t>55</w:t>
                  </w:r>
                </w:p>
              </w:tc>
              <w:tc>
                <w:tcPr>
                  <w:tcW w:w="592" w:type="dxa"/>
                  <w:vAlign w:val="center"/>
                </w:tcPr>
                <w:p>
                  <w:pPr>
                    <w:spacing w:line="240" w:lineRule="auto"/>
                    <w:ind w:firstLine="0" w:firstLineChars="0"/>
                    <w:jc w:val="center"/>
                    <w:rPr>
                      <w:sz w:val="21"/>
                      <w:szCs w:val="21"/>
                    </w:rPr>
                  </w:pPr>
                  <w:r>
                    <w:rPr>
                      <w:rFonts w:hint="eastAsia"/>
                      <w:sz w:val="21"/>
                      <w:szCs w:val="21"/>
                    </w:rPr>
                    <w:t>51</w:t>
                  </w:r>
                </w:p>
              </w:tc>
              <w:tc>
                <w:tcPr>
                  <w:tcW w:w="662" w:type="dxa"/>
                  <w:vAlign w:val="center"/>
                </w:tcPr>
                <w:p>
                  <w:pPr>
                    <w:spacing w:line="240" w:lineRule="auto"/>
                    <w:ind w:firstLine="0" w:firstLineChars="0"/>
                    <w:jc w:val="center"/>
                    <w:rPr>
                      <w:sz w:val="21"/>
                      <w:szCs w:val="21"/>
                    </w:rPr>
                  </w:pPr>
                  <w:r>
                    <w:rPr>
                      <w:rFonts w:hint="eastAsia"/>
                      <w:sz w:val="21"/>
                      <w:szCs w:val="21"/>
                    </w:rPr>
                    <w:t>48</w:t>
                  </w:r>
                </w:p>
              </w:tc>
              <w:tc>
                <w:tcPr>
                  <w:tcW w:w="556" w:type="dxa"/>
                  <w:vAlign w:val="center"/>
                </w:tcPr>
                <w:p>
                  <w:pPr>
                    <w:spacing w:line="240" w:lineRule="auto"/>
                    <w:ind w:firstLine="0" w:firstLineChars="0"/>
                    <w:jc w:val="center"/>
                    <w:rPr>
                      <w:sz w:val="21"/>
                      <w:szCs w:val="21"/>
                    </w:rPr>
                  </w:pPr>
                  <w:r>
                    <w:rPr>
                      <w:rFonts w:hint="eastAsia"/>
                      <w:sz w:val="21"/>
                      <w:szCs w:val="21"/>
                    </w:rPr>
                    <w:t>45</w:t>
                  </w:r>
                </w:p>
              </w:tc>
              <w:tc>
                <w:tcPr>
                  <w:tcW w:w="689" w:type="dxa"/>
                  <w:vAlign w:val="center"/>
                </w:tcPr>
                <w:p>
                  <w:pPr>
                    <w:spacing w:line="240" w:lineRule="auto"/>
                    <w:ind w:firstLine="0" w:firstLineChars="0"/>
                    <w:jc w:val="center"/>
                    <w:rPr>
                      <w:sz w:val="21"/>
                      <w:szCs w:val="21"/>
                    </w:rPr>
                  </w:pPr>
                  <w:r>
                    <w:rPr>
                      <w:rFonts w:hint="eastAsia"/>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jc w:val="center"/>
                    <w:rPr>
                      <w:sz w:val="21"/>
                      <w:szCs w:val="21"/>
                    </w:rPr>
                  </w:pPr>
                </w:p>
              </w:tc>
              <w:tc>
                <w:tcPr>
                  <w:tcW w:w="1429" w:type="dxa"/>
                  <w:vAlign w:val="center"/>
                </w:tcPr>
                <w:p>
                  <w:pPr>
                    <w:spacing w:line="240" w:lineRule="auto"/>
                    <w:ind w:firstLine="0" w:firstLineChars="0"/>
                    <w:jc w:val="center"/>
                    <w:rPr>
                      <w:sz w:val="21"/>
                      <w:szCs w:val="21"/>
                    </w:rPr>
                  </w:pPr>
                  <w:r>
                    <w:rPr>
                      <w:rFonts w:hint="eastAsia"/>
                      <w:sz w:val="21"/>
                      <w:szCs w:val="21"/>
                    </w:rPr>
                    <w:t>电锯</w:t>
                  </w:r>
                </w:p>
              </w:tc>
              <w:tc>
                <w:tcPr>
                  <w:tcW w:w="1104" w:type="dxa"/>
                  <w:vAlign w:val="center"/>
                </w:tcPr>
                <w:p>
                  <w:pPr>
                    <w:spacing w:line="240" w:lineRule="auto"/>
                    <w:ind w:firstLine="0" w:firstLineChars="0"/>
                    <w:jc w:val="center"/>
                    <w:rPr>
                      <w:sz w:val="21"/>
                      <w:szCs w:val="21"/>
                    </w:rPr>
                  </w:pPr>
                  <w:r>
                    <w:rPr>
                      <w:rFonts w:hint="eastAsia"/>
                      <w:sz w:val="21"/>
                      <w:szCs w:val="21"/>
                    </w:rPr>
                    <w:t>90</w:t>
                  </w:r>
                </w:p>
              </w:tc>
              <w:tc>
                <w:tcPr>
                  <w:tcW w:w="641" w:type="dxa"/>
                  <w:vAlign w:val="center"/>
                </w:tcPr>
                <w:p>
                  <w:pPr>
                    <w:spacing w:line="240" w:lineRule="auto"/>
                    <w:ind w:firstLine="0" w:firstLineChars="0"/>
                    <w:jc w:val="center"/>
                    <w:rPr>
                      <w:sz w:val="21"/>
                      <w:szCs w:val="21"/>
                    </w:rPr>
                  </w:pPr>
                  <w:r>
                    <w:rPr>
                      <w:rFonts w:hint="eastAsia"/>
                      <w:sz w:val="21"/>
                      <w:szCs w:val="21"/>
                    </w:rPr>
                    <w:t>70</w:t>
                  </w:r>
                </w:p>
              </w:tc>
              <w:tc>
                <w:tcPr>
                  <w:tcW w:w="554" w:type="dxa"/>
                  <w:vAlign w:val="center"/>
                </w:tcPr>
                <w:p>
                  <w:pPr>
                    <w:spacing w:line="240" w:lineRule="auto"/>
                    <w:ind w:firstLine="0" w:firstLineChars="0"/>
                    <w:rPr>
                      <w:sz w:val="21"/>
                      <w:szCs w:val="21"/>
                    </w:rPr>
                  </w:pPr>
                  <w:r>
                    <w:rPr>
                      <w:rFonts w:hint="eastAsia"/>
                      <w:sz w:val="21"/>
                      <w:szCs w:val="21"/>
                    </w:rPr>
                    <w:t>66</w:t>
                  </w:r>
                </w:p>
              </w:tc>
              <w:tc>
                <w:tcPr>
                  <w:tcW w:w="694" w:type="dxa"/>
                  <w:vAlign w:val="center"/>
                </w:tcPr>
                <w:p>
                  <w:pPr>
                    <w:spacing w:line="240" w:lineRule="auto"/>
                    <w:ind w:firstLine="0" w:firstLineChars="0"/>
                    <w:jc w:val="center"/>
                    <w:rPr>
                      <w:sz w:val="21"/>
                      <w:szCs w:val="21"/>
                    </w:rPr>
                  </w:pPr>
                  <w:r>
                    <w:rPr>
                      <w:rFonts w:hint="eastAsia"/>
                      <w:sz w:val="21"/>
                      <w:szCs w:val="21"/>
                    </w:rPr>
                    <w:t>60</w:t>
                  </w:r>
                </w:p>
              </w:tc>
              <w:tc>
                <w:tcPr>
                  <w:tcW w:w="592" w:type="dxa"/>
                  <w:vAlign w:val="center"/>
                </w:tcPr>
                <w:p>
                  <w:pPr>
                    <w:spacing w:line="240" w:lineRule="auto"/>
                    <w:ind w:firstLine="0" w:firstLineChars="0"/>
                    <w:jc w:val="center"/>
                    <w:rPr>
                      <w:sz w:val="21"/>
                      <w:szCs w:val="21"/>
                    </w:rPr>
                  </w:pPr>
                  <w:r>
                    <w:rPr>
                      <w:rFonts w:hint="eastAsia"/>
                      <w:sz w:val="21"/>
                      <w:szCs w:val="21"/>
                    </w:rPr>
                    <w:t>56</w:t>
                  </w:r>
                </w:p>
              </w:tc>
              <w:tc>
                <w:tcPr>
                  <w:tcW w:w="662" w:type="dxa"/>
                  <w:vAlign w:val="center"/>
                </w:tcPr>
                <w:p>
                  <w:pPr>
                    <w:spacing w:line="240" w:lineRule="auto"/>
                    <w:ind w:firstLine="0" w:firstLineChars="0"/>
                    <w:jc w:val="center"/>
                    <w:rPr>
                      <w:sz w:val="21"/>
                      <w:szCs w:val="21"/>
                    </w:rPr>
                  </w:pPr>
                  <w:r>
                    <w:rPr>
                      <w:rFonts w:hint="eastAsia"/>
                      <w:sz w:val="21"/>
                      <w:szCs w:val="21"/>
                    </w:rPr>
                    <w:t>53</w:t>
                  </w:r>
                </w:p>
              </w:tc>
              <w:tc>
                <w:tcPr>
                  <w:tcW w:w="556" w:type="dxa"/>
                  <w:vAlign w:val="center"/>
                </w:tcPr>
                <w:p>
                  <w:pPr>
                    <w:spacing w:line="240" w:lineRule="auto"/>
                    <w:ind w:firstLine="0" w:firstLineChars="0"/>
                    <w:jc w:val="center"/>
                    <w:rPr>
                      <w:sz w:val="21"/>
                      <w:szCs w:val="21"/>
                    </w:rPr>
                  </w:pPr>
                  <w:r>
                    <w:rPr>
                      <w:rFonts w:hint="eastAsia"/>
                      <w:sz w:val="21"/>
                      <w:szCs w:val="21"/>
                    </w:rPr>
                    <w:t>50</w:t>
                  </w:r>
                </w:p>
              </w:tc>
              <w:tc>
                <w:tcPr>
                  <w:tcW w:w="689" w:type="dxa"/>
                  <w:vAlign w:val="center"/>
                </w:tcPr>
                <w:p>
                  <w:pPr>
                    <w:spacing w:line="240" w:lineRule="auto"/>
                    <w:ind w:firstLine="0" w:firstLineChars="0"/>
                    <w:jc w:val="center"/>
                    <w:rPr>
                      <w:sz w:val="21"/>
                      <w:szCs w:val="21"/>
                    </w:rPr>
                  </w:pPr>
                  <w:r>
                    <w:rPr>
                      <w:rFonts w:hint="eastAsia"/>
                      <w:sz w:val="21"/>
                      <w:szCs w:val="21"/>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jc w:val="center"/>
                    <w:rPr>
                      <w:sz w:val="21"/>
                      <w:szCs w:val="21"/>
                    </w:rPr>
                  </w:pPr>
                </w:p>
              </w:tc>
              <w:tc>
                <w:tcPr>
                  <w:tcW w:w="1429" w:type="dxa"/>
                  <w:vAlign w:val="center"/>
                </w:tcPr>
                <w:p>
                  <w:pPr>
                    <w:spacing w:line="240" w:lineRule="auto"/>
                    <w:ind w:firstLine="0" w:firstLineChars="0"/>
                    <w:jc w:val="center"/>
                    <w:rPr>
                      <w:sz w:val="21"/>
                      <w:szCs w:val="21"/>
                    </w:rPr>
                  </w:pPr>
                  <w:r>
                    <w:rPr>
                      <w:rFonts w:hint="eastAsia"/>
                      <w:sz w:val="21"/>
                      <w:szCs w:val="21"/>
                    </w:rPr>
                    <w:t>电焊机</w:t>
                  </w:r>
                </w:p>
              </w:tc>
              <w:tc>
                <w:tcPr>
                  <w:tcW w:w="1104" w:type="dxa"/>
                  <w:vAlign w:val="center"/>
                </w:tcPr>
                <w:p>
                  <w:pPr>
                    <w:spacing w:line="240" w:lineRule="auto"/>
                    <w:ind w:firstLine="0" w:firstLineChars="0"/>
                    <w:jc w:val="center"/>
                    <w:rPr>
                      <w:sz w:val="21"/>
                      <w:szCs w:val="21"/>
                    </w:rPr>
                  </w:pPr>
                  <w:r>
                    <w:rPr>
                      <w:rFonts w:hint="eastAsia"/>
                      <w:sz w:val="21"/>
                      <w:szCs w:val="21"/>
                    </w:rPr>
                    <w:t>90</w:t>
                  </w:r>
                </w:p>
              </w:tc>
              <w:tc>
                <w:tcPr>
                  <w:tcW w:w="641" w:type="dxa"/>
                  <w:vAlign w:val="center"/>
                </w:tcPr>
                <w:p>
                  <w:pPr>
                    <w:spacing w:line="240" w:lineRule="auto"/>
                    <w:ind w:firstLine="0" w:firstLineChars="0"/>
                    <w:jc w:val="center"/>
                    <w:rPr>
                      <w:sz w:val="21"/>
                      <w:szCs w:val="21"/>
                    </w:rPr>
                  </w:pPr>
                  <w:r>
                    <w:rPr>
                      <w:rFonts w:hint="eastAsia"/>
                      <w:sz w:val="21"/>
                      <w:szCs w:val="21"/>
                    </w:rPr>
                    <w:t>70</w:t>
                  </w:r>
                </w:p>
              </w:tc>
              <w:tc>
                <w:tcPr>
                  <w:tcW w:w="554" w:type="dxa"/>
                  <w:vAlign w:val="center"/>
                </w:tcPr>
                <w:p>
                  <w:pPr>
                    <w:spacing w:line="240" w:lineRule="auto"/>
                    <w:ind w:firstLine="0" w:firstLineChars="0"/>
                    <w:rPr>
                      <w:sz w:val="21"/>
                      <w:szCs w:val="21"/>
                    </w:rPr>
                  </w:pPr>
                  <w:r>
                    <w:rPr>
                      <w:rFonts w:hint="eastAsia"/>
                      <w:sz w:val="21"/>
                      <w:szCs w:val="21"/>
                    </w:rPr>
                    <w:t>66</w:t>
                  </w:r>
                </w:p>
              </w:tc>
              <w:tc>
                <w:tcPr>
                  <w:tcW w:w="694" w:type="dxa"/>
                  <w:vAlign w:val="center"/>
                </w:tcPr>
                <w:p>
                  <w:pPr>
                    <w:spacing w:line="240" w:lineRule="auto"/>
                    <w:ind w:firstLine="0" w:firstLineChars="0"/>
                    <w:jc w:val="center"/>
                    <w:rPr>
                      <w:sz w:val="21"/>
                      <w:szCs w:val="21"/>
                    </w:rPr>
                  </w:pPr>
                  <w:r>
                    <w:rPr>
                      <w:rFonts w:hint="eastAsia"/>
                      <w:sz w:val="21"/>
                      <w:szCs w:val="21"/>
                    </w:rPr>
                    <w:t>60</w:t>
                  </w:r>
                </w:p>
              </w:tc>
              <w:tc>
                <w:tcPr>
                  <w:tcW w:w="592" w:type="dxa"/>
                  <w:vAlign w:val="center"/>
                </w:tcPr>
                <w:p>
                  <w:pPr>
                    <w:spacing w:line="240" w:lineRule="auto"/>
                    <w:ind w:firstLine="0" w:firstLineChars="0"/>
                    <w:jc w:val="center"/>
                    <w:rPr>
                      <w:sz w:val="21"/>
                      <w:szCs w:val="21"/>
                    </w:rPr>
                  </w:pPr>
                  <w:r>
                    <w:rPr>
                      <w:rFonts w:hint="eastAsia"/>
                      <w:sz w:val="21"/>
                      <w:szCs w:val="21"/>
                    </w:rPr>
                    <w:t>56</w:t>
                  </w:r>
                </w:p>
              </w:tc>
              <w:tc>
                <w:tcPr>
                  <w:tcW w:w="662" w:type="dxa"/>
                  <w:vAlign w:val="center"/>
                </w:tcPr>
                <w:p>
                  <w:pPr>
                    <w:spacing w:line="240" w:lineRule="auto"/>
                    <w:ind w:firstLine="0" w:firstLineChars="0"/>
                    <w:jc w:val="center"/>
                    <w:rPr>
                      <w:sz w:val="21"/>
                      <w:szCs w:val="21"/>
                    </w:rPr>
                  </w:pPr>
                  <w:r>
                    <w:rPr>
                      <w:rFonts w:hint="eastAsia"/>
                      <w:sz w:val="21"/>
                      <w:szCs w:val="21"/>
                    </w:rPr>
                    <w:t>53</w:t>
                  </w:r>
                </w:p>
              </w:tc>
              <w:tc>
                <w:tcPr>
                  <w:tcW w:w="556" w:type="dxa"/>
                  <w:vAlign w:val="center"/>
                </w:tcPr>
                <w:p>
                  <w:pPr>
                    <w:spacing w:line="240" w:lineRule="auto"/>
                    <w:ind w:firstLine="0" w:firstLineChars="0"/>
                    <w:jc w:val="center"/>
                    <w:rPr>
                      <w:sz w:val="21"/>
                      <w:szCs w:val="21"/>
                    </w:rPr>
                  </w:pPr>
                  <w:r>
                    <w:rPr>
                      <w:rFonts w:hint="eastAsia"/>
                      <w:sz w:val="21"/>
                      <w:szCs w:val="21"/>
                    </w:rPr>
                    <w:t>50</w:t>
                  </w:r>
                </w:p>
              </w:tc>
              <w:tc>
                <w:tcPr>
                  <w:tcW w:w="689" w:type="dxa"/>
                  <w:vAlign w:val="center"/>
                </w:tcPr>
                <w:p>
                  <w:pPr>
                    <w:spacing w:line="240" w:lineRule="auto"/>
                    <w:ind w:firstLine="0" w:firstLineChars="0"/>
                    <w:jc w:val="center"/>
                    <w:rPr>
                      <w:sz w:val="21"/>
                      <w:szCs w:val="21"/>
                    </w:rPr>
                  </w:pPr>
                  <w:r>
                    <w:rPr>
                      <w:rFonts w:hint="eastAsia"/>
                      <w:sz w:val="21"/>
                      <w:szCs w:val="21"/>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jc w:val="center"/>
                    <w:rPr>
                      <w:sz w:val="21"/>
                      <w:szCs w:val="21"/>
                    </w:rPr>
                  </w:pPr>
                </w:p>
              </w:tc>
              <w:tc>
                <w:tcPr>
                  <w:tcW w:w="2533" w:type="dxa"/>
                  <w:gridSpan w:val="2"/>
                  <w:vAlign w:val="center"/>
                </w:tcPr>
                <w:p>
                  <w:pPr>
                    <w:spacing w:line="240" w:lineRule="auto"/>
                    <w:ind w:firstLine="0" w:firstLineChars="0"/>
                    <w:jc w:val="center"/>
                    <w:rPr>
                      <w:sz w:val="21"/>
                      <w:szCs w:val="21"/>
                    </w:rPr>
                  </w:pPr>
                  <w:r>
                    <w:rPr>
                      <w:rFonts w:hint="eastAsia"/>
                      <w:sz w:val="21"/>
                      <w:szCs w:val="21"/>
                    </w:rPr>
                    <w:t>该工段机械噪声贡献值</w:t>
                  </w:r>
                </w:p>
              </w:tc>
              <w:tc>
                <w:tcPr>
                  <w:tcW w:w="641" w:type="dxa"/>
                  <w:vAlign w:val="center"/>
                </w:tcPr>
                <w:p>
                  <w:pPr>
                    <w:spacing w:line="240" w:lineRule="auto"/>
                    <w:ind w:firstLine="0" w:firstLineChars="0"/>
                    <w:jc w:val="center"/>
                    <w:rPr>
                      <w:sz w:val="21"/>
                      <w:szCs w:val="21"/>
                    </w:rPr>
                  </w:pPr>
                  <w:r>
                    <w:rPr>
                      <w:rFonts w:hint="eastAsia"/>
                      <w:sz w:val="21"/>
                      <w:szCs w:val="21"/>
                    </w:rPr>
                    <w:t>73</w:t>
                  </w:r>
                </w:p>
              </w:tc>
              <w:tc>
                <w:tcPr>
                  <w:tcW w:w="554" w:type="dxa"/>
                  <w:vAlign w:val="center"/>
                </w:tcPr>
                <w:p>
                  <w:pPr>
                    <w:spacing w:line="240" w:lineRule="auto"/>
                    <w:ind w:firstLine="0" w:firstLineChars="0"/>
                    <w:rPr>
                      <w:sz w:val="21"/>
                      <w:szCs w:val="21"/>
                    </w:rPr>
                  </w:pPr>
                  <w:r>
                    <w:rPr>
                      <w:rFonts w:hint="eastAsia"/>
                      <w:sz w:val="21"/>
                      <w:szCs w:val="21"/>
                    </w:rPr>
                    <w:t>69</w:t>
                  </w:r>
                </w:p>
              </w:tc>
              <w:tc>
                <w:tcPr>
                  <w:tcW w:w="694" w:type="dxa"/>
                  <w:vAlign w:val="center"/>
                </w:tcPr>
                <w:p>
                  <w:pPr>
                    <w:spacing w:line="240" w:lineRule="auto"/>
                    <w:ind w:firstLine="0" w:firstLineChars="0"/>
                    <w:jc w:val="center"/>
                    <w:rPr>
                      <w:sz w:val="21"/>
                      <w:szCs w:val="21"/>
                    </w:rPr>
                  </w:pPr>
                  <w:r>
                    <w:rPr>
                      <w:rFonts w:hint="eastAsia"/>
                      <w:sz w:val="21"/>
                      <w:szCs w:val="21"/>
                    </w:rPr>
                    <w:t>64</w:t>
                  </w:r>
                </w:p>
              </w:tc>
              <w:tc>
                <w:tcPr>
                  <w:tcW w:w="592" w:type="dxa"/>
                  <w:vAlign w:val="center"/>
                </w:tcPr>
                <w:p>
                  <w:pPr>
                    <w:spacing w:line="240" w:lineRule="auto"/>
                    <w:ind w:firstLine="0" w:firstLineChars="0"/>
                    <w:jc w:val="center"/>
                    <w:rPr>
                      <w:sz w:val="21"/>
                      <w:szCs w:val="21"/>
                    </w:rPr>
                  </w:pPr>
                  <w:r>
                    <w:rPr>
                      <w:rFonts w:hint="eastAsia"/>
                      <w:sz w:val="21"/>
                      <w:szCs w:val="21"/>
                    </w:rPr>
                    <w:t>60</w:t>
                  </w:r>
                </w:p>
              </w:tc>
              <w:tc>
                <w:tcPr>
                  <w:tcW w:w="662" w:type="dxa"/>
                  <w:vAlign w:val="center"/>
                </w:tcPr>
                <w:p>
                  <w:pPr>
                    <w:spacing w:line="240" w:lineRule="auto"/>
                    <w:ind w:firstLine="0" w:firstLineChars="0"/>
                    <w:jc w:val="center"/>
                    <w:rPr>
                      <w:sz w:val="21"/>
                      <w:szCs w:val="21"/>
                    </w:rPr>
                  </w:pPr>
                  <w:r>
                    <w:rPr>
                      <w:rFonts w:hint="eastAsia"/>
                      <w:sz w:val="21"/>
                      <w:szCs w:val="21"/>
                    </w:rPr>
                    <w:t>57</w:t>
                  </w:r>
                </w:p>
              </w:tc>
              <w:tc>
                <w:tcPr>
                  <w:tcW w:w="556" w:type="dxa"/>
                  <w:vAlign w:val="center"/>
                </w:tcPr>
                <w:p>
                  <w:pPr>
                    <w:spacing w:line="240" w:lineRule="auto"/>
                    <w:ind w:firstLine="0" w:firstLineChars="0"/>
                    <w:jc w:val="center"/>
                    <w:rPr>
                      <w:sz w:val="21"/>
                      <w:szCs w:val="21"/>
                    </w:rPr>
                  </w:pPr>
                  <w:r>
                    <w:rPr>
                      <w:rFonts w:hint="eastAsia"/>
                      <w:sz w:val="21"/>
                      <w:szCs w:val="21"/>
                    </w:rPr>
                    <w:t>54</w:t>
                  </w:r>
                </w:p>
              </w:tc>
              <w:tc>
                <w:tcPr>
                  <w:tcW w:w="689" w:type="dxa"/>
                  <w:vAlign w:val="center"/>
                </w:tcPr>
                <w:p>
                  <w:pPr>
                    <w:spacing w:line="240" w:lineRule="auto"/>
                    <w:ind w:firstLine="0" w:firstLineChars="0"/>
                    <w:jc w:val="center"/>
                    <w:rPr>
                      <w:sz w:val="21"/>
                      <w:szCs w:val="21"/>
                    </w:rPr>
                  </w:pPr>
                  <w:r>
                    <w:rPr>
                      <w:rFonts w:hint="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restart"/>
                  <w:vAlign w:val="center"/>
                </w:tcPr>
                <w:p>
                  <w:pPr>
                    <w:spacing w:line="240" w:lineRule="auto"/>
                    <w:ind w:firstLine="0" w:firstLineChars="0"/>
                    <w:jc w:val="center"/>
                    <w:rPr>
                      <w:sz w:val="21"/>
                      <w:szCs w:val="21"/>
                    </w:rPr>
                  </w:pPr>
                  <w:r>
                    <w:rPr>
                      <w:rFonts w:hint="eastAsia"/>
                      <w:sz w:val="21"/>
                      <w:szCs w:val="21"/>
                    </w:rPr>
                    <w:t>装修阶段</w:t>
                  </w:r>
                </w:p>
              </w:tc>
              <w:tc>
                <w:tcPr>
                  <w:tcW w:w="1429" w:type="dxa"/>
                  <w:vAlign w:val="center"/>
                </w:tcPr>
                <w:p>
                  <w:pPr>
                    <w:spacing w:line="240" w:lineRule="auto"/>
                    <w:ind w:firstLine="0" w:firstLineChars="0"/>
                    <w:jc w:val="center"/>
                    <w:rPr>
                      <w:sz w:val="21"/>
                      <w:szCs w:val="21"/>
                    </w:rPr>
                  </w:pPr>
                  <w:r>
                    <w:rPr>
                      <w:rFonts w:hint="eastAsia"/>
                      <w:sz w:val="21"/>
                      <w:szCs w:val="21"/>
                    </w:rPr>
                    <w:t>电钻</w:t>
                  </w:r>
                </w:p>
              </w:tc>
              <w:tc>
                <w:tcPr>
                  <w:tcW w:w="1104" w:type="dxa"/>
                  <w:vAlign w:val="center"/>
                </w:tcPr>
                <w:p>
                  <w:pPr>
                    <w:spacing w:line="240" w:lineRule="auto"/>
                    <w:ind w:firstLine="0" w:firstLineChars="0"/>
                    <w:jc w:val="center"/>
                    <w:rPr>
                      <w:sz w:val="21"/>
                      <w:szCs w:val="21"/>
                    </w:rPr>
                  </w:pPr>
                  <w:r>
                    <w:rPr>
                      <w:rFonts w:hint="eastAsia"/>
                      <w:sz w:val="21"/>
                      <w:szCs w:val="21"/>
                    </w:rPr>
                    <w:t>90</w:t>
                  </w:r>
                </w:p>
              </w:tc>
              <w:tc>
                <w:tcPr>
                  <w:tcW w:w="641" w:type="dxa"/>
                  <w:vAlign w:val="center"/>
                </w:tcPr>
                <w:p>
                  <w:pPr>
                    <w:spacing w:line="240" w:lineRule="auto"/>
                    <w:ind w:firstLine="0" w:firstLineChars="0"/>
                    <w:jc w:val="center"/>
                    <w:rPr>
                      <w:sz w:val="21"/>
                      <w:szCs w:val="21"/>
                    </w:rPr>
                  </w:pPr>
                  <w:r>
                    <w:rPr>
                      <w:rFonts w:hint="eastAsia"/>
                      <w:sz w:val="21"/>
                      <w:szCs w:val="21"/>
                    </w:rPr>
                    <w:t>70</w:t>
                  </w:r>
                </w:p>
              </w:tc>
              <w:tc>
                <w:tcPr>
                  <w:tcW w:w="554" w:type="dxa"/>
                  <w:vAlign w:val="center"/>
                </w:tcPr>
                <w:p>
                  <w:pPr>
                    <w:spacing w:line="240" w:lineRule="auto"/>
                    <w:ind w:firstLine="0" w:firstLineChars="0"/>
                    <w:rPr>
                      <w:sz w:val="21"/>
                      <w:szCs w:val="21"/>
                    </w:rPr>
                  </w:pPr>
                  <w:r>
                    <w:rPr>
                      <w:rFonts w:hint="eastAsia"/>
                      <w:sz w:val="21"/>
                      <w:szCs w:val="21"/>
                    </w:rPr>
                    <w:t>66</w:t>
                  </w:r>
                </w:p>
              </w:tc>
              <w:tc>
                <w:tcPr>
                  <w:tcW w:w="694" w:type="dxa"/>
                  <w:vAlign w:val="center"/>
                </w:tcPr>
                <w:p>
                  <w:pPr>
                    <w:spacing w:line="240" w:lineRule="auto"/>
                    <w:ind w:firstLine="0" w:firstLineChars="0"/>
                    <w:jc w:val="center"/>
                    <w:rPr>
                      <w:sz w:val="21"/>
                      <w:szCs w:val="21"/>
                    </w:rPr>
                  </w:pPr>
                  <w:r>
                    <w:rPr>
                      <w:rFonts w:hint="eastAsia"/>
                      <w:sz w:val="21"/>
                      <w:szCs w:val="21"/>
                    </w:rPr>
                    <w:t>60</w:t>
                  </w:r>
                </w:p>
              </w:tc>
              <w:tc>
                <w:tcPr>
                  <w:tcW w:w="592" w:type="dxa"/>
                  <w:vAlign w:val="center"/>
                </w:tcPr>
                <w:p>
                  <w:pPr>
                    <w:spacing w:line="240" w:lineRule="auto"/>
                    <w:ind w:firstLine="0" w:firstLineChars="0"/>
                    <w:jc w:val="center"/>
                    <w:rPr>
                      <w:sz w:val="21"/>
                      <w:szCs w:val="21"/>
                    </w:rPr>
                  </w:pPr>
                  <w:r>
                    <w:rPr>
                      <w:rFonts w:hint="eastAsia"/>
                      <w:sz w:val="21"/>
                      <w:szCs w:val="21"/>
                    </w:rPr>
                    <w:t>56</w:t>
                  </w:r>
                </w:p>
              </w:tc>
              <w:tc>
                <w:tcPr>
                  <w:tcW w:w="662" w:type="dxa"/>
                  <w:vAlign w:val="center"/>
                </w:tcPr>
                <w:p>
                  <w:pPr>
                    <w:spacing w:line="240" w:lineRule="auto"/>
                    <w:ind w:firstLine="0" w:firstLineChars="0"/>
                    <w:jc w:val="center"/>
                    <w:rPr>
                      <w:sz w:val="21"/>
                      <w:szCs w:val="21"/>
                    </w:rPr>
                  </w:pPr>
                  <w:r>
                    <w:rPr>
                      <w:rFonts w:hint="eastAsia"/>
                      <w:sz w:val="21"/>
                      <w:szCs w:val="21"/>
                    </w:rPr>
                    <w:t>53</w:t>
                  </w:r>
                </w:p>
              </w:tc>
              <w:tc>
                <w:tcPr>
                  <w:tcW w:w="556" w:type="dxa"/>
                  <w:vAlign w:val="center"/>
                </w:tcPr>
                <w:p>
                  <w:pPr>
                    <w:spacing w:line="240" w:lineRule="auto"/>
                    <w:ind w:firstLine="0" w:firstLineChars="0"/>
                    <w:jc w:val="center"/>
                    <w:rPr>
                      <w:sz w:val="21"/>
                      <w:szCs w:val="21"/>
                    </w:rPr>
                  </w:pPr>
                  <w:r>
                    <w:rPr>
                      <w:rFonts w:hint="eastAsia"/>
                      <w:sz w:val="21"/>
                      <w:szCs w:val="21"/>
                    </w:rPr>
                    <w:t>50</w:t>
                  </w:r>
                </w:p>
              </w:tc>
              <w:tc>
                <w:tcPr>
                  <w:tcW w:w="689" w:type="dxa"/>
                  <w:vAlign w:val="center"/>
                </w:tcPr>
                <w:p>
                  <w:pPr>
                    <w:spacing w:line="240" w:lineRule="auto"/>
                    <w:ind w:firstLine="0" w:firstLineChars="0"/>
                    <w:jc w:val="center"/>
                    <w:rPr>
                      <w:sz w:val="21"/>
                      <w:szCs w:val="21"/>
                    </w:rPr>
                  </w:pPr>
                  <w:r>
                    <w:rPr>
                      <w:rFonts w:hint="eastAsia"/>
                      <w:sz w:val="21"/>
                      <w:szCs w:val="21"/>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jc w:val="center"/>
                    <w:rPr>
                      <w:sz w:val="21"/>
                      <w:szCs w:val="21"/>
                    </w:rPr>
                  </w:pPr>
                </w:p>
              </w:tc>
              <w:tc>
                <w:tcPr>
                  <w:tcW w:w="1429" w:type="dxa"/>
                  <w:vAlign w:val="center"/>
                </w:tcPr>
                <w:p>
                  <w:pPr>
                    <w:spacing w:line="240" w:lineRule="auto"/>
                    <w:ind w:firstLine="0" w:firstLineChars="0"/>
                    <w:jc w:val="center"/>
                    <w:rPr>
                      <w:sz w:val="21"/>
                      <w:szCs w:val="21"/>
                    </w:rPr>
                  </w:pPr>
                  <w:r>
                    <w:rPr>
                      <w:rFonts w:hint="eastAsia"/>
                      <w:sz w:val="21"/>
                      <w:szCs w:val="21"/>
                    </w:rPr>
                    <w:t>无齿锯</w:t>
                  </w:r>
                </w:p>
              </w:tc>
              <w:tc>
                <w:tcPr>
                  <w:tcW w:w="1104" w:type="dxa"/>
                  <w:vAlign w:val="center"/>
                </w:tcPr>
                <w:p>
                  <w:pPr>
                    <w:spacing w:line="240" w:lineRule="auto"/>
                    <w:ind w:firstLine="0" w:firstLineChars="0"/>
                    <w:jc w:val="center"/>
                    <w:rPr>
                      <w:sz w:val="21"/>
                      <w:szCs w:val="21"/>
                    </w:rPr>
                  </w:pPr>
                  <w:r>
                    <w:rPr>
                      <w:rFonts w:hint="eastAsia"/>
                      <w:sz w:val="21"/>
                      <w:szCs w:val="21"/>
                    </w:rPr>
                    <w:t>80</w:t>
                  </w:r>
                </w:p>
              </w:tc>
              <w:tc>
                <w:tcPr>
                  <w:tcW w:w="641" w:type="dxa"/>
                  <w:vAlign w:val="center"/>
                </w:tcPr>
                <w:p>
                  <w:pPr>
                    <w:spacing w:line="240" w:lineRule="auto"/>
                    <w:ind w:firstLine="0" w:firstLineChars="0"/>
                    <w:jc w:val="center"/>
                    <w:rPr>
                      <w:sz w:val="21"/>
                      <w:szCs w:val="21"/>
                    </w:rPr>
                  </w:pPr>
                  <w:r>
                    <w:rPr>
                      <w:rFonts w:hint="eastAsia"/>
                      <w:sz w:val="21"/>
                      <w:szCs w:val="21"/>
                    </w:rPr>
                    <w:t>60</w:t>
                  </w:r>
                </w:p>
              </w:tc>
              <w:tc>
                <w:tcPr>
                  <w:tcW w:w="554" w:type="dxa"/>
                  <w:vAlign w:val="center"/>
                </w:tcPr>
                <w:p>
                  <w:pPr>
                    <w:spacing w:line="240" w:lineRule="auto"/>
                    <w:ind w:firstLine="0" w:firstLineChars="0"/>
                    <w:rPr>
                      <w:sz w:val="21"/>
                      <w:szCs w:val="21"/>
                    </w:rPr>
                  </w:pPr>
                  <w:r>
                    <w:rPr>
                      <w:rFonts w:hint="eastAsia"/>
                      <w:sz w:val="21"/>
                      <w:szCs w:val="21"/>
                    </w:rPr>
                    <w:t>56</w:t>
                  </w:r>
                </w:p>
              </w:tc>
              <w:tc>
                <w:tcPr>
                  <w:tcW w:w="694" w:type="dxa"/>
                  <w:vAlign w:val="center"/>
                </w:tcPr>
                <w:p>
                  <w:pPr>
                    <w:spacing w:line="240" w:lineRule="auto"/>
                    <w:ind w:firstLine="0" w:firstLineChars="0"/>
                    <w:jc w:val="center"/>
                    <w:rPr>
                      <w:sz w:val="21"/>
                      <w:szCs w:val="21"/>
                    </w:rPr>
                  </w:pPr>
                  <w:r>
                    <w:rPr>
                      <w:rFonts w:hint="eastAsia"/>
                      <w:sz w:val="21"/>
                      <w:szCs w:val="21"/>
                    </w:rPr>
                    <w:t>50</w:t>
                  </w:r>
                </w:p>
              </w:tc>
              <w:tc>
                <w:tcPr>
                  <w:tcW w:w="592" w:type="dxa"/>
                  <w:vAlign w:val="center"/>
                </w:tcPr>
                <w:p>
                  <w:pPr>
                    <w:spacing w:line="240" w:lineRule="auto"/>
                    <w:ind w:firstLine="0" w:firstLineChars="0"/>
                    <w:jc w:val="center"/>
                    <w:rPr>
                      <w:sz w:val="21"/>
                      <w:szCs w:val="21"/>
                    </w:rPr>
                  </w:pPr>
                  <w:r>
                    <w:rPr>
                      <w:rFonts w:hint="eastAsia"/>
                      <w:sz w:val="21"/>
                      <w:szCs w:val="21"/>
                    </w:rPr>
                    <w:t>46</w:t>
                  </w:r>
                </w:p>
              </w:tc>
              <w:tc>
                <w:tcPr>
                  <w:tcW w:w="662" w:type="dxa"/>
                  <w:vAlign w:val="center"/>
                </w:tcPr>
                <w:p>
                  <w:pPr>
                    <w:spacing w:line="240" w:lineRule="auto"/>
                    <w:ind w:firstLine="0" w:firstLineChars="0"/>
                    <w:jc w:val="center"/>
                    <w:rPr>
                      <w:sz w:val="21"/>
                      <w:szCs w:val="21"/>
                    </w:rPr>
                  </w:pPr>
                  <w:r>
                    <w:rPr>
                      <w:rFonts w:hint="eastAsia"/>
                      <w:sz w:val="21"/>
                      <w:szCs w:val="21"/>
                    </w:rPr>
                    <w:t>43</w:t>
                  </w:r>
                </w:p>
              </w:tc>
              <w:tc>
                <w:tcPr>
                  <w:tcW w:w="556" w:type="dxa"/>
                  <w:vAlign w:val="center"/>
                </w:tcPr>
                <w:p>
                  <w:pPr>
                    <w:spacing w:line="240" w:lineRule="auto"/>
                    <w:ind w:firstLine="0" w:firstLineChars="0"/>
                    <w:jc w:val="center"/>
                    <w:rPr>
                      <w:sz w:val="21"/>
                      <w:szCs w:val="21"/>
                    </w:rPr>
                  </w:pPr>
                  <w:r>
                    <w:rPr>
                      <w:rFonts w:hint="eastAsia"/>
                      <w:sz w:val="21"/>
                      <w:szCs w:val="21"/>
                    </w:rPr>
                    <w:t>40</w:t>
                  </w:r>
                </w:p>
              </w:tc>
              <w:tc>
                <w:tcPr>
                  <w:tcW w:w="689" w:type="dxa"/>
                  <w:vAlign w:val="center"/>
                </w:tcPr>
                <w:p>
                  <w:pPr>
                    <w:spacing w:line="240" w:lineRule="auto"/>
                    <w:ind w:firstLine="0" w:firstLineChars="0"/>
                    <w:jc w:val="center"/>
                    <w:rPr>
                      <w:sz w:val="21"/>
                      <w:szCs w:val="21"/>
                    </w:rPr>
                  </w:pPr>
                  <w:r>
                    <w:rPr>
                      <w:rFonts w:hint="eastAsia"/>
                      <w:sz w:val="21"/>
                      <w:szCs w:val="21"/>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jc w:val="center"/>
                    <w:rPr>
                      <w:sz w:val="21"/>
                      <w:szCs w:val="21"/>
                    </w:rPr>
                  </w:pPr>
                </w:p>
              </w:tc>
              <w:tc>
                <w:tcPr>
                  <w:tcW w:w="1429" w:type="dxa"/>
                  <w:vAlign w:val="center"/>
                </w:tcPr>
                <w:p>
                  <w:pPr>
                    <w:spacing w:line="240" w:lineRule="auto"/>
                    <w:ind w:firstLine="0" w:firstLineChars="0"/>
                    <w:jc w:val="center"/>
                    <w:rPr>
                      <w:sz w:val="21"/>
                      <w:szCs w:val="21"/>
                    </w:rPr>
                  </w:pPr>
                  <w:r>
                    <w:rPr>
                      <w:rFonts w:hint="eastAsia"/>
                      <w:sz w:val="21"/>
                      <w:szCs w:val="21"/>
                    </w:rPr>
                    <w:t>电锯</w:t>
                  </w:r>
                </w:p>
              </w:tc>
              <w:tc>
                <w:tcPr>
                  <w:tcW w:w="1104" w:type="dxa"/>
                  <w:vAlign w:val="center"/>
                </w:tcPr>
                <w:p>
                  <w:pPr>
                    <w:spacing w:line="240" w:lineRule="auto"/>
                    <w:ind w:firstLine="0" w:firstLineChars="0"/>
                    <w:jc w:val="center"/>
                    <w:rPr>
                      <w:sz w:val="21"/>
                      <w:szCs w:val="21"/>
                    </w:rPr>
                  </w:pPr>
                  <w:r>
                    <w:rPr>
                      <w:rFonts w:hint="eastAsia"/>
                      <w:sz w:val="21"/>
                      <w:szCs w:val="21"/>
                    </w:rPr>
                    <w:t>90</w:t>
                  </w:r>
                </w:p>
              </w:tc>
              <w:tc>
                <w:tcPr>
                  <w:tcW w:w="641" w:type="dxa"/>
                  <w:vAlign w:val="center"/>
                </w:tcPr>
                <w:p>
                  <w:pPr>
                    <w:spacing w:line="240" w:lineRule="auto"/>
                    <w:ind w:firstLine="0" w:firstLineChars="0"/>
                    <w:jc w:val="center"/>
                    <w:rPr>
                      <w:sz w:val="21"/>
                      <w:szCs w:val="21"/>
                    </w:rPr>
                  </w:pPr>
                  <w:r>
                    <w:rPr>
                      <w:rFonts w:hint="eastAsia"/>
                      <w:sz w:val="21"/>
                      <w:szCs w:val="21"/>
                    </w:rPr>
                    <w:t>70</w:t>
                  </w:r>
                </w:p>
              </w:tc>
              <w:tc>
                <w:tcPr>
                  <w:tcW w:w="554" w:type="dxa"/>
                  <w:vAlign w:val="center"/>
                </w:tcPr>
                <w:p>
                  <w:pPr>
                    <w:spacing w:line="240" w:lineRule="auto"/>
                    <w:ind w:firstLine="0" w:firstLineChars="0"/>
                    <w:rPr>
                      <w:sz w:val="21"/>
                      <w:szCs w:val="21"/>
                    </w:rPr>
                  </w:pPr>
                  <w:r>
                    <w:rPr>
                      <w:rFonts w:hint="eastAsia"/>
                      <w:sz w:val="21"/>
                      <w:szCs w:val="21"/>
                    </w:rPr>
                    <w:t>66</w:t>
                  </w:r>
                </w:p>
              </w:tc>
              <w:tc>
                <w:tcPr>
                  <w:tcW w:w="694" w:type="dxa"/>
                  <w:vAlign w:val="center"/>
                </w:tcPr>
                <w:p>
                  <w:pPr>
                    <w:spacing w:line="240" w:lineRule="auto"/>
                    <w:ind w:firstLine="0" w:firstLineChars="0"/>
                    <w:jc w:val="center"/>
                    <w:rPr>
                      <w:sz w:val="21"/>
                      <w:szCs w:val="21"/>
                    </w:rPr>
                  </w:pPr>
                  <w:r>
                    <w:rPr>
                      <w:rFonts w:hint="eastAsia"/>
                      <w:sz w:val="21"/>
                      <w:szCs w:val="21"/>
                    </w:rPr>
                    <w:t>60</w:t>
                  </w:r>
                </w:p>
              </w:tc>
              <w:tc>
                <w:tcPr>
                  <w:tcW w:w="592" w:type="dxa"/>
                  <w:vAlign w:val="center"/>
                </w:tcPr>
                <w:p>
                  <w:pPr>
                    <w:spacing w:line="240" w:lineRule="auto"/>
                    <w:ind w:firstLine="0" w:firstLineChars="0"/>
                    <w:jc w:val="center"/>
                    <w:rPr>
                      <w:sz w:val="21"/>
                      <w:szCs w:val="21"/>
                    </w:rPr>
                  </w:pPr>
                  <w:r>
                    <w:rPr>
                      <w:rFonts w:hint="eastAsia"/>
                      <w:sz w:val="21"/>
                      <w:szCs w:val="21"/>
                    </w:rPr>
                    <w:t>56</w:t>
                  </w:r>
                </w:p>
              </w:tc>
              <w:tc>
                <w:tcPr>
                  <w:tcW w:w="662" w:type="dxa"/>
                  <w:vAlign w:val="center"/>
                </w:tcPr>
                <w:p>
                  <w:pPr>
                    <w:spacing w:line="240" w:lineRule="auto"/>
                    <w:ind w:firstLine="0" w:firstLineChars="0"/>
                    <w:jc w:val="center"/>
                    <w:rPr>
                      <w:sz w:val="21"/>
                      <w:szCs w:val="21"/>
                    </w:rPr>
                  </w:pPr>
                  <w:r>
                    <w:rPr>
                      <w:rFonts w:hint="eastAsia"/>
                      <w:sz w:val="21"/>
                      <w:szCs w:val="21"/>
                    </w:rPr>
                    <w:t>53</w:t>
                  </w:r>
                </w:p>
              </w:tc>
              <w:tc>
                <w:tcPr>
                  <w:tcW w:w="556" w:type="dxa"/>
                  <w:vAlign w:val="center"/>
                </w:tcPr>
                <w:p>
                  <w:pPr>
                    <w:spacing w:line="240" w:lineRule="auto"/>
                    <w:ind w:firstLine="0" w:firstLineChars="0"/>
                    <w:jc w:val="center"/>
                    <w:rPr>
                      <w:sz w:val="21"/>
                      <w:szCs w:val="21"/>
                    </w:rPr>
                  </w:pPr>
                  <w:r>
                    <w:rPr>
                      <w:rFonts w:hint="eastAsia"/>
                      <w:sz w:val="21"/>
                      <w:szCs w:val="21"/>
                    </w:rPr>
                    <w:t>50</w:t>
                  </w:r>
                </w:p>
              </w:tc>
              <w:tc>
                <w:tcPr>
                  <w:tcW w:w="689" w:type="dxa"/>
                  <w:vAlign w:val="center"/>
                </w:tcPr>
                <w:p>
                  <w:pPr>
                    <w:spacing w:line="240" w:lineRule="auto"/>
                    <w:ind w:firstLine="0" w:firstLineChars="0"/>
                    <w:jc w:val="center"/>
                    <w:rPr>
                      <w:sz w:val="21"/>
                      <w:szCs w:val="21"/>
                    </w:rPr>
                  </w:pPr>
                  <w:r>
                    <w:rPr>
                      <w:rFonts w:hint="eastAsia"/>
                      <w:sz w:val="21"/>
                      <w:szCs w:val="21"/>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8" w:type="dxa"/>
                  <w:vMerge w:val="continue"/>
                  <w:vAlign w:val="center"/>
                </w:tcPr>
                <w:p>
                  <w:pPr>
                    <w:spacing w:line="240" w:lineRule="auto"/>
                    <w:ind w:firstLine="0" w:firstLineChars="0"/>
                    <w:jc w:val="center"/>
                    <w:rPr>
                      <w:sz w:val="21"/>
                      <w:szCs w:val="21"/>
                    </w:rPr>
                  </w:pPr>
                </w:p>
              </w:tc>
              <w:tc>
                <w:tcPr>
                  <w:tcW w:w="1429" w:type="dxa"/>
                  <w:vAlign w:val="center"/>
                </w:tcPr>
                <w:p>
                  <w:pPr>
                    <w:spacing w:line="240" w:lineRule="auto"/>
                    <w:ind w:firstLine="0" w:firstLineChars="0"/>
                    <w:jc w:val="center"/>
                    <w:rPr>
                      <w:sz w:val="21"/>
                      <w:szCs w:val="21"/>
                    </w:rPr>
                  </w:pPr>
                  <w:r>
                    <w:rPr>
                      <w:rFonts w:hint="eastAsia"/>
                      <w:sz w:val="21"/>
                      <w:szCs w:val="21"/>
                    </w:rPr>
                    <w:t>轻型载重车</w:t>
                  </w:r>
                </w:p>
              </w:tc>
              <w:tc>
                <w:tcPr>
                  <w:tcW w:w="1104" w:type="dxa"/>
                  <w:vAlign w:val="center"/>
                </w:tcPr>
                <w:p>
                  <w:pPr>
                    <w:spacing w:line="240" w:lineRule="auto"/>
                    <w:ind w:firstLine="0" w:firstLineChars="0"/>
                    <w:jc w:val="center"/>
                    <w:rPr>
                      <w:sz w:val="21"/>
                      <w:szCs w:val="21"/>
                    </w:rPr>
                  </w:pPr>
                  <w:r>
                    <w:rPr>
                      <w:rFonts w:hint="eastAsia"/>
                      <w:sz w:val="21"/>
                      <w:szCs w:val="21"/>
                    </w:rPr>
                    <w:t>65</w:t>
                  </w:r>
                </w:p>
              </w:tc>
              <w:tc>
                <w:tcPr>
                  <w:tcW w:w="641" w:type="dxa"/>
                  <w:vAlign w:val="center"/>
                </w:tcPr>
                <w:p>
                  <w:pPr>
                    <w:spacing w:line="240" w:lineRule="auto"/>
                    <w:ind w:firstLine="0" w:firstLineChars="0"/>
                    <w:jc w:val="center"/>
                    <w:rPr>
                      <w:sz w:val="21"/>
                      <w:szCs w:val="21"/>
                    </w:rPr>
                  </w:pPr>
                  <w:r>
                    <w:rPr>
                      <w:rFonts w:hint="eastAsia"/>
                      <w:sz w:val="21"/>
                      <w:szCs w:val="21"/>
                    </w:rPr>
                    <w:t>45</w:t>
                  </w:r>
                </w:p>
              </w:tc>
              <w:tc>
                <w:tcPr>
                  <w:tcW w:w="554" w:type="dxa"/>
                  <w:vAlign w:val="center"/>
                </w:tcPr>
                <w:p>
                  <w:pPr>
                    <w:spacing w:line="240" w:lineRule="auto"/>
                    <w:ind w:firstLine="0" w:firstLineChars="0"/>
                    <w:rPr>
                      <w:sz w:val="21"/>
                      <w:szCs w:val="21"/>
                    </w:rPr>
                  </w:pPr>
                  <w:r>
                    <w:rPr>
                      <w:rFonts w:hint="eastAsia"/>
                      <w:sz w:val="21"/>
                      <w:szCs w:val="21"/>
                    </w:rPr>
                    <w:t>41</w:t>
                  </w:r>
                </w:p>
              </w:tc>
              <w:tc>
                <w:tcPr>
                  <w:tcW w:w="694" w:type="dxa"/>
                  <w:vAlign w:val="center"/>
                </w:tcPr>
                <w:p>
                  <w:pPr>
                    <w:spacing w:line="240" w:lineRule="auto"/>
                    <w:ind w:firstLine="0" w:firstLineChars="0"/>
                    <w:jc w:val="center"/>
                    <w:rPr>
                      <w:sz w:val="21"/>
                      <w:szCs w:val="21"/>
                    </w:rPr>
                  </w:pPr>
                  <w:r>
                    <w:rPr>
                      <w:rFonts w:hint="eastAsia"/>
                      <w:sz w:val="21"/>
                      <w:szCs w:val="21"/>
                    </w:rPr>
                    <w:t>35</w:t>
                  </w:r>
                </w:p>
              </w:tc>
              <w:tc>
                <w:tcPr>
                  <w:tcW w:w="592" w:type="dxa"/>
                  <w:vAlign w:val="center"/>
                </w:tcPr>
                <w:p>
                  <w:pPr>
                    <w:spacing w:line="240" w:lineRule="auto"/>
                    <w:ind w:firstLine="0" w:firstLineChars="0"/>
                    <w:jc w:val="center"/>
                    <w:rPr>
                      <w:sz w:val="21"/>
                      <w:szCs w:val="21"/>
                    </w:rPr>
                  </w:pPr>
                  <w:r>
                    <w:rPr>
                      <w:rFonts w:hint="eastAsia"/>
                      <w:sz w:val="21"/>
                      <w:szCs w:val="21"/>
                    </w:rPr>
                    <w:t>31</w:t>
                  </w:r>
                </w:p>
              </w:tc>
              <w:tc>
                <w:tcPr>
                  <w:tcW w:w="662" w:type="dxa"/>
                  <w:vAlign w:val="center"/>
                </w:tcPr>
                <w:p>
                  <w:pPr>
                    <w:spacing w:line="240" w:lineRule="auto"/>
                    <w:ind w:firstLine="0" w:firstLineChars="0"/>
                    <w:jc w:val="center"/>
                    <w:rPr>
                      <w:sz w:val="21"/>
                      <w:szCs w:val="21"/>
                    </w:rPr>
                  </w:pPr>
                  <w:r>
                    <w:rPr>
                      <w:rFonts w:hint="eastAsia"/>
                      <w:sz w:val="21"/>
                      <w:szCs w:val="21"/>
                    </w:rPr>
                    <w:t>28</w:t>
                  </w:r>
                </w:p>
              </w:tc>
              <w:tc>
                <w:tcPr>
                  <w:tcW w:w="556" w:type="dxa"/>
                  <w:vAlign w:val="center"/>
                </w:tcPr>
                <w:p>
                  <w:pPr>
                    <w:spacing w:line="240" w:lineRule="auto"/>
                    <w:ind w:firstLine="0" w:firstLineChars="0"/>
                    <w:jc w:val="center"/>
                    <w:rPr>
                      <w:sz w:val="21"/>
                      <w:szCs w:val="21"/>
                    </w:rPr>
                  </w:pPr>
                  <w:r>
                    <w:rPr>
                      <w:rFonts w:hint="eastAsia"/>
                      <w:sz w:val="21"/>
                      <w:szCs w:val="21"/>
                    </w:rPr>
                    <w:t>25</w:t>
                  </w:r>
                </w:p>
              </w:tc>
              <w:tc>
                <w:tcPr>
                  <w:tcW w:w="689" w:type="dxa"/>
                  <w:vAlign w:val="center"/>
                </w:tcPr>
                <w:p>
                  <w:pPr>
                    <w:spacing w:line="240" w:lineRule="auto"/>
                    <w:ind w:firstLine="0" w:firstLineChars="0"/>
                    <w:jc w:val="center"/>
                    <w:rPr>
                      <w:sz w:val="21"/>
                      <w:szCs w:val="21"/>
                    </w:rPr>
                  </w:pPr>
                  <w:r>
                    <w:rPr>
                      <w:rFonts w:hint="eastAsia"/>
                      <w:sz w:val="21"/>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58" w:type="dxa"/>
                  <w:vMerge w:val="continue"/>
                  <w:vAlign w:val="center"/>
                </w:tcPr>
                <w:p>
                  <w:pPr>
                    <w:spacing w:line="240" w:lineRule="auto"/>
                    <w:ind w:firstLine="0" w:firstLineChars="0"/>
                    <w:jc w:val="center"/>
                    <w:rPr>
                      <w:sz w:val="21"/>
                      <w:szCs w:val="21"/>
                    </w:rPr>
                  </w:pPr>
                </w:p>
              </w:tc>
              <w:tc>
                <w:tcPr>
                  <w:tcW w:w="2533" w:type="dxa"/>
                  <w:gridSpan w:val="2"/>
                  <w:vAlign w:val="center"/>
                </w:tcPr>
                <w:p>
                  <w:pPr>
                    <w:spacing w:line="240" w:lineRule="auto"/>
                    <w:ind w:firstLine="0" w:firstLineChars="0"/>
                    <w:jc w:val="center"/>
                    <w:rPr>
                      <w:sz w:val="21"/>
                      <w:szCs w:val="21"/>
                    </w:rPr>
                  </w:pPr>
                  <w:r>
                    <w:rPr>
                      <w:rFonts w:hint="eastAsia"/>
                      <w:sz w:val="21"/>
                      <w:szCs w:val="21"/>
                    </w:rPr>
                    <w:t>该工段机械噪声贡献值</w:t>
                  </w:r>
                </w:p>
              </w:tc>
              <w:tc>
                <w:tcPr>
                  <w:tcW w:w="641" w:type="dxa"/>
                  <w:vAlign w:val="center"/>
                </w:tcPr>
                <w:p>
                  <w:pPr>
                    <w:spacing w:line="240" w:lineRule="auto"/>
                    <w:ind w:firstLine="0" w:firstLineChars="0"/>
                    <w:jc w:val="center"/>
                    <w:rPr>
                      <w:sz w:val="21"/>
                      <w:szCs w:val="21"/>
                    </w:rPr>
                  </w:pPr>
                  <w:r>
                    <w:rPr>
                      <w:rFonts w:hint="eastAsia"/>
                      <w:sz w:val="21"/>
                      <w:szCs w:val="21"/>
                    </w:rPr>
                    <w:t>73</w:t>
                  </w:r>
                </w:p>
              </w:tc>
              <w:tc>
                <w:tcPr>
                  <w:tcW w:w="554" w:type="dxa"/>
                  <w:vAlign w:val="center"/>
                </w:tcPr>
                <w:p>
                  <w:pPr>
                    <w:spacing w:line="240" w:lineRule="auto"/>
                    <w:ind w:firstLine="0" w:firstLineChars="0"/>
                    <w:rPr>
                      <w:sz w:val="21"/>
                      <w:szCs w:val="21"/>
                    </w:rPr>
                  </w:pPr>
                  <w:r>
                    <w:rPr>
                      <w:rFonts w:hint="eastAsia"/>
                      <w:sz w:val="21"/>
                      <w:szCs w:val="21"/>
                    </w:rPr>
                    <w:t>69</w:t>
                  </w:r>
                </w:p>
              </w:tc>
              <w:tc>
                <w:tcPr>
                  <w:tcW w:w="694" w:type="dxa"/>
                  <w:vAlign w:val="center"/>
                </w:tcPr>
                <w:p>
                  <w:pPr>
                    <w:spacing w:line="240" w:lineRule="auto"/>
                    <w:ind w:firstLine="0" w:firstLineChars="0"/>
                    <w:jc w:val="center"/>
                    <w:rPr>
                      <w:sz w:val="21"/>
                      <w:szCs w:val="21"/>
                    </w:rPr>
                  </w:pPr>
                  <w:r>
                    <w:rPr>
                      <w:rFonts w:hint="eastAsia"/>
                      <w:sz w:val="21"/>
                      <w:szCs w:val="21"/>
                    </w:rPr>
                    <w:t>63</w:t>
                  </w:r>
                </w:p>
              </w:tc>
              <w:tc>
                <w:tcPr>
                  <w:tcW w:w="592" w:type="dxa"/>
                  <w:vAlign w:val="center"/>
                </w:tcPr>
                <w:p>
                  <w:pPr>
                    <w:spacing w:line="240" w:lineRule="auto"/>
                    <w:ind w:firstLine="0" w:firstLineChars="0"/>
                    <w:jc w:val="center"/>
                    <w:rPr>
                      <w:sz w:val="21"/>
                      <w:szCs w:val="21"/>
                    </w:rPr>
                  </w:pPr>
                  <w:r>
                    <w:rPr>
                      <w:rFonts w:hint="eastAsia"/>
                      <w:sz w:val="21"/>
                      <w:szCs w:val="21"/>
                    </w:rPr>
                    <w:t>59</w:t>
                  </w:r>
                </w:p>
              </w:tc>
              <w:tc>
                <w:tcPr>
                  <w:tcW w:w="662" w:type="dxa"/>
                  <w:vAlign w:val="center"/>
                </w:tcPr>
                <w:p>
                  <w:pPr>
                    <w:spacing w:line="240" w:lineRule="auto"/>
                    <w:ind w:firstLine="0" w:firstLineChars="0"/>
                    <w:jc w:val="center"/>
                    <w:rPr>
                      <w:sz w:val="21"/>
                      <w:szCs w:val="21"/>
                    </w:rPr>
                  </w:pPr>
                  <w:r>
                    <w:rPr>
                      <w:rFonts w:hint="eastAsia"/>
                      <w:sz w:val="21"/>
                      <w:szCs w:val="21"/>
                    </w:rPr>
                    <w:t>56</w:t>
                  </w:r>
                </w:p>
              </w:tc>
              <w:tc>
                <w:tcPr>
                  <w:tcW w:w="556" w:type="dxa"/>
                  <w:vAlign w:val="center"/>
                </w:tcPr>
                <w:p>
                  <w:pPr>
                    <w:spacing w:line="240" w:lineRule="auto"/>
                    <w:ind w:firstLine="0" w:firstLineChars="0"/>
                    <w:jc w:val="center"/>
                    <w:rPr>
                      <w:sz w:val="21"/>
                      <w:szCs w:val="21"/>
                    </w:rPr>
                  </w:pPr>
                  <w:r>
                    <w:rPr>
                      <w:rFonts w:hint="eastAsia"/>
                      <w:sz w:val="21"/>
                      <w:szCs w:val="21"/>
                    </w:rPr>
                    <w:t>53</w:t>
                  </w:r>
                </w:p>
              </w:tc>
              <w:tc>
                <w:tcPr>
                  <w:tcW w:w="689" w:type="dxa"/>
                  <w:vAlign w:val="center"/>
                </w:tcPr>
                <w:p>
                  <w:pPr>
                    <w:spacing w:line="240" w:lineRule="auto"/>
                    <w:ind w:firstLine="0" w:firstLineChars="0"/>
                    <w:jc w:val="center"/>
                    <w:rPr>
                      <w:sz w:val="21"/>
                      <w:szCs w:val="21"/>
                    </w:rPr>
                  </w:pPr>
                  <w:r>
                    <w:rPr>
                      <w:rFonts w:hint="eastAsia"/>
                      <w:sz w:val="21"/>
                      <w:szCs w:val="21"/>
                    </w:rPr>
                    <w:t>49.63</w:t>
                  </w:r>
                </w:p>
              </w:tc>
            </w:tr>
          </w:tbl>
          <w:p>
            <w:pPr>
              <w:adjustRightInd w:val="0"/>
              <w:snapToGrid w:val="0"/>
              <w:ind w:firstLine="480"/>
              <w:rPr>
                <w:rFonts w:hAnsiTheme="minorEastAsia" w:eastAsiaTheme="minorEastAsia"/>
                <w:color w:val="000000"/>
                <w:kern w:val="0"/>
              </w:rPr>
            </w:pPr>
            <w:r>
              <w:rPr>
                <w:rFonts w:hAnsiTheme="minorEastAsia" w:eastAsiaTheme="minorEastAsia"/>
                <w:color w:val="000000"/>
                <w:kern w:val="0"/>
              </w:rPr>
              <w:t>施工设备与施工场界最近距离约为10m，根据表7-2预测结果，</w:t>
            </w:r>
            <w:r>
              <w:rPr>
                <w:rFonts w:hint="eastAsia" w:hAnsiTheme="minorEastAsia" w:eastAsiaTheme="minorEastAsia"/>
                <w:color w:val="000000"/>
                <w:kern w:val="0"/>
              </w:rPr>
              <w:t>在土石方及基础阶段，</w:t>
            </w:r>
            <w:r>
              <w:rPr>
                <w:rFonts w:hAnsiTheme="minorEastAsia" w:eastAsiaTheme="minorEastAsia"/>
                <w:color w:val="000000"/>
                <w:kern w:val="0"/>
              </w:rPr>
              <w:t>施工场界昼间噪声均能够满足GB12523-2011《建筑施工场界环境噪声排放标准》要求，夜间噪声不能满足要求</w:t>
            </w:r>
            <w:r>
              <w:rPr>
                <w:rFonts w:hint="eastAsia" w:hAnsiTheme="minorEastAsia" w:eastAsiaTheme="minorEastAsia"/>
                <w:color w:val="000000"/>
                <w:kern w:val="0"/>
              </w:rPr>
              <w:t>；而主体工程及设备安装调试阶段，施工</w:t>
            </w:r>
            <w:r>
              <w:rPr>
                <w:rFonts w:hAnsiTheme="minorEastAsia" w:eastAsiaTheme="minorEastAsia"/>
                <w:color w:val="000000"/>
                <w:kern w:val="0"/>
              </w:rPr>
              <w:t>场界昼间、夜间噪声均超过了GB12523-2011《建筑施工场界环境噪声排放标准》要求。本次评价</w:t>
            </w:r>
            <w:r>
              <w:rPr>
                <w:rFonts w:hint="eastAsia" w:hAnsiTheme="minorEastAsia" w:eastAsiaTheme="minorEastAsia"/>
                <w:color w:val="000000"/>
                <w:kern w:val="0"/>
              </w:rPr>
              <w:t>提出项目夜间不施工。</w:t>
            </w:r>
          </w:p>
          <w:p>
            <w:pPr>
              <w:adjustRightInd w:val="0"/>
              <w:snapToGrid w:val="0"/>
              <w:ind w:firstLine="480"/>
            </w:pPr>
            <w:r>
              <w:rPr>
                <w:rFonts w:hint="eastAsia"/>
              </w:rPr>
              <w:t>根据表3-4可知，项目区厂界200m范围无居民点。此外，最近的敏感点为项目</w:t>
            </w:r>
            <w:r>
              <w:rPr>
                <w:rFonts w:hint="eastAsia"/>
                <w:color w:val="000000" w:themeColor="text1"/>
              </w:rPr>
              <w:t>西北侧的麦冲村，其距离项目区275m</w:t>
            </w:r>
            <w:r>
              <w:rPr>
                <w:rFonts w:hint="eastAsia"/>
              </w:rPr>
              <w:t>其他居民点距离项目区更远，故项目施工期噪声对周边居民点影响小。</w:t>
            </w:r>
          </w:p>
          <w:p>
            <w:pPr>
              <w:adjustRightInd w:val="0"/>
              <w:snapToGrid w:val="0"/>
              <w:ind w:firstLine="482"/>
              <w:rPr>
                <w:b/>
              </w:rPr>
            </w:pPr>
            <w:r>
              <w:rPr>
                <w:rFonts w:hint="eastAsia"/>
                <w:b/>
              </w:rPr>
              <w:t>综上，为了减少施工噪声对周围环境的影响，本次环评提出以下防治措施：</w:t>
            </w:r>
          </w:p>
          <w:p>
            <w:pPr>
              <w:autoSpaceDE w:val="0"/>
              <w:autoSpaceDN w:val="0"/>
              <w:adjustRightInd w:val="0"/>
              <w:ind w:firstLine="480"/>
              <w:jc w:val="left"/>
              <w:rPr>
                <w:rFonts w:hAnsiTheme="minorEastAsia" w:eastAsiaTheme="minorEastAsia"/>
                <w:bCs/>
                <w:color w:val="000000"/>
                <w:kern w:val="0"/>
              </w:rPr>
            </w:pPr>
            <w:r>
              <w:rPr>
                <w:rFonts w:hint="eastAsia" w:hAnsiTheme="minorEastAsia" w:eastAsiaTheme="minorEastAsia"/>
                <w:bCs/>
                <w:color w:val="000000"/>
                <w:kern w:val="0"/>
              </w:rPr>
              <w:t>①加快工程施工速度以降低施工噪声持续时间，从而缩短对外环境产生的影响。</w:t>
            </w:r>
          </w:p>
          <w:p>
            <w:pPr>
              <w:autoSpaceDE w:val="0"/>
              <w:autoSpaceDN w:val="0"/>
              <w:adjustRightInd w:val="0"/>
              <w:ind w:firstLine="480"/>
              <w:jc w:val="left"/>
              <w:rPr>
                <w:rFonts w:hAnsiTheme="minorEastAsia" w:eastAsiaTheme="minorEastAsia"/>
                <w:bCs/>
                <w:color w:val="000000"/>
                <w:kern w:val="0"/>
              </w:rPr>
            </w:pPr>
            <w:r>
              <w:rPr>
                <w:rFonts w:hint="eastAsia" w:hAnsiTheme="minorEastAsia" w:eastAsiaTheme="minorEastAsia"/>
                <w:bCs/>
                <w:color w:val="000000"/>
                <w:kern w:val="0"/>
              </w:rPr>
              <w:t>②施工期间，施工单位应选用低噪声的施工设备，从源头上控制噪声排放；加强施工机械的维修、管理，保证施工机械处于低噪声、高效率的良好工作状态。</w:t>
            </w:r>
          </w:p>
          <w:p>
            <w:pPr>
              <w:autoSpaceDE w:val="0"/>
              <w:autoSpaceDN w:val="0"/>
              <w:adjustRightInd w:val="0"/>
              <w:ind w:firstLine="480"/>
              <w:jc w:val="left"/>
              <w:rPr>
                <w:rFonts w:hAnsiTheme="minorEastAsia" w:eastAsiaTheme="minorEastAsia"/>
                <w:bCs/>
                <w:color w:val="000000"/>
                <w:kern w:val="0"/>
              </w:rPr>
            </w:pPr>
            <w:r>
              <w:rPr>
                <w:rFonts w:hint="eastAsia" w:hAnsiTheme="minorEastAsia" w:eastAsiaTheme="minorEastAsia"/>
                <w:bCs/>
                <w:color w:val="000000"/>
                <w:kern w:val="0"/>
              </w:rPr>
              <w:t>③合理安排作业时间，禁止夜间施工。</w:t>
            </w:r>
          </w:p>
          <w:p>
            <w:pPr>
              <w:adjustRightInd w:val="0"/>
              <w:snapToGrid w:val="0"/>
              <w:ind w:firstLine="480"/>
            </w:pPr>
            <w:r>
              <w:rPr>
                <w:rFonts w:hint="eastAsia"/>
              </w:rPr>
              <w:t>经采取以上措施后，施工期对周围环境影响小。</w:t>
            </w:r>
          </w:p>
          <w:p>
            <w:pPr>
              <w:ind w:firstLine="482"/>
              <w:jc w:val="left"/>
              <w:rPr>
                <w:rFonts w:hAnsiTheme="minorEastAsia" w:eastAsiaTheme="minorEastAsia"/>
                <w:b/>
                <w:bCs/>
                <w:color w:val="000000"/>
                <w:kern w:val="0"/>
              </w:rPr>
            </w:pPr>
            <w:r>
              <w:rPr>
                <w:rFonts w:hint="eastAsia" w:hAnsiTheme="minorEastAsia" w:eastAsiaTheme="minorEastAsia"/>
                <w:b/>
                <w:bCs/>
                <w:color w:val="000000"/>
                <w:kern w:val="0"/>
              </w:rPr>
              <w:t>4、固体废物环境影响分析</w:t>
            </w:r>
          </w:p>
          <w:p>
            <w:pPr>
              <w:adjustRightInd w:val="0"/>
              <w:snapToGrid w:val="0"/>
              <w:ind w:firstLine="480"/>
              <w:rPr>
                <w:bCs/>
                <w:color w:val="000000" w:themeColor="text1"/>
              </w:rPr>
            </w:pPr>
            <w:r>
              <w:rPr>
                <w:rFonts w:hint="eastAsia"/>
                <w:bCs/>
                <w:color w:val="000000" w:themeColor="text1"/>
              </w:rPr>
              <w:t>施工期固体废物主要有开挖土石方、厂房封闭施工中产生的建筑垃圾以及施工人员生活垃圾。</w:t>
            </w:r>
          </w:p>
          <w:p>
            <w:pPr>
              <w:adjustRightInd w:val="0"/>
              <w:snapToGrid w:val="0"/>
              <w:ind w:firstLine="482"/>
              <w:rPr>
                <w:b/>
                <w:bCs/>
                <w:color w:val="000000" w:themeColor="text1"/>
              </w:rPr>
            </w:pPr>
            <w:r>
              <w:rPr>
                <w:rFonts w:hint="eastAsia"/>
                <w:b/>
                <w:bCs/>
                <w:color w:val="000000" w:themeColor="text1"/>
              </w:rPr>
              <w:t>①土石方</w:t>
            </w:r>
          </w:p>
          <w:p>
            <w:pPr>
              <w:adjustRightInd w:val="0"/>
              <w:snapToGrid w:val="0"/>
              <w:ind w:firstLine="480"/>
              <w:rPr>
                <w:bCs/>
                <w:color w:val="000000" w:themeColor="text1"/>
              </w:rPr>
            </w:pPr>
            <w:r>
              <w:rPr>
                <w:rFonts w:hint="eastAsia"/>
                <w:color w:val="000000" w:themeColor="text1"/>
              </w:rPr>
              <w:t>项目</w:t>
            </w:r>
            <w:r>
              <w:rPr>
                <w:rFonts w:hint="eastAsia"/>
                <w:bCs/>
                <w:color w:val="000000" w:themeColor="text1"/>
              </w:rPr>
              <w:t>土石方全部用于场地回填及后期绿化覆土，不外排。</w:t>
            </w:r>
          </w:p>
          <w:p>
            <w:pPr>
              <w:adjustRightInd w:val="0"/>
              <w:snapToGrid w:val="0"/>
              <w:ind w:firstLine="482"/>
              <w:rPr>
                <w:b/>
                <w:color w:val="000000" w:themeColor="text1"/>
              </w:rPr>
            </w:pPr>
            <w:r>
              <w:rPr>
                <w:rFonts w:hint="eastAsia"/>
                <w:b/>
                <w:color w:val="000000" w:themeColor="text1"/>
              </w:rPr>
              <w:t>②建筑垃圾</w:t>
            </w:r>
          </w:p>
          <w:p>
            <w:pPr>
              <w:pStyle w:val="3"/>
              <w:snapToGrid w:val="0"/>
              <w:ind w:firstLine="480"/>
              <w:rPr>
                <w:bCs/>
                <w:color w:val="000000" w:themeColor="text1"/>
                <w:szCs w:val="24"/>
              </w:rPr>
            </w:pPr>
            <w:r>
              <w:rPr>
                <w:bCs/>
                <w:color w:val="000000" w:themeColor="text1"/>
                <w:szCs w:val="24"/>
              </w:rPr>
              <w:t>建筑垃圾包括废弃的砖石</w:t>
            </w:r>
            <w:r>
              <w:rPr>
                <w:rFonts w:hint="eastAsia"/>
                <w:bCs/>
                <w:color w:val="000000" w:themeColor="text1"/>
                <w:szCs w:val="24"/>
              </w:rPr>
              <w:t>及彩钢瓦</w:t>
            </w:r>
            <w:r>
              <w:rPr>
                <w:bCs/>
                <w:color w:val="000000" w:themeColor="text1"/>
                <w:szCs w:val="24"/>
              </w:rPr>
              <w:t>、水泥凝结废渣等</w:t>
            </w:r>
            <w:r>
              <w:rPr>
                <w:rFonts w:hint="eastAsia"/>
                <w:bCs/>
                <w:color w:val="000000" w:themeColor="text1"/>
                <w:szCs w:val="24"/>
              </w:rPr>
              <w:t>。其中可利用部分外售给废品收购站，不可利用的</w:t>
            </w:r>
            <w:r>
              <w:rPr>
                <w:rFonts w:hint="eastAsia"/>
                <w:bCs/>
                <w:color w:val="000000" w:themeColor="text1"/>
              </w:rPr>
              <w:t>统一收集后清运至周边村庄指定的垃圾堆存点</w:t>
            </w:r>
            <w:r>
              <w:rPr>
                <w:rFonts w:hint="eastAsia"/>
                <w:bCs/>
                <w:color w:val="000000" w:themeColor="text1"/>
                <w:szCs w:val="24"/>
              </w:rPr>
              <w:t>，不外排。</w:t>
            </w:r>
          </w:p>
          <w:p>
            <w:pPr>
              <w:adjustRightInd w:val="0"/>
              <w:snapToGrid w:val="0"/>
              <w:ind w:firstLine="482"/>
              <w:rPr>
                <w:b/>
                <w:color w:val="000000" w:themeColor="text1"/>
              </w:rPr>
            </w:pPr>
            <w:r>
              <w:rPr>
                <w:rFonts w:hint="eastAsia"/>
                <w:b/>
                <w:color w:val="000000" w:themeColor="text1"/>
              </w:rPr>
              <w:t>③施工人员生活垃圾</w:t>
            </w:r>
          </w:p>
          <w:p>
            <w:pPr>
              <w:pStyle w:val="8"/>
              <w:adjustRightInd w:val="0"/>
              <w:snapToGrid w:val="0"/>
              <w:ind w:firstLine="480"/>
              <w:jc w:val="both"/>
              <w:rPr>
                <w:bCs/>
                <w:color w:val="000000" w:themeColor="text1"/>
              </w:rPr>
            </w:pPr>
            <w:r>
              <w:rPr>
                <w:color w:val="000000" w:themeColor="text1"/>
              </w:rPr>
              <w:t>项目施工期</w:t>
            </w:r>
            <w:r>
              <w:rPr>
                <w:rFonts w:hint="eastAsia"/>
                <w:color w:val="000000" w:themeColor="text1"/>
              </w:rPr>
              <w:t>施工</w:t>
            </w:r>
            <w:r>
              <w:rPr>
                <w:color w:val="000000" w:themeColor="text1"/>
              </w:rPr>
              <w:t>人员</w:t>
            </w:r>
            <w:r>
              <w:rPr>
                <w:rFonts w:hint="eastAsia"/>
                <w:bCs/>
                <w:color w:val="000000" w:themeColor="text1"/>
              </w:rPr>
              <w:t>生活垃圾经垃圾桶统一收集后清运至周边村庄指定的垃圾堆存点。</w:t>
            </w:r>
          </w:p>
          <w:p>
            <w:pPr>
              <w:ind w:firstLine="480"/>
              <w:rPr>
                <w:rFonts w:hAnsi="宋体"/>
                <w:bCs/>
                <w:color w:val="000000"/>
              </w:rPr>
            </w:pPr>
            <w:r>
              <w:rPr>
                <w:rFonts w:hAnsi="宋体"/>
                <w:bCs/>
                <w:color w:val="000000"/>
              </w:rPr>
              <w:t>固体废物处置率100%，对周围环境影响较小。</w:t>
            </w:r>
          </w:p>
          <w:p>
            <w:pPr>
              <w:adjustRightInd w:val="0"/>
              <w:snapToGrid w:val="0"/>
              <w:ind w:firstLine="480"/>
              <w:rPr>
                <w:color w:val="000000" w:themeColor="text1"/>
              </w:rPr>
            </w:pPr>
            <w:r>
              <w:rPr>
                <w:rFonts w:hint="eastAsia"/>
                <w:color w:val="000000" w:themeColor="text1"/>
              </w:rPr>
              <w:t>综上，项目施工过程中产生的污染物较小，经采取合理的防治措施后对周围环境影响小。</w:t>
            </w:r>
          </w:p>
          <w:p>
            <w:pPr>
              <w:adjustRightInd w:val="0"/>
              <w:snapToGrid w:val="0"/>
              <w:ind w:firstLine="482"/>
              <w:rPr>
                <w:b/>
                <w:color w:val="000000" w:themeColor="text1"/>
              </w:rPr>
            </w:pPr>
            <w:r>
              <w:rPr>
                <w:rFonts w:hint="eastAsia"/>
                <w:b/>
                <w:color w:val="000000" w:themeColor="text1"/>
              </w:rPr>
              <w:t>二、</w:t>
            </w:r>
            <w:r>
              <w:rPr>
                <w:b/>
                <w:color w:val="000000" w:themeColor="text1"/>
              </w:rPr>
              <w:t>营运期环境影响分析</w:t>
            </w:r>
          </w:p>
          <w:p>
            <w:pPr>
              <w:adjustRightInd w:val="0"/>
              <w:snapToGrid w:val="0"/>
              <w:ind w:firstLine="482"/>
              <w:rPr>
                <w:b/>
                <w:color w:val="000000" w:themeColor="text1"/>
              </w:rPr>
            </w:pPr>
            <w:r>
              <w:rPr>
                <w:rFonts w:hint="eastAsia"/>
                <w:b/>
                <w:color w:val="000000" w:themeColor="text1"/>
              </w:rPr>
              <w:t>1</w:t>
            </w:r>
            <w:r>
              <w:rPr>
                <w:b/>
                <w:color w:val="000000" w:themeColor="text1"/>
              </w:rPr>
              <w:t>、环境空气影响分析</w:t>
            </w:r>
          </w:p>
          <w:p>
            <w:pPr>
              <w:adjustRightInd w:val="0"/>
              <w:snapToGrid w:val="0"/>
              <w:ind w:firstLine="482"/>
              <w:rPr>
                <w:b/>
                <w:color w:val="000000" w:themeColor="text1"/>
              </w:rPr>
            </w:pPr>
            <w:r>
              <w:rPr>
                <w:rFonts w:hint="eastAsia"/>
                <w:b/>
                <w:color w:val="000000" w:themeColor="text1"/>
              </w:rPr>
              <w:t>（1）污染物分析</w:t>
            </w:r>
          </w:p>
          <w:p>
            <w:pPr>
              <w:pStyle w:val="3"/>
              <w:ind w:firstLine="480"/>
            </w:pPr>
            <w:r>
              <w:rPr>
                <w:rFonts w:hint="eastAsia"/>
                <w:color w:val="000000" w:themeColor="text1"/>
              </w:rPr>
              <w:t>项目运营期废气污染源主要为卸料、破碎、成品堆存间转运和运输过程中产生的粉尘、运输道路扬尘及食堂油烟。其中，破碎粉尘部分经集气罩收集后由布袋除尘器处理后经一根15m高排气筒呈有组织排放，部分呈无组织排放；卸料、成品堆存间转运和运输过程中产生的粉尘</w:t>
            </w:r>
            <w:r>
              <w:rPr>
                <w:rFonts w:hint="eastAsia"/>
              </w:rPr>
              <w:t>呈无组织排放；食堂油烟经排气管呈有组织排放。</w:t>
            </w:r>
          </w:p>
          <w:p>
            <w:pPr>
              <w:adjustRightInd w:val="0"/>
              <w:snapToGrid w:val="0"/>
              <w:ind w:firstLine="482"/>
              <w:rPr>
                <w:b/>
                <w:color w:val="000000" w:themeColor="text1"/>
              </w:rPr>
            </w:pPr>
            <w:r>
              <w:rPr>
                <w:rFonts w:hint="eastAsia"/>
                <w:b/>
                <w:color w:val="000000" w:themeColor="text1"/>
              </w:rPr>
              <w:t>①生产粉尘影响分析</w:t>
            </w:r>
          </w:p>
          <w:p>
            <w:pPr>
              <w:adjustRightInd w:val="0"/>
              <w:snapToGrid w:val="0"/>
              <w:ind w:firstLine="482"/>
              <w:rPr>
                <w:b/>
                <w:color w:val="000000" w:themeColor="text1"/>
              </w:rPr>
            </w:pPr>
            <w:r>
              <w:rPr>
                <w:rFonts w:hint="eastAsia" w:ascii="宋体" w:hAnsi="宋体"/>
                <w:b/>
                <w:color w:val="000000" w:themeColor="text1"/>
              </w:rPr>
              <w:t>◆预测源强</w:t>
            </w:r>
          </w:p>
          <w:p>
            <w:pPr>
              <w:adjustRightInd w:val="0"/>
              <w:snapToGrid w:val="0"/>
              <w:ind w:firstLine="480"/>
              <w:rPr>
                <w:bCs/>
                <w:color w:val="000000" w:themeColor="text1"/>
              </w:rPr>
            </w:pPr>
            <w:r>
              <w:rPr>
                <w:rFonts w:hint="eastAsia"/>
                <w:bCs/>
                <w:color w:val="000000" w:themeColor="text1"/>
              </w:rPr>
              <w:t>项目区占地面积较小且各车间间距小，故无组织粉尘将整个项目区作为面源进行预测，污染物源强见表7-</w:t>
            </w:r>
            <w:r>
              <w:rPr>
                <w:rFonts w:hint="eastAsia"/>
                <w:bCs/>
                <w:color w:val="000000" w:themeColor="text1"/>
                <w:lang w:val="en-US" w:eastAsia="zh-CN"/>
              </w:rPr>
              <w:t>3</w:t>
            </w:r>
            <w:r>
              <w:rPr>
                <w:rFonts w:hint="eastAsia"/>
                <w:bCs/>
                <w:color w:val="000000" w:themeColor="text1"/>
              </w:rPr>
              <w:t>、7-</w:t>
            </w:r>
            <w:r>
              <w:rPr>
                <w:rFonts w:hint="eastAsia"/>
                <w:bCs/>
                <w:color w:val="000000" w:themeColor="text1"/>
                <w:lang w:val="en-US" w:eastAsia="zh-CN"/>
              </w:rPr>
              <w:t>4</w:t>
            </w:r>
            <w:r>
              <w:rPr>
                <w:rFonts w:hint="eastAsia"/>
                <w:bCs/>
                <w:color w:val="000000" w:themeColor="text1"/>
              </w:rPr>
              <w:t>。</w:t>
            </w:r>
          </w:p>
          <w:p>
            <w:pPr>
              <w:spacing w:line="480" w:lineRule="exact"/>
              <w:ind w:firstLine="482"/>
              <w:jc w:val="center"/>
              <w:rPr>
                <w:b/>
                <w:bCs/>
              </w:rPr>
            </w:pPr>
            <w:r>
              <w:rPr>
                <w:rFonts w:hint="eastAsia" w:ascii="宋体" w:hAnsi="宋体" w:cs="宋体"/>
                <w:b/>
                <w:bCs/>
              </w:rPr>
              <w:t>表</w:t>
            </w:r>
            <w:r>
              <w:rPr>
                <w:b/>
                <w:bCs/>
              </w:rPr>
              <w:t>7</w:t>
            </w:r>
            <w:r>
              <w:rPr>
                <w:rFonts w:hint="eastAsia"/>
                <w:b/>
                <w:bCs/>
              </w:rPr>
              <w:t>-</w:t>
            </w:r>
            <w:r>
              <w:rPr>
                <w:rFonts w:hint="eastAsia"/>
                <w:b/>
                <w:bCs/>
                <w:lang w:val="en-US" w:eastAsia="zh-CN"/>
              </w:rPr>
              <w:t>3</w:t>
            </w:r>
            <w:r>
              <w:rPr>
                <w:b/>
                <w:bCs/>
              </w:rPr>
              <w:t xml:space="preserve"> </w:t>
            </w:r>
            <w:r>
              <w:rPr>
                <w:rFonts w:hint="eastAsia" w:ascii="宋体" w:hAnsi="宋体" w:cs="宋体"/>
                <w:b/>
                <w:bCs/>
              </w:rPr>
              <w:t>无组织</w:t>
            </w:r>
            <w:r>
              <w:rPr>
                <w:rFonts w:ascii="宋体" w:hAnsi="宋体" w:cs="宋体"/>
                <w:b/>
                <w:bCs/>
              </w:rPr>
              <w:t xml:space="preserve">废气污染源参数一览表(矩形面源) </w:t>
            </w:r>
          </w:p>
          <w:tbl>
            <w:tblPr>
              <w:tblStyle w:val="22"/>
              <w:tblW w:w="83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3"/>
              <w:gridCol w:w="1425"/>
              <w:gridCol w:w="1395"/>
              <w:gridCol w:w="874"/>
              <w:gridCol w:w="930"/>
              <w:gridCol w:w="845"/>
              <w:gridCol w:w="964"/>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8" w:hRule="atLeast"/>
              </w:trPr>
              <w:tc>
                <w:tcPr>
                  <w:tcW w:w="853" w:type="dxa"/>
                  <w:vMerge w:val="restart"/>
                  <w:vAlign w:val="center"/>
                </w:tcPr>
                <w:p>
                  <w:pPr>
                    <w:spacing w:line="240" w:lineRule="auto"/>
                    <w:ind w:firstLine="0" w:firstLineChars="0"/>
                    <w:jc w:val="center"/>
                    <w:rPr>
                      <w:b/>
                      <w:bCs/>
                    </w:rPr>
                  </w:pPr>
                  <w:r>
                    <w:rPr>
                      <w:b/>
                      <w:bCs/>
                      <w:sz w:val="23"/>
                      <w:szCs w:val="23"/>
                    </w:rPr>
                    <w:t>污染源名称</w:t>
                  </w:r>
                </w:p>
              </w:tc>
              <w:tc>
                <w:tcPr>
                  <w:tcW w:w="2820" w:type="dxa"/>
                  <w:gridSpan w:val="2"/>
                  <w:vAlign w:val="center"/>
                </w:tcPr>
                <w:p>
                  <w:pPr>
                    <w:spacing w:line="240" w:lineRule="auto"/>
                    <w:ind w:firstLine="0" w:firstLineChars="0"/>
                    <w:jc w:val="center"/>
                    <w:rPr>
                      <w:b/>
                      <w:bCs/>
                    </w:rPr>
                  </w:pPr>
                  <w:r>
                    <w:rPr>
                      <w:b/>
                      <w:bCs/>
                      <w:sz w:val="23"/>
                      <w:szCs w:val="23"/>
                    </w:rPr>
                    <w:t>坐标(°)</w:t>
                  </w:r>
                </w:p>
              </w:tc>
              <w:tc>
                <w:tcPr>
                  <w:tcW w:w="874" w:type="dxa"/>
                  <w:vMerge w:val="restart"/>
                  <w:vAlign w:val="center"/>
                </w:tcPr>
                <w:p>
                  <w:pPr>
                    <w:spacing w:line="240" w:lineRule="auto"/>
                    <w:ind w:firstLine="0" w:firstLineChars="0"/>
                    <w:jc w:val="center"/>
                    <w:rPr>
                      <w:b/>
                      <w:bCs/>
                    </w:rPr>
                  </w:pPr>
                  <w:r>
                    <w:rPr>
                      <w:b/>
                      <w:bCs/>
                      <w:sz w:val="23"/>
                      <w:szCs w:val="23"/>
                    </w:rPr>
                    <w:t>海拔高度(m)</w:t>
                  </w:r>
                </w:p>
              </w:tc>
              <w:tc>
                <w:tcPr>
                  <w:tcW w:w="2739" w:type="dxa"/>
                  <w:gridSpan w:val="3"/>
                  <w:vAlign w:val="center"/>
                </w:tcPr>
                <w:p>
                  <w:pPr>
                    <w:spacing w:line="240" w:lineRule="auto"/>
                    <w:ind w:firstLine="0" w:firstLineChars="0"/>
                    <w:jc w:val="center"/>
                    <w:rPr>
                      <w:b/>
                      <w:bCs/>
                    </w:rPr>
                  </w:pPr>
                  <w:r>
                    <w:rPr>
                      <w:b/>
                      <w:bCs/>
                      <w:sz w:val="23"/>
                      <w:szCs w:val="23"/>
                    </w:rPr>
                    <w:t>矩形面源</w:t>
                  </w:r>
                </w:p>
              </w:tc>
              <w:tc>
                <w:tcPr>
                  <w:tcW w:w="1071" w:type="dxa"/>
                  <w:vAlign w:val="center"/>
                </w:tcPr>
                <w:p>
                  <w:pPr>
                    <w:spacing w:line="240" w:lineRule="auto"/>
                    <w:ind w:firstLine="0" w:firstLineChars="0"/>
                    <w:jc w:val="center"/>
                    <w:rPr>
                      <w:b/>
                      <w:bCs/>
                    </w:rPr>
                  </w:pPr>
                  <w:r>
                    <w:rPr>
                      <w:b/>
                      <w:bCs/>
                      <w:sz w:val="23"/>
                      <w:szCs w:val="23"/>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1" w:hRule="atLeast"/>
              </w:trPr>
              <w:tc>
                <w:tcPr>
                  <w:tcW w:w="853" w:type="dxa"/>
                  <w:vMerge w:val="continue"/>
                  <w:vAlign w:val="center"/>
                </w:tcPr>
                <w:p>
                  <w:pPr>
                    <w:spacing w:line="240" w:lineRule="auto"/>
                    <w:ind w:firstLine="0" w:firstLineChars="0"/>
                    <w:jc w:val="center"/>
                    <w:rPr>
                      <w:b/>
                      <w:bCs/>
                    </w:rPr>
                  </w:pPr>
                </w:p>
              </w:tc>
              <w:tc>
                <w:tcPr>
                  <w:tcW w:w="1425" w:type="dxa"/>
                  <w:vAlign w:val="center"/>
                </w:tcPr>
                <w:p>
                  <w:pPr>
                    <w:spacing w:line="240" w:lineRule="auto"/>
                    <w:ind w:firstLine="0" w:firstLineChars="0"/>
                    <w:jc w:val="center"/>
                    <w:rPr>
                      <w:b/>
                      <w:bCs/>
                    </w:rPr>
                  </w:pPr>
                  <w:r>
                    <w:rPr>
                      <w:b/>
                      <w:bCs/>
                      <w:sz w:val="23"/>
                      <w:szCs w:val="23"/>
                    </w:rPr>
                    <w:t>经度</w:t>
                  </w:r>
                </w:p>
              </w:tc>
              <w:tc>
                <w:tcPr>
                  <w:tcW w:w="1395" w:type="dxa"/>
                  <w:vAlign w:val="center"/>
                </w:tcPr>
                <w:p>
                  <w:pPr>
                    <w:spacing w:line="240" w:lineRule="auto"/>
                    <w:ind w:firstLine="0" w:firstLineChars="0"/>
                    <w:jc w:val="center"/>
                    <w:rPr>
                      <w:b/>
                      <w:bCs/>
                    </w:rPr>
                  </w:pPr>
                  <w:r>
                    <w:rPr>
                      <w:b/>
                      <w:bCs/>
                      <w:sz w:val="23"/>
                      <w:szCs w:val="23"/>
                    </w:rPr>
                    <w:t>纬度</w:t>
                  </w:r>
                </w:p>
              </w:tc>
              <w:tc>
                <w:tcPr>
                  <w:tcW w:w="874" w:type="dxa"/>
                  <w:vMerge w:val="continue"/>
                  <w:vAlign w:val="center"/>
                </w:tcPr>
                <w:p>
                  <w:pPr>
                    <w:spacing w:line="240" w:lineRule="auto"/>
                    <w:ind w:firstLine="0" w:firstLineChars="0"/>
                    <w:jc w:val="center"/>
                    <w:rPr>
                      <w:b/>
                      <w:bCs/>
                    </w:rPr>
                  </w:pPr>
                </w:p>
              </w:tc>
              <w:tc>
                <w:tcPr>
                  <w:tcW w:w="930" w:type="dxa"/>
                  <w:vAlign w:val="center"/>
                </w:tcPr>
                <w:p>
                  <w:pPr>
                    <w:spacing w:line="240" w:lineRule="auto"/>
                    <w:ind w:firstLine="0" w:firstLineChars="0"/>
                    <w:jc w:val="center"/>
                    <w:rPr>
                      <w:b/>
                      <w:bCs/>
                    </w:rPr>
                  </w:pPr>
                  <w:r>
                    <w:rPr>
                      <w:b/>
                      <w:bCs/>
                      <w:sz w:val="23"/>
                      <w:szCs w:val="23"/>
                    </w:rPr>
                    <w:t>长度(m)</w:t>
                  </w:r>
                </w:p>
              </w:tc>
              <w:tc>
                <w:tcPr>
                  <w:tcW w:w="845" w:type="dxa"/>
                  <w:vAlign w:val="center"/>
                </w:tcPr>
                <w:p>
                  <w:pPr>
                    <w:spacing w:line="240" w:lineRule="auto"/>
                    <w:ind w:firstLine="0" w:firstLineChars="0"/>
                    <w:jc w:val="center"/>
                    <w:rPr>
                      <w:b/>
                      <w:bCs/>
                    </w:rPr>
                  </w:pPr>
                  <w:r>
                    <w:rPr>
                      <w:b/>
                      <w:bCs/>
                      <w:sz w:val="23"/>
                      <w:szCs w:val="23"/>
                    </w:rPr>
                    <w:t>宽度(m)</w:t>
                  </w:r>
                </w:p>
              </w:tc>
              <w:tc>
                <w:tcPr>
                  <w:tcW w:w="964" w:type="dxa"/>
                  <w:vAlign w:val="center"/>
                </w:tcPr>
                <w:p>
                  <w:pPr>
                    <w:spacing w:line="240" w:lineRule="auto"/>
                    <w:ind w:firstLine="0" w:firstLineChars="0"/>
                    <w:jc w:val="center"/>
                    <w:rPr>
                      <w:b/>
                      <w:bCs/>
                    </w:rPr>
                  </w:pPr>
                  <w:r>
                    <w:rPr>
                      <w:b/>
                      <w:bCs/>
                      <w:sz w:val="23"/>
                      <w:szCs w:val="23"/>
                    </w:rPr>
                    <w:t>有效高度(m)</w:t>
                  </w:r>
                </w:p>
              </w:tc>
              <w:tc>
                <w:tcPr>
                  <w:tcW w:w="1071" w:type="dxa"/>
                  <w:vAlign w:val="center"/>
                </w:tcPr>
                <w:p>
                  <w:pPr>
                    <w:spacing w:line="240" w:lineRule="auto"/>
                    <w:ind w:firstLine="0" w:firstLineChars="0"/>
                    <w:jc w:val="center"/>
                    <w:rPr>
                      <w:b/>
                      <w:bCs/>
                    </w:rPr>
                  </w:pPr>
                  <w:r>
                    <w:rPr>
                      <w:b/>
                      <w:bCs/>
                      <w:sz w:val="23"/>
                      <w:szCs w:val="23"/>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1" w:hRule="atLeast"/>
              </w:trPr>
              <w:tc>
                <w:tcPr>
                  <w:tcW w:w="853" w:type="dxa"/>
                  <w:vAlign w:val="center"/>
                </w:tcPr>
                <w:p>
                  <w:pPr>
                    <w:spacing w:line="240" w:lineRule="auto"/>
                    <w:ind w:firstLine="0" w:firstLineChars="0"/>
                    <w:jc w:val="center"/>
                  </w:pPr>
                  <w:r>
                    <w:rPr>
                      <w:rFonts w:hint="eastAsia"/>
                    </w:rPr>
                    <w:t>项目区</w:t>
                  </w:r>
                </w:p>
              </w:tc>
              <w:tc>
                <w:tcPr>
                  <w:tcW w:w="1425" w:type="dxa"/>
                  <w:vAlign w:val="center"/>
                </w:tcPr>
                <w:p>
                  <w:pPr>
                    <w:spacing w:line="240" w:lineRule="auto"/>
                    <w:ind w:firstLine="0" w:firstLineChars="0"/>
                    <w:jc w:val="center"/>
                    <w:rPr>
                      <w:sz w:val="21"/>
                      <w:szCs w:val="21"/>
                    </w:rPr>
                  </w:pPr>
                  <w:r>
                    <w:rPr>
                      <w:rFonts w:hint="eastAsia"/>
                      <w:sz w:val="21"/>
                      <w:szCs w:val="21"/>
                    </w:rPr>
                    <w:t>103.2190511</w:t>
                  </w:r>
                </w:p>
              </w:tc>
              <w:tc>
                <w:tcPr>
                  <w:tcW w:w="1395" w:type="dxa"/>
                  <w:vAlign w:val="center"/>
                </w:tcPr>
                <w:p>
                  <w:pPr>
                    <w:spacing w:line="240" w:lineRule="auto"/>
                    <w:ind w:firstLine="0" w:firstLineChars="0"/>
                    <w:jc w:val="center"/>
                    <w:rPr>
                      <w:sz w:val="21"/>
                      <w:szCs w:val="21"/>
                    </w:rPr>
                  </w:pPr>
                  <w:r>
                    <w:rPr>
                      <w:rFonts w:hint="eastAsia"/>
                      <w:sz w:val="21"/>
                      <w:szCs w:val="21"/>
                    </w:rPr>
                    <w:t>24.8552617</w:t>
                  </w:r>
                </w:p>
              </w:tc>
              <w:tc>
                <w:tcPr>
                  <w:tcW w:w="874" w:type="dxa"/>
                  <w:vAlign w:val="center"/>
                </w:tcPr>
                <w:p>
                  <w:pPr>
                    <w:spacing w:line="240" w:lineRule="auto"/>
                    <w:ind w:firstLine="0" w:firstLineChars="0"/>
                    <w:jc w:val="center"/>
                    <w:rPr>
                      <w:sz w:val="21"/>
                      <w:szCs w:val="21"/>
                    </w:rPr>
                  </w:pPr>
                  <w:r>
                    <w:rPr>
                      <w:rFonts w:hint="eastAsia"/>
                      <w:sz w:val="21"/>
                      <w:szCs w:val="21"/>
                    </w:rPr>
                    <w:t>2001</w:t>
                  </w:r>
                </w:p>
              </w:tc>
              <w:tc>
                <w:tcPr>
                  <w:tcW w:w="930" w:type="dxa"/>
                  <w:vAlign w:val="center"/>
                </w:tcPr>
                <w:p>
                  <w:pPr>
                    <w:spacing w:line="240" w:lineRule="auto"/>
                    <w:ind w:firstLine="0" w:firstLineChars="0"/>
                    <w:jc w:val="center"/>
                  </w:pPr>
                  <w:r>
                    <w:rPr>
                      <w:rFonts w:hint="eastAsia"/>
                    </w:rPr>
                    <w:t>35</w:t>
                  </w:r>
                </w:p>
              </w:tc>
              <w:tc>
                <w:tcPr>
                  <w:tcW w:w="845" w:type="dxa"/>
                  <w:vAlign w:val="center"/>
                </w:tcPr>
                <w:p>
                  <w:pPr>
                    <w:spacing w:line="240" w:lineRule="auto"/>
                    <w:ind w:firstLine="0" w:firstLineChars="0"/>
                    <w:jc w:val="center"/>
                  </w:pPr>
                  <w:r>
                    <w:rPr>
                      <w:rFonts w:hint="eastAsia"/>
                      <w:sz w:val="23"/>
                      <w:szCs w:val="23"/>
                    </w:rPr>
                    <w:t>30</w:t>
                  </w:r>
                </w:p>
              </w:tc>
              <w:tc>
                <w:tcPr>
                  <w:tcW w:w="964" w:type="dxa"/>
                  <w:vAlign w:val="center"/>
                </w:tcPr>
                <w:p>
                  <w:pPr>
                    <w:spacing w:line="240" w:lineRule="auto"/>
                    <w:ind w:firstLine="0" w:firstLineChars="0"/>
                    <w:jc w:val="center"/>
                  </w:pPr>
                  <w:r>
                    <w:rPr>
                      <w:rFonts w:hint="eastAsia"/>
                      <w:sz w:val="23"/>
                      <w:szCs w:val="23"/>
                    </w:rPr>
                    <w:t>10.</w:t>
                  </w:r>
                  <w:r>
                    <w:rPr>
                      <w:sz w:val="23"/>
                      <w:szCs w:val="23"/>
                    </w:rPr>
                    <w:t>00</w:t>
                  </w:r>
                </w:p>
              </w:tc>
              <w:tc>
                <w:tcPr>
                  <w:tcW w:w="1071" w:type="dxa"/>
                  <w:vAlign w:val="center"/>
                </w:tcPr>
                <w:p>
                  <w:pPr>
                    <w:spacing w:line="240" w:lineRule="auto"/>
                    <w:ind w:firstLine="0" w:firstLineChars="0"/>
                    <w:jc w:val="center"/>
                    <w:rPr>
                      <w:rFonts w:hint="default" w:eastAsia="宋体"/>
                      <w:lang w:val="en-US" w:eastAsia="zh-CN"/>
                    </w:rPr>
                  </w:pPr>
                  <w:r>
                    <w:rPr>
                      <w:rFonts w:hint="eastAsia"/>
                    </w:rPr>
                    <w:t>0.0</w:t>
                  </w:r>
                  <w:r>
                    <w:rPr>
                      <w:rFonts w:hint="eastAsia"/>
                      <w:lang w:val="en-US" w:eastAsia="zh-CN"/>
                    </w:rPr>
                    <w:t>338</w:t>
                  </w:r>
                </w:p>
              </w:tc>
            </w:tr>
          </w:tbl>
          <w:p>
            <w:pPr>
              <w:spacing w:line="480" w:lineRule="exact"/>
              <w:ind w:firstLine="0" w:firstLineChars="0"/>
              <w:rPr>
                <w:rFonts w:ascii="宋体" w:hAnsi="宋体" w:cs="宋体"/>
                <w:b/>
                <w:bCs/>
              </w:rPr>
            </w:pPr>
          </w:p>
          <w:p>
            <w:pPr>
              <w:spacing w:line="480" w:lineRule="exact"/>
              <w:ind w:firstLine="482"/>
              <w:jc w:val="center"/>
              <w:rPr>
                <w:rFonts w:hint="eastAsia" w:ascii="宋体" w:hAnsi="宋体" w:cs="宋体"/>
                <w:b/>
                <w:bCs/>
              </w:rPr>
            </w:pPr>
          </w:p>
          <w:p>
            <w:pPr>
              <w:spacing w:line="480" w:lineRule="exact"/>
              <w:ind w:firstLine="482"/>
              <w:jc w:val="center"/>
              <w:rPr>
                <w:rFonts w:hint="eastAsia" w:ascii="宋体" w:hAnsi="宋体" w:cs="宋体"/>
                <w:b/>
                <w:bCs/>
              </w:rPr>
            </w:pPr>
          </w:p>
          <w:p>
            <w:pPr>
              <w:spacing w:line="480" w:lineRule="exact"/>
              <w:ind w:firstLine="482"/>
              <w:jc w:val="center"/>
              <w:rPr>
                <w:b/>
                <w:bCs/>
              </w:rPr>
            </w:pPr>
            <w:r>
              <w:rPr>
                <w:rFonts w:hint="eastAsia" w:ascii="宋体" w:hAnsi="宋体" w:cs="宋体"/>
                <w:b/>
                <w:bCs/>
              </w:rPr>
              <w:t>表</w:t>
            </w:r>
            <w:r>
              <w:rPr>
                <w:b/>
                <w:bCs/>
              </w:rPr>
              <w:t>7-</w:t>
            </w:r>
            <w:r>
              <w:rPr>
                <w:rFonts w:hint="eastAsia"/>
                <w:b/>
                <w:bCs/>
                <w:lang w:val="en-US" w:eastAsia="zh-CN"/>
              </w:rPr>
              <w:t>4</w:t>
            </w:r>
            <w:r>
              <w:rPr>
                <w:rFonts w:hint="eastAsia"/>
                <w:b/>
                <w:bCs/>
              </w:rPr>
              <w:t xml:space="preserve"> </w:t>
            </w:r>
            <w:r>
              <w:rPr>
                <w:rFonts w:hint="eastAsia" w:ascii="宋体" w:hAnsi="宋体" w:cs="宋体"/>
                <w:b/>
                <w:bCs/>
              </w:rPr>
              <w:t>有组织</w:t>
            </w:r>
            <w:r>
              <w:rPr>
                <w:rFonts w:ascii="宋体" w:hAnsi="宋体" w:cs="宋体"/>
                <w:b/>
                <w:bCs/>
              </w:rPr>
              <w:t>废气污染源参数一览表(</w:t>
            </w:r>
            <w:r>
              <w:rPr>
                <w:rFonts w:hint="eastAsia" w:ascii="宋体" w:hAnsi="宋体" w:cs="宋体"/>
                <w:b/>
                <w:bCs/>
              </w:rPr>
              <w:t>点源</w:t>
            </w:r>
            <w:r>
              <w:rPr>
                <w:rFonts w:ascii="宋体" w:hAnsi="宋体" w:cs="宋体"/>
                <w:b/>
                <w:bCs/>
              </w:rPr>
              <w:t xml:space="preserve">) </w:t>
            </w:r>
          </w:p>
          <w:tbl>
            <w:tblPr>
              <w:tblStyle w:val="22"/>
              <w:tblW w:w="82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1"/>
              <w:gridCol w:w="1319"/>
              <w:gridCol w:w="1214"/>
              <w:gridCol w:w="838"/>
              <w:gridCol w:w="789"/>
              <w:gridCol w:w="674"/>
              <w:gridCol w:w="789"/>
              <w:gridCol w:w="788"/>
              <w:gridCol w:w="9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3" w:hRule="atLeast"/>
              </w:trPr>
              <w:tc>
                <w:tcPr>
                  <w:tcW w:w="913" w:type="dxa"/>
                  <w:vMerge w:val="restart"/>
                  <w:vAlign w:val="center"/>
                </w:tcPr>
                <w:p>
                  <w:pPr>
                    <w:spacing w:line="240" w:lineRule="auto"/>
                    <w:ind w:firstLine="0" w:firstLineChars="0"/>
                    <w:jc w:val="center"/>
                    <w:rPr>
                      <w:b/>
                      <w:bCs/>
                      <w:sz w:val="21"/>
                      <w:szCs w:val="21"/>
                    </w:rPr>
                  </w:pPr>
                  <w:r>
                    <w:rPr>
                      <w:b/>
                      <w:bCs/>
                      <w:sz w:val="21"/>
                      <w:szCs w:val="21"/>
                    </w:rPr>
                    <w:t>污染源名称</w:t>
                  </w:r>
                </w:p>
              </w:tc>
              <w:tc>
                <w:tcPr>
                  <w:tcW w:w="2385" w:type="dxa"/>
                  <w:gridSpan w:val="2"/>
                  <w:vAlign w:val="center"/>
                </w:tcPr>
                <w:p>
                  <w:pPr>
                    <w:spacing w:line="240" w:lineRule="auto"/>
                    <w:ind w:firstLine="0" w:firstLineChars="0"/>
                    <w:jc w:val="center"/>
                    <w:rPr>
                      <w:b/>
                      <w:bCs/>
                      <w:sz w:val="21"/>
                      <w:szCs w:val="21"/>
                    </w:rPr>
                  </w:pPr>
                  <w:r>
                    <w:rPr>
                      <w:b/>
                      <w:bCs/>
                      <w:sz w:val="21"/>
                      <w:szCs w:val="21"/>
                    </w:rPr>
                    <w:t>排气筒底部中心坐标(°)</w:t>
                  </w:r>
                </w:p>
              </w:tc>
              <w:tc>
                <w:tcPr>
                  <w:tcW w:w="876" w:type="dxa"/>
                  <w:vMerge w:val="restart"/>
                  <w:vAlign w:val="center"/>
                </w:tcPr>
                <w:p>
                  <w:pPr>
                    <w:spacing w:line="240" w:lineRule="auto"/>
                    <w:ind w:firstLine="0" w:firstLineChars="0"/>
                    <w:jc w:val="center"/>
                    <w:rPr>
                      <w:b/>
                      <w:bCs/>
                      <w:sz w:val="21"/>
                      <w:szCs w:val="21"/>
                    </w:rPr>
                  </w:pPr>
                  <w:r>
                    <w:rPr>
                      <w:b/>
                      <w:bCs/>
                      <w:sz w:val="21"/>
                      <w:szCs w:val="21"/>
                    </w:rPr>
                    <w:t>排气筒底部海拔高度(m)</w:t>
                  </w:r>
                </w:p>
              </w:tc>
              <w:tc>
                <w:tcPr>
                  <w:tcW w:w="3117" w:type="dxa"/>
                  <w:gridSpan w:val="4"/>
                  <w:vAlign w:val="center"/>
                </w:tcPr>
                <w:p>
                  <w:pPr>
                    <w:spacing w:line="240" w:lineRule="auto"/>
                    <w:ind w:firstLine="0" w:firstLineChars="0"/>
                    <w:jc w:val="center"/>
                    <w:rPr>
                      <w:b/>
                      <w:bCs/>
                      <w:sz w:val="21"/>
                      <w:szCs w:val="21"/>
                    </w:rPr>
                  </w:pPr>
                  <w:r>
                    <w:rPr>
                      <w:b/>
                      <w:bCs/>
                      <w:sz w:val="21"/>
                      <w:szCs w:val="21"/>
                    </w:rPr>
                    <w:t>排气筒参数</w:t>
                  </w:r>
                </w:p>
              </w:tc>
              <w:tc>
                <w:tcPr>
                  <w:tcW w:w="927" w:type="dxa"/>
                  <w:vAlign w:val="center"/>
                </w:tcPr>
                <w:p>
                  <w:pPr>
                    <w:spacing w:line="240" w:lineRule="auto"/>
                    <w:ind w:firstLine="0" w:firstLineChars="0"/>
                    <w:jc w:val="center"/>
                    <w:rPr>
                      <w:b/>
                      <w:bCs/>
                      <w:sz w:val="21"/>
                      <w:szCs w:val="21"/>
                    </w:rPr>
                  </w:pPr>
                  <w:r>
                    <w:rPr>
                      <w:b/>
                      <w:bCs/>
                      <w:sz w:val="21"/>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5" w:hRule="atLeast"/>
              </w:trPr>
              <w:tc>
                <w:tcPr>
                  <w:tcW w:w="913" w:type="dxa"/>
                  <w:vMerge w:val="continue"/>
                  <w:vAlign w:val="center"/>
                </w:tcPr>
                <w:p>
                  <w:pPr>
                    <w:spacing w:line="240" w:lineRule="auto"/>
                    <w:ind w:firstLine="0" w:firstLineChars="0"/>
                    <w:jc w:val="center"/>
                    <w:rPr>
                      <w:b/>
                      <w:bCs/>
                      <w:sz w:val="21"/>
                      <w:szCs w:val="21"/>
                    </w:rPr>
                  </w:pPr>
                </w:p>
              </w:tc>
              <w:tc>
                <w:tcPr>
                  <w:tcW w:w="1260" w:type="dxa"/>
                  <w:vAlign w:val="center"/>
                </w:tcPr>
                <w:p>
                  <w:pPr>
                    <w:spacing w:line="240" w:lineRule="auto"/>
                    <w:ind w:firstLine="0" w:firstLineChars="0"/>
                    <w:jc w:val="center"/>
                    <w:rPr>
                      <w:b/>
                      <w:bCs/>
                      <w:sz w:val="21"/>
                      <w:szCs w:val="21"/>
                    </w:rPr>
                  </w:pPr>
                  <w:r>
                    <w:rPr>
                      <w:b/>
                      <w:bCs/>
                      <w:sz w:val="21"/>
                      <w:szCs w:val="21"/>
                    </w:rPr>
                    <w:t>经度</w:t>
                  </w:r>
                </w:p>
              </w:tc>
              <w:tc>
                <w:tcPr>
                  <w:tcW w:w="1125" w:type="dxa"/>
                  <w:vAlign w:val="center"/>
                </w:tcPr>
                <w:p>
                  <w:pPr>
                    <w:spacing w:line="240" w:lineRule="auto"/>
                    <w:ind w:firstLine="0" w:firstLineChars="0"/>
                    <w:jc w:val="center"/>
                    <w:rPr>
                      <w:b/>
                      <w:bCs/>
                      <w:sz w:val="21"/>
                      <w:szCs w:val="21"/>
                    </w:rPr>
                  </w:pPr>
                  <w:r>
                    <w:rPr>
                      <w:b/>
                      <w:bCs/>
                      <w:sz w:val="21"/>
                      <w:szCs w:val="21"/>
                    </w:rPr>
                    <w:t>纬度</w:t>
                  </w:r>
                </w:p>
              </w:tc>
              <w:tc>
                <w:tcPr>
                  <w:tcW w:w="876" w:type="dxa"/>
                  <w:vMerge w:val="continue"/>
                  <w:vAlign w:val="center"/>
                </w:tcPr>
                <w:p>
                  <w:pPr>
                    <w:spacing w:line="240" w:lineRule="auto"/>
                    <w:ind w:firstLine="0" w:firstLineChars="0"/>
                    <w:jc w:val="center"/>
                    <w:rPr>
                      <w:b/>
                      <w:bCs/>
                      <w:sz w:val="21"/>
                      <w:szCs w:val="21"/>
                    </w:rPr>
                  </w:pPr>
                </w:p>
              </w:tc>
              <w:tc>
                <w:tcPr>
                  <w:tcW w:w="808" w:type="dxa"/>
                  <w:vAlign w:val="center"/>
                </w:tcPr>
                <w:p>
                  <w:pPr>
                    <w:spacing w:line="240" w:lineRule="auto"/>
                    <w:ind w:firstLine="0" w:firstLineChars="0"/>
                    <w:jc w:val="center"/>
                    <w:rPr>
                      <w:b/>
                      <w:bCs/>
                      <w:sz w:val="21"/>
                      <w:szCs w:val="21"/>
                    </w:rPr>
                  </w:pPr>
                  <w:r>
                    <w:rPr>
                      <w:b/>
                      <w:bCs/>
                      <w:sz w:val="21"/>
                      <w:szCs w:val="21"/>
                    </w:rPr>
                    <w:t>高度(m)</w:t>
                  </w:r>
                </w:p>
              </w:tc>
              <w:tc>
                <w:tcPr>
                  <w:tcW w:w="691" w:type="dxa"/>
                  <w:vAlign w:val="center"/>
                </w:tcPr>
                <w:p>
                  <w:pPr>
                    <w:spacing w:line="240" w:lineRule="auto"/>
                    <w:ind w:firstLine="0" w:firstLineChars="0"/>
                    <w:jc w:val="center"/>
                    <w:rPr>
                      <w:b/>
                      <w:bCs/>
                      <w:sz w:val="21"/>
                      <w:szCs w:val="21"/>
                    </w:rPr>
                  </w:pPr>
                  <w:r>
                    <w:rPr>
                      <w:b/>
                      <w:bCs/>
                      <w:sz w:val="21"/>
                      <w:szCs w:val="21"/>
                    </w:rPr>
                    <w:t>内径(m)</w:t>
                  </w:r>
                </w:p>
              </w:tc>
              <w:tc>
                <w:tcPr>
                  <w:tcW w:w="808" w:type="dxa"/>
                  <w:vAlign w:val="center"/>
                </w:tcPr>
                <w:p>
                  <w:pPr>
                    <w:spacing w:line="240" w:lineRule="auto"/>
                    <w:ind w:firstLine="0" w:firstLineChars="0"/>
                    <w:jc w:val="center"/>
                    <w:rPr>
                      <w:b/>
                      <w:bCs/>
                      <w:sz w:val="21"/>
                      <w:szCs w:val="21"/>
                    </w:rPr>
                  </w:pPr>
                  <w:r>
                    <w:rPr>
                      <w:b/>
                      <w:bCs/>
                      <w:sz w:val="21"/>
                      <w:szCs w:val="21"/>
                    </w:rPr>
                    <w:t>温度(℃)</w:t>
                  </w:r>
                </w:p>
              </w:tc>
              <w:tc>
                <w:tcPr>
                  <w:tcW w:w="810" w:type="dxa"/>
                  <w:vAlign w:val="center"/>
                </w:tcPr>
                <w:p>
                  <w:pPr>
                    <w:spacing w:line="240" w:lineRule="auto"/>
                    <w:ind w:firstLine="0" w:firstLineChars="0"/>
                    <w:jc w:val="center"/>
                    <w:rPr>
                      <w:b/>
                      <w:bCs/>
                      <w:sz w:val="21"/>
                      <w:szCs w:val="21"/>
                    </w:rPr>
                  </w:pPr>
                  <w:r>
                    <w:rPr>
                      <w:b/>
                      <w:bCs/>
                      <w:sz w:val="21"/>
                      <w:szCs w:val="21"/>
                    </w:rPr>
                    <w:t>流速(m/s)</w:t>
                  </w:r>
                </w:p>
              </w:tc>
              <w:tc>
                <w:tcPr>
                  <w:tcW w:w="927" w:type="dxa"/>
                  <w:vAlign w:val="center"/>
                </w:tcPr>
                <w:p>
                  <w:pPr>
                    <w:spacing w:line="240" w:lineRule="auto"/>
                    <w:ind w:firstLine="0" w:firstLineChars="0"/>
                    <w:jc w:val="center"/>
                    <w:rPr>
                      <w:b/>
                      <w:bCs/>
                      <w:sz w:val="21"/>
                      <w:szCs w:val="21"/>
                    </w:rPr>
                  </w:pPr>
                  <w:r>
                    <w:rPr>
                      <w:b/>
                      <w:bCs/>
                      <w:sz w:val="21"/>
                      <w:szCs w:val="21"/>
                    </w:rPr>
                    <w:t>PM10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0" w:hRule="atLeast"/>
              </w:trPr>
              <w:tc>
                <w:tcPr>
                  <w:tcW w:w="913"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排气筒</w:t>
                  </w:r>
                  <w:r>
                    <w:rPr>
                      <w:rFonts w:hint="eastAsia"/>
                      <w:sz w:val="21"/>
                      <w:szCs w:val="21"/>
                      <w:lang w:val="en-US" w:eastAsia="zh-CN"/>
                    </w:rPr>
                    <w:t>DA001</w:t>
                  </w:r>
                </w:p>
              </w:tc>
              <w:tc>
                <w:tcPr>
                  <w:tcW w:w="1260" w:type="dxa"/>
                  <w:vAlign w:val="center"/>
                </w:tcPr>
                <w:p>
                  <w:pPr>
                    <w:spacing w:line="240" w:lineRule="auto"/>
                    <w:ind w:firstLine="0" w:firstLineChars="0"/>
                    <w:jc w:val="center"/>
                    <w:rPr>
                      <w:sz w:val="21"/>
                      <w:szCs w:val="21"/>
                    </w:rPr>
                  </w:pPr>
                  <w:r>
                    <w:rPr>
                      <w:sz w:val="21"/>
                      <w:szCs w:val="21"/>
                    </w:rPr>
                    <w:t>103.2192187</w:t>
                  </w:r>
                </w:p>
              </w:tc>
              <w:tc>
                <w:tcPr>
                  <w:tcW w:w="1125" w:type="dxa"/>
                  <w:vAlign w:val="center"/>
                </w:tcPr>
                <w:p>
                  <w:pPr>
                    <w:spacing w:line="240" w:lineRule="auto"/>
                    <w:ind w:firstLine="0" w:firstLineChars="0"/>
                    <w:jc w:val="center"/>
                    <w:rPr>
                      <w:sz w:val="21"/>
                      <w:szCs w:val="21"/>
                    </w:rPr>
                  </w:pPr>
                  <w:r>
                    <w:rPr>
                      <w:sz w:val="21"/>
                      <w:szCs w:val="21"/>
                    </w:rPr>
                    <w:t>24.8551558</w:t>
                  </w:r>
                </w:p>
              </w:tc>
              <w:tc>
                <w:tcPr>
                  <w:tcW w:w="876" w:type="dxa"/>
                  <w:vAlign w:val="center"/>
                </w:tcPr>
                <w:p>
                  <w:pPr>
                    <w:spacing w:line="240" w:lineRule="auto"/>
                    <w:ind w:firstLine="0" w:firstLineChars="0"/>
                    <w:jc w:val="center"/>
                    <w:rPr>
                      <w:sz w:val="21"/>
                      <w:szCs w:val="21"/>
                    </w:rPr>
                  </w:pPr>
                  <w:r>
                    <w:rPr>
                      <w:rFonts w:hint="eastAsia"/>
                      <w:sz w:val="21"/>
                      <w:szCs w:val="21"/>
                    </w:rPr>
                    <w:t>2002</w:t>
                  </w:r>
                </w:p>
              </w:tc>
              <w:tc>
                <w:tcPr>
                  <w:tcW w:w="808" w:type="dxa"/>
                  <w:vAlign w:val="center"/>
                </w:tcPr>
                <w:p>
                  <w:pPr>
                    <w:spacing w:line="240" w:lineRule="auto"/>
                    <w:ind w:firstLine="0" w:firstLineChars="0"/>
                    <w:jc w:val="center"/>
                    <w:rPr>
                      <w:sz w:val="21"/>
                      <w:szCs w:val="21"/>
                    </w:rPr>
                  </w:pPr>
                  <w:r>
                    <w:rPr>
                      <w:rFonts w:hint="eastAsia"/>
                      <w:sz w:val="21"/>
                      <w:szCs w:val="21"/>
                    </w:rPr>
                    <w:t>15</w:t>
                  </w:r>
                  <w:r>
                    <w:rPr>
                      <w:sz w:val="21"/>
                      <w:szCs w:val="21"/>
                    </w:rPr>
                    <w:t>.00</w:t>
                  </w:r>
                </w:p>
              </w:tc>
              <w:tc>
                <w:tcPr>
                  <w:tcW w:w="691" w:type="dxa"/>
                  <w:vAlign w:val="center"/>
                </w:tcPr>
                <w:p>
                  <w:pPr>
                    <w:spacing w:line="240" w:lineRule="auto"/>
                    <w:ind w:firstLine="0" w:firstLineChars="0"/>
                    <w:jc w:val="center"/>
                    <w:rPr>
                      <w:sz w:val="21"/>
                      <w:szCs w:val="21"/>
                    </w:rPr>
                  </w:pPr>
                  <w:r>
                    <w:rPr>
                      <w:sz w:val="21"/>
                      <w:szCs w:val="21"/>
                    </w:rPr>
                    <w:t>0.50</w:t>
                  </w:r>
                </w:p>
              </w:tc>
              <w:tc>
                <w:tcPr>
                  <w:tcW w:w="808" w:type="dxa"/>
                  <w:vAlign w:val="center"/>
                </w:tcPr>
                <w:p>
                  <w:pPr>
                    <w:spacing w:line="240" w:lineRule="auto"/>
                    <w:ind w:firstLine="0" w:firstLineChars="0"/>
                    <w:jc w:val="center"/>
                    <w:rPr>
                      <w:sz w:val="21"/>
                      <w:szCs w:val="21"/>
                    </w:rPr>
                  </w:pPr>
                  <w:r>
                    <w:rPr>
                      <w:sz w:val="21"/>
                      <w:szCs w:val="21"/>
                    </w:rPr>
                    <w:t>25.00</w:t>
                  </w:r>
                </w:p>
              </w:tc>
              <w:tc>
                <w:tcPr>
                  <w:tcW w:w="810" w:type="dxa"/>
                  <w:vAlign w:val="center"/>
                </w:tcPr>
                <w:p>
                  <w:pPr>
                    <w:spacing w:line="240" w:lineRule="auto"/>
                    <w:ind w:firstLine="0" w:firstLineChars="0"/>
                    <w:jc w:val="center"/>
                    <w:rPr>
                      <w:sz w:val="21"/>
                      <w:szCs w:val="21"/>
                    </w:rPr>
                  </w:pPr>
                  <w:r>
                    <w:rPr>
                      <w:rFonts w:hint="eastAsia"/>
                      <w:sz w:val="21"/>
                      <w:szCs w:val="21"/>
                    </w:rPr>
                    <w:t>8.49</w:t>
                  </w:r>
                </w:p>
              </w:tc>
              <w:tc>
                <w:tcPr>
                  <w:tcW w:w="927"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0.0</w:t>
                  </w:r>
                  <w:r>
                    <w:rPr>
                      <w:rFonts w:hint="eastAsia"/>
                      <w:sz w:val="21"/>
                      <w:szCs w:val="21"/>
                      <w:lang w:val="en-US" w:eastAsia="zh-CN"/>
                    </w:rPr>
                    <w:t>032</w:t>
                  </w:r>
                </w:p>
              </w:tc>
            </w:tr>
          </w:tbl>
          <w:p>
            <w:pPr>
              <w:adjustRightInd w:val="0"/>
              <w:snapToGrid w:val="0"/>
              <w:spacing w:before="156" w:beforeLines="50"/>
              <w:ind w:firstLine="482"/>
              <w:rPr>
                <w:b/>
                <w:color w:val="000000" w:themeColor="text1"/>
              </w:rPr>
            </w:pPr>
            <w:r>
              <w:rPr>
                <w:rFonts w:hint="eastAsia" w:ascii="宋体" w:hAnsi="宋体"/>
                <w:b/>
                <w:color w:val="000000" w:themeColor="text1"/>
              </w:rPr>
              <w:t>◆环境空气评价等级</w:t>
            </w:r>
          </w:p>
          <w:p>
            <w:pPr>
              <w:snapToGrid w:val="0"/>
              <w:ind w:firstLine="482"/>
              <w:rPr>
                <w:b/>
                <w:color w:val="000000" w:themeColor="text1"/>
              </w:rPr>
            </w:pPr>
            <w:r>
              <w:rPr>
                <w:rFonts w:hint="eastAsia" w:ascii="宋体" w:hAnsi="宋体" w:cs="宋体"/>
                <w:b/>
                <w:color w:val="000000" w:themeColor="text1"/>
              </w:rPr>
              <w:t>a、</w:t>
            </w:r>
            <w:r>
              <w:rPr>
                <w:b/>
                <w:color w:val="000000" w:themeColor="text1"/>
              </w:rPr>
              <w:t>评价等级判定</w:t>
            </w:r>
          </w:p>
          <w:p>
            <w:pPr>
              <w:snapToGrid w:val="0"/>
              <w:ind w:firstLine="480"/>
              <w:rPr>
                <w:color w:val="000000" w:themeColor="text1"/>
              </w:rPr>
            </w:pPr>
            <w:r>
              <w:rPr>
                <w:color w:val="000000" w:themeColor="text1"/>
              </w:rPr>
              <w:t>根据《环境影响评价技术导则 大气环境》（HJ2.2-2018），选择项目污染源正常排放的主要污染物及排放参数，采用附录A推荐模型中估算模型分別计算项目污染源的最大环境影响，然后按评价工作分级判据进行分级。</w:t>
            </w:r>
          </w:p>
          <w:p>
            <w:pPr>
              <w:snapToGrid w:val="0"/>
              <w:ind w:firstLine="480"/>
              <w:rPr>
                <w:color w:val="000000" w:themeColor="text1"/>
              </w:rPr>
            </w:pPr>
            <w:r>
              <w:rPr>
                <w:color w:val="000000" w:themeColor="text1"/>
              </w:rPr>
              <w:t>→评价工作分级方法</w:t>
            </w:r>
          </w:p>
          <w:p>
            <w:pPr>
              <w:snapToGrid w:val="0"/>
              <w:ind w:firstLine="480"/>
              <w:rPr>
                <w:color w:val="000000" w:themeColor="text1"/>
              </w:rPr>
            </w:pPr>
            <w:r>
              <w:rPr>
                <w:color w:val="000000" w:themeColor="text1"/>
              </w:rPr>
              <w:t>根据项目污染源初步调查结果，分别计算项目排放主要污染物的最大地面空气质量浓度占标率Pi（第i个污染物，简称“最大浓度占标率”），及第i个污染物的地面空气质量浓度达到标准值的10%时所对应的最远距离D10%。其中Pi定义见如下公式：</w:t>
            </w:r>
          </w:p>
          <w:p>
            <w:pPr>
              <w:pStyle w:val="34"/>
              <w:snapToGrid w:val="0"/>
              <w:spacing w:line="360" w:lineRule="auto"/>
              <w:ind w:firstLine="480"/>
              <w:rPr>
                <w:color w:val="000000" w:themeColor="text1"/>
              </w:rPr>
            </w:pPr>
            <m:oMathPara>
              <m:oMath>
                <m:sSub>
                  <m:sSubPr>
                    <m:ctrlPr>
                      <w:rPr>
                        <w:rFonts w:ascii="Cambria Math" w:hAnsi="Cambria Math"/>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i</m:t>
                    </m:r>
                    <m:ctrlPr>
                      <w:rPr>
                        <w:rFonts w:ascii="Cambria Math" w:hAnsi="Cambria Math"/>
                        <w:color w:val="000000" w:themeColor="text1"/>
                      </w:rPr>
                    </m:ctrlP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ctrlPr>
                          <w:rPr>
                            <w:rFonts w:ascii="Cambria Math" w:hAnsi="Cambria Math"/>
                            <w:i/>
                            <w:color w:val="000000" w:themeColor="text1"/>
                          </w:rPr>
                        </m:ctrlPr>
                      </m:e>
                      <m:sub>
                        <m:r>
                          <w:rPr>
                            <w:rFonts w:ascii="Cambria Math" w:hAnsi="Cambria Math"/>
                            <w:color w:val="000000" w:themeColor="text1"/>
                          </w:rPr>
                          <m:t>i</m:t>
                        </m:r>
                        <m:ctrlPr>
                          <w:rPr>
                            <w:rFonts w:ascii="Cambria Math" w:hAnsi="Cambria Math"/>
                            <w:i/>
                            <w:color w:val="000000" w:themeColor="text1"/>
                          </w:rPr>
                        </m:ctrlPr>
                      </m:sub>
                    </m:sSub>
                    <m:ctrlPr>
                      <w:rPr>
                        <w:rFonts w:ascii="Cambria Math" w:hAnsi="Cambria Math"/>
                        <w:i/>
                        <w:color w:val="000000" w:themeColor="text1"/>
                      </w:rPr>
                    </m:ctrlPr>
                  </m:num>
                  <m:den>
                    <m:sSub>
                      <m:sSubPr>
                        <m:ctrlPr>
                          <w:rPr>
                            <w:rFonts w:ascii="Cambria Math" w:hAnsi="Cambria Math"/>
                            <w:i/>
                            <w:color w:val="000000" w:themeColor="text1"/>
                          </w:rPr>
                        </m:ctrlPr>
                      </m:sSubPr>
                      <m:e>
                        <m:r>
                          <w:rPr>
                            <w:rFonts w:ascii="Cambria Math" w:hAnsi="Cambria Math"/>
                            <w:color w:val="000000" w:themeColor="text1"/>
                          </w:rPr>
                          <m:t>C</m:t>
                        </m:r>
                        <m:ctrlPr>
                          <w:rPr>
                            <w:rFonts w:ascii="Cambria Math" w:hAnsi="Cambria Math"/>
                            <w:i/>
                            <w:color w:val="000000" w:themeColor="text1"/>
                          </w:rPr>
                        </m:ctrlPr>
                      </m:e>
                      <m:sub>
                        <m:r>
                          <w:rPr>
                            <w:rFonts w:ascii="Cambria Math" w:hAnsi="Cambria Math"/>
                            <w:color w:val="000000" w:themeColor="text1"/>
                          </w:rPr>
                          <m:t>0i</m:t>
                        </m:r>
                        <m:ctrlPr>
                          <w:rPr>
                            <w:rFonts w:ascii="Cambria Math" w:hAnsi="Cambria Math"/>
                            <w:i/>
                            <w:color w:val="000000" w:themeColor="text1"/>
                          </w:rPr>
                        </m:ctrlPr>
                      </m:sub>
                    </m:sSub>
                    <m:ctrlPr>
                      <w:rPr>
                        <w:rFonts w:ascii="Cambria Math" w:hAnsi="Cambria Math"/>
                        <w:i/>
                        <w:color w:val="000000" w:themeColor="text1"/>
                      </w:rPr>
                    </m:ctrlPr>
                  </m:den>
                </m:f>
                <m:r>
                  <w:rPr>
                    <w:rFonts w:ascii="Cambria Math" w:hAnsi="Cambria Math"/>
                    <w:color w:val="000000" w:themeColor="text1"/>
                  </w:rPr>
                  <m:t>×100%</m:t>
                </m:r>
              </m:oMath>
            </m:oMathPara>
          </w:p>
          <w:p>
            <w:pPr>
              <w:pStyle w:val="35"/>
              <w:snapToGrid w:val="0"/>
              <w:ind w:firstLine="480"/>
              <w:rPr>
                <w:color w:val="000000" w:themeColor="text1"/>
              </w:rPr>
            </w:pPr>
            <w:r>
              <w:rPr>
                <w:color w:val="000000" w:themeColor="text1"/>
              </w:rPr>
              <w:t>式中：P</w:t>
            </w:r>
            <w:r>
              <w:rPr>
                <w:color w:val="000000" w:themeColor="text1"/>
                <w:vertAlign w:val="subscript"/>
              </w:rPr>
              <w:t>i</w:t>
            </w:r>
            <w:r>
              <w:rPr>
                <w:color w:val="000000" w:themeColor="text1"/>
              </w:rPr>
              <w:t>—第i个污染物的最大地面空气质量浓度占标率，%；</w:t>
            </w:r>
          </w:p>
          <w:p>
            <w:pPr>
              <w:pStyle w:val="35"/>
              <w:snapToGrid w:val="0"/>
              <w:ind w:firstLine="1200" w:firstLineChars="500"/>
              <w:rPr>
                <w:color w:val="000000" w:themeColor="text1"/>
              </w:rPr>
            </w:pPr>
            <w:r>
              <w:rPr>
                <w:color w:val="000000" w:themeColor="text1"/>
              </w:rPr>
              <w:t>C</w:t>
            </w:r>
            <w:r>
              <w:rPr>
                <w:color w:val="000000" w:themeColor="text1"/>
                <w:vertAlign w:val="subscript"/>
              </w:rPr>
              <w:t>i</w:t>
            </w:r>
            <w:r>
              <w:rPr>
                <w:color w:val="000000" w:themeColor="text1"/>
              </w:rPr>
              <w:t>—采用估算模型计算出的第i个污染物的最大1h地面空气质量浓度，μg/m</w:t>
            </w:r>
            <w:r>
              <w:rPr>
                <w:color w:val="000000" w:themeColor="text1"/>
                <w:vertAlign w:val="superscript"/>
              </w:rPr>
              <w:t>3</w:t>
            </w:r>
            <w:r>
              <w:rPr>
                <w:color w:val="000000" w:themeColor="text1"/>
              </w:rPr>
              <w:t>；</w:t>
            </w:r>
          </w:p>
          <w:p>
            <w:pPr>
              <w:pStyle w:val="35"/>
              <w:snapToGrid w:val="0"/>
              <w:ind w:firstLine="1200" w:firstLineChars="500"/>
              <w:rPr>
                <w:color w:val="000000" w:themeColor="text1"/>
              </w:rPr>
            </w:pPr>
            <w:r>
              <w:rPr>
                <w:color w:val="000000" w:themeColor="text1"/>
              </w:rPr>
              <w:t>C</w:t>
            </w:r>
            <w:r>
              <w:rPr>
                <w:color w:val="000000" w:themeColor="text1"/>
                <w:vertAlign w:val="subscript"/>
              </w:rPr>
              <w:t>0i</w:t>
            </w:r>
            <w:r>
              <w:rPr>
                <w:color w:val="000000" w:themeColor="text1"/>
              </w:rPr>
              <w:t>—第个污染物的环境空气质量浓度标准，μg/m</w:t>
            </w:r>
            <w:r>
              <w:rPr>
                <w:color w:val="000000" w:themeColor="text1"/>
                <w:vertAlign w:val="superscript"/>
              </w:rPr>
              <w:t>3</w:t>
            </w:r>
            <w:r>
              <w:rPr>
                <w:color w:val="000000" w:themeColor="text1"/>
              </w:rPr>
              <w:t>。一般选用GB3095中1h平均质量浓度的二级浓度限值，如项目位于一类环境空气功能区，应选择相应的一级浓度限值；对仅有8h平均质量浓度限值、日平均质量浓度限值或年平均质量浓度限值的，可分别按2倍、3倍、6倍折算为1h平均质量浓度限值。</w:t>
            </w:r>
          </w:p>
          <w:p>
            <w:pPr>
              <w:snapToGrid w:val="0"/>
              <w:ind w:firstLine="480"/>
              <w:rPr>
                <w:color w:val="000000" w:themeColor="text1"/>
              </w:rPr>
            </w:pPr>
            <w:r>
              <w:rPr>
                <w:color w:val="000000" w:themeColor="text1"/>
              </w:rPr>
              <w:t>→</w:t>
            </w:r>
            <w:r>
              <w:rPr>
                <w:rFonts w:hint="eastAsia"/>
                <w:color w:val="000000" w:themeColor="text1"/>
              </w:rPr>
              <w:t>分级依据</w:t>
            </w:r>
          </w:p>
          <w:p>
            <w:pPr>
              <w:pStyle w:val="35"/>
              <w:snapToGrid w:val="0"/>
              <w:ind w:firstLine="556" w:firstLineChars="232"/>
              <w:rPr>
                <w:color w:val="000000" w:themeColor="text1"/>
              </w:rPr>
            </w:pPr>
            <w:r>
              <w:rPr>
                <w:color w:val="000000" w:themeColor="text1"/>
              </w:rPr>
              <w:t>评价等级分级判据见下表</w:t>
            </w:r>
            <w:r>
              <w:rPr>
                <w:rFonts w:hint="eastAsia"/>
                <w:color w:val="000000" w:themeColor="text1"/>
              </w:rPr>
              <w:t>7-</w:t>
            </w:r>
            <w:r>
              <w:rPr>
                <w:rFonts w:hint="eastAsia"/>
                <w:color w:val="000000" w:themeColor="text1"/>
                <w:lang w:val="en-US" w:eastAsia="zh-CN"/>
              </w:rPr>
              <w:t>5</w:t>
            </w:r>
            <w:r>
              <w:rPr>
                <w:rFonts w:hint="eastAsia"/>
                <w:color w:val="000000" w:themeColor="text1"/>
              </w:rPr>
              <w:t>。</w:t>
            </w:r>
          </w:p>
          <w:p>
            <w:pPr>
              <w:ind w:left="0" w:leftChars="0" w:firstLine="0" w:firstLineChars="0"/>
              <w:jc w:val="both"/>
              <w:rPr>
                <w:b/>
                <w:bCs/>
                <w:color w:val="000000" w:themeColor="text1"/>
                <w:szCs w:val="21"/>
              </w:rPr>
            </w:pPr>
          </w:p>
          <w:p>
            <w:pPr>
              <w:pStyle w:val="27"/>
            </w:pPr>
          </w:p>
          <w:p>
            <w:pPr>
              <w:ind w:firstLine="482"/>
              <w:jc w:val="center"/>
              <w:rPr>
                <w:b/>
                <w:bCs/>
                <w:color w:val="000000" w:themeColor="text1"/>
                <w:szCs w:val="21"/>
              </w:rPr>
            </w:pPr>
            <w:r>
              <w:rPr>
                <w:b/>
                <w:bCs/>
                <w:color w:val="000000" w:themeColor="text1"/>
                <w:szCs w:val="21"/>
              </w:rPr>
              <w:t>表</w:t>
            </w:r>
            <w:r>
              <w:rPr>
                <w:rFonts w:hint="eastAsia"/>
                <w:b/>
                <w:bCs/>
                <w:color w:val="000000" w:themeColor="text1"/>
                <w:szCs w:val="21"/>
              </w:rPr>
              <w:t>7-</w:t>
            </w:r>
            <w:r>
              <w:rPr>
                <w:rFonts w:hint="eastAsia"/>
                <w:b/>
                <w:bCs/>
                <w:color w:val="000000" w:themeColor="text1"/>
                <w:szCs w:val="21"/>
                <w:lang w:val="en-US" w:eastAsia="zh-CN"/>
              </w:rPr>
              <w:t>5</w:t>
            </w:r>
            <w:r>
              <w:rPr>
                <w:rFonts w:hint="eastAsia"/>
                <w:b/>
                <w:bCs/>
                <w:color w:val="000000" w:themeColor="text1"/>
                <w:szCs w:val="21"/>
              </w:rPr>
              <w:t xml:space="preserve">  </w:t>
            </w:r>
            <w:r>
              <w:rPr>
                <w:b/>
                <w:bCs/>
                <w:color w:val="000000" w:themeColor="text1"/>
                <w:szCs w:val="21"/>
              </w:rPr>
              <w:t xml:space="preserve">  大气环境影响评价工作等级划分依据一览表</w:t>
            </w:r>
          </w:p>
          <w:tbl>
            <w:tblPr>
              <w:tblStyle w:val="2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467"/>
              <w:gridCol w:w="58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1486" w:type="pct"/>
                  <w:vAlign w:val="center"/>
                </w:tcPr>
                <w:p>
                  <w:pPr>
                    <w:ind w:firstLine="0" w:firstLineChars="0"/>
                    <w:jc w:val="center"/>
                    <w:rPr>
                      <w:b/>
                      <w:bCs/>
                      <w:color w:val="000000" w:themeColor="text1"/>
                      <w:sz w:val="21"/>
                      <w:szCs w:val="21"/>
                    </w:rPr>
                  </w:pPr>
                  <w:r>
                    <w:rPr>
                      <w:b/>
                      <w:bCs/>
                      <w:color w:val="000000" w:themeColor="text1"/>
                      <w:sz w:val="21"/>
                      <w:szCs w:val="21"/>
                    </w:rPr>
                    <w:t>评价工作等级</w:t>
                  </w:r>
                </w:p>
              </w:tc>
              <w:tc>
                <w:tcPr>
                  <w:tcW w:w="3514" w:type="pct"/>
                  <w:vAlign w:val="center"/>
                </w:tcPr>
                <w:p>
                  <w:pPr>
                    <w:ind w:firstLine="0" w:firstLineChars="0"/>
                    <w:jc w:val="center"/>
                    <w:rPr>
                      <w:b/>
                      <w:bCs/>
                      <w:color w:val="000000" w:themeColor="text1"/>
                      <w:sz w:val="21"/>
                      <w:szCs w:val="21"/>
                    </w:rPr>
                  </w:pPr>
                  <w:r>
                    <w:rPr>
                      <w:b/>
                      <w:bCs/>
                      <w:color w:val="000000" w:themeColor="text1"/>
                      <w:sz w:val="21"/>
                      <w:szCs w:val="21"/>
                    </w:rPr>
                    <w:t>评价工作分级依据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1486" w:type="pct"/>
                  <w:vAlign w:val="center"/>
                </w:tcPr>
                <w:p>
                  <w:pPr>
                    <w:ind w:firstLine="0" w:firstLineChars="0"/>
                    <w:jc w:val="center"/>
                    <w:rPr>
                      <w:color w:val="000000" w:themeColor="text1"/>
                      <w:sz w:val="21"/>
                      <w:szCs w:val="21"/>
                    </w:rPr>
                  </w:pPr>
                  <w:r>
                    <w:rPr>
                      <w:color w:val="000000" w:themeColor="text1"/>
                      <w:sz w:val="21"/>
                      <w:szCs w:val="21"/>
                    </w:rPr>
                    <w:t>一级</w:t>
                  </w:r>
                </w:p>
              </w:tc>
              <w:tc>
                <w:tcPr>
                  <w:tcW w:w="3514" w:type="pct"/>
                  <w:vAlign w:val="center"/>
                </w:tcPr>
                <w:p>
                  <w:pPr>
                    <w:ind w:firstLine="0" w:firstLineChars="0"/>
                    <w:jc w:val="center"/>
                    <w:rPr>
                      <w:color w:val="000000" w:themeColor="text1"/>
                      <w:sz w:val="21"/>
                      <w:szCs w:val="21"/>
                    </w:rPr>
                  </w:pPr>
                  <w:r>
                    <w:rPr>
                      <w:color w:val="000000" w:themeColor="text1"/>
                      <w:sz w:val="21"/>
                      <w:szCs w:val="21"/>
                    </w:rPr>
                    <w:t>Pmax≥10%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1486" w:type="pct"/>
                  <w:vAlign w:val="center"/>
                </w:tcPr>
                <w:p>
                  <w:pPr>
                    <w:ind w:firstLine="0" w:firstLineChars="0"/>
                    <w:jc w:val="center"/>
                    <w:rPr>
                      <w:color w:val="000000" w:themeColor="text1"/>
                      <w:sz w:val="21"/>
                      <w:szCs w:val="21"/>
                    </w:rPr>
                  </w:pPr>
                  <w:r>
                    <w:rPr>
                      <w:color w:val="000000" w:themeColor="text1"/>
                      <w:sz w:val="21"/>
                      <w:szCs w:val="21"/>
                    </w:rPr>
                    <w:t>二级</w:t>
                  </w:r>
                </w:p>
              </w:tc>
              <w:tc>
                <w:tcPr>
                  <w:tcW w:w="3514" w:type="pct"/>
                  <w:vAlign w:val="center"/>
                </w:tcPr>
                <w:p>
                  <w:pPr>
                    <w:ind w:firstLine="0" w:firstLineChars="0"/>
                    <w:jc w:val="center"/>
                    <w:rPr>
                      <w:color w:val="000000" w:themeColor="text1"/>
                      <w:sz w:val="21"/>
                      <w:szCs w:val="21"/>
                    </w:rPr>
                  </w:pPr>
                  <w:r>
                    <w:rPr>
                      <w:color w:val="000000" w:themeColor="text1"/>
                      <w:sz w:val="21"/>
                      <w:szCs w:val="21"/>
                    </w:rPr>
                    <w:t>1%≤Pmax＜10%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1486" w:type="pct"/>
                  <w:vAlign w:val="center"/>
                </w:tcPr>
                <w:p>
                  <w:pPr>
                    <w:ind w:firstLine="0" w:firstLineChars="0"/>
                    <w:jc w:val="center"/>
                    <w:rPr>
                      <w:color w:val="000000" w:themeColor="text1"/>
                      <w:sz w:val="21"/>
                      <w:szCs w:val="21"/>
                    </w:rPr>
                  </w:pPr>
                  <w:r>
                    <w:rPr>
                      <w:color w:val="000000" w:themeColor="text1"/>
                      <w:sz w:val="21"/>
                      <w:szCs w:val="21"/>
                    </w:rPr>
                    <w:t>三级</w:t>
                  </w:r>
                </w:p>
              </w:tc>
              <w:tc>
                <w:tcPr>
                  <w:tcW w:w="3514" w:type="pct"/>
                  <w:vAlign w:val="center"/>
                </w:tcPr>
                <w:p>
                  <w:pPr>
                    <w:ind w:firstLine="0" w:firstLineChars="0"/>
                    <w:jc w:val="center"/>
                    <w:rPr>
                      <w:color w:val="000000" w:themeColor="text1"/>
                      <w:sz w:val="21"/>
                      <w:szCs w:val="21"/>
                    </w:rPr>
                  </w:pPr>
                  <w:r>
                    <w:rPr>
                      <w:color w:val="000000" w:themeColor="text1"/>
                      <w:sz w:val="21"/>
                      <w:szCs w:val="21"/>
                    </w:rPr>
                    <w:t>Pmax＜1%</w:t>
                  </w:r>
                </w:p>
              </w:tc>
            </w:tr>
          </w:tbl>
          <w:p>
            <w:pPr>
              <w:widowControl/>
              <w:snapToGrid w:val="0"/>
              <w:spacing w:before="156" w:beforeLines="50"/>
              <w:ind w:firstLine="482"/>
              <w:rPr>
                <w:color w:val="000000" w:themeColor="text1"/>
              </w:rPr>
            </w:pPr>
            <w:r>
              <w:rPr>
                <w:rFonts w:hint="eastAsia" w:ascii="宋体" w:hAnsi="宋体" w:cs="宋体"/>
                <w:b/>
                <w:color w:val="000000" w:themeColor="text1"/>
              </w:rPr>
              <w:t>b、评价因子和评价标准</w:t>
            </w:r>
          </w:p>
          <w:p>
            <w:pPr>
              <w:pStyle w:val="35"/>
              <w:ind w:firstLine="480"/>
              <w:rPr>
                <w:color w:val="000000" w:themeColor="text1"/>
              </w:rPr>
            </w:pPr>
            <w:r>
              <w:rPr>
                <w:color w:val="000000" w:themeColor="text1"/>
              </w:rPr>
              <w:t>评价因子和评价标准见下表7-</w:t>
            </w:r>
            <w:r>
              <w:rPr>
                <w:rFonts w:hint="eastAsia"/>
                <w:color w:val="000000" w:themeColor="text1"/>
                <w:lang w:val="en-US" w:eastAsia="zh-CN"/>
              </w:rPr>
              <w:t>6</w:t>
            </w:r>
            <w:r>
              <w:rPr>
                <w:color w:val="000000" w:themeColor="text1"/>
              </w:rPr>
              <w:t>。</w:t>
            </w:r>
          </w:p>
          <w:p>
            <w:pPr>
              <w:ind w:firstLine="482"/>
              <w:jc w:val="center"/>
              <w:rPr>
                <w:b/>
                <w:bCs/>
                <w:color w:val="000000" w:themeColor="text1"/>
                <w:szCs w:val="21"/>
              </w:rPr>
            </w:pPr>
            <w:r>
              <w:rPr>
                <w:b/>
                <w:bCs/>
                <w:color w:val="000000" w:themeColor="text1"/>
                <w:szCs w:val="21"/>
              </w:rPr>
              <w:t>表</w:t>
            </w:r>
            <w:r>
              <w:rPr>
                <w:rFonts w:hint="eastAsia"/>
                <w:b/>
                <w:bCs/>
                <w:color w:val="000000" w:themeColor="text1"/>
                <w:szCs w:val="21"/>
              </w:rPr>
              <w:t>7-</w:t>
            </w:r>
            <w:r>
              <w:rPr>
                <w:rFonts w:hint="eastAsia"/>
                <w:b/>
                <w:bCs/>
                <w:color w:val="000000" w:themeColor="text1"/>
                <w:szCs w:val="21"/>
                <w:lang w:val="en-US" w:eastAsia="zh-CN"/>
              </w:rPr>
              <w:t>6</w:t>
            </w:r>
            <w:r>
              <w:rPr>
                <w:rFonts w:hint="eastAsia"/>
                <w:b/>
                <w:bCs/>
                <w:color w:val="000000" w:themeColor="text1"/>
                <w:szCs w:val="21"/>
              </w:rPr>
              <w:t xml:space="preserve"> </w:t>
            </w:r>
            <w:r>
              <w:rPr>
                <w:b/>
                <w:bCs/>
                <w:color w:val="000000" w:themeColor="text1"/>
                <w:szCs w:val="21"/>
              </w:rPr>
              <w:t xml:space="preserve">  </w:t>
            </w:r>
            <w:r>
              <w:rPr>
                <w:rFonts w:hint="eastAsia"/>
                <w:b/>
                <w:bCs/>
                <w:color w:val="000000" w:themeColor="text1"/>
                <w:szCs w:val="21"/>
              </w:rPr>
              <w:t>评价因子及评价标准一览表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24"/>
              <w:gridCol w:w="2175"/>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 w:type="pct"/>
                  <w:vAlign w:val="center"/>
                </w:tcPr>
                <w:p>
                  <w:pPr>
                    <w:ind w:firstLine="0" w:firstLineChars="0"/>
                    <w:jc w:val="center"/>
                    <w:rPr>
                      <w:b/>
                      <w:bCs/>
                      <w:color w:val="000000" w:themeColor="text1"/>
                      <w:sz w:val="21"/>
                      <w:szCs w:val="21"/>
                    </w:rPr>
                  </w:pPr>
                  <w:r>
                    <w:rPr>
                      <w:rFonts w:hint="eastAsia"/>
                      <w:b/>
                      <w:bCs/>
                      <w:color w:val="000000" w:themeColor="text1"/>
                      <w:sz w:val="21"/>
                      <w:szCs w:val="21"/>
                    </w:rPr>
                    <w:t>评价因子</w:t>
                  </w:r>
                </w:p>
              </w:tc>
              <w:tc>
                <w:tcPr>
                  <w:tcW w:w="738" w:type="pct"/>
                  <w:vAlign w:val="center"/>
                </w:tcPr>
                <w:p>
                  <w:pPr>
                    <w:ind w:firstLine="0" w:firstLineChars="0"/>
                    <w:jc w:val="center"/>
                    <w:rPr>
                      <w:b/>
                      <w:bCs/>
                      <w:color w:val="000000" w:themeColor="text1"/>
                      <w:sz w:val="21"/>
                      <w:szCs w:val="21"/>
                    </w:rPr>
                  </w:pPr>
                  <w:r>
                    <w:rPr>
                      <w:rFonts w:hint="eastAsia"/>
                      <w:b/>
                      <w:bCs/>
                      <w:color w:val="000000" w:themeColor="text1"/>
                      <w:sz w:val="21"/>
                      <w:szCs w:val="21"/>
                    </w:rPr>
                    <w:t>平均时段</w:t>
                  </w:r>
                </w:p>
              </w:tc>
              <w:tc>
                <w:tcPr>
                  <w:tcW w:w="1311" w:type="pct"/>
                  <w:vAlign w:val="center"/>
                </w:tcPr>
                <w:p>
                  <w:pPr>
                    <w:ind w:firstLine="0" w:firstLineChars="0"/>
                    <w:jc w:val="center"/>
                    <w:rPr>
                      <w:b/>
                      <w:bCs/>
                      <w:color w:val="000000" w:themeColor="text1"/>
                      <w:sz w:val="21"/>
                      <w:szCs w:val="21"/>
                    </w:rPr>
                  </w:pPr>
                  <w:r>
                    <w:rPr>
                      <w:rFonts w:hint="eastAsia"/>
                      <w:b/>
                      <w:bCs/>
                      <w:color w:val="000000" w:themeColor="text1"/>
                      <w:sz w:val="21"/>
                      <w:szCs w:val="21"/>
                    </w:rPr>
                    <w:t>标准值（</w:t>
                  </w:r>
                  <w:r>
                    <w:rPr>
                      <w:rFonts w:hint="eastAsia"/>
                      <w:b/>
                      <w:color w:val="000000" w:themeColor="text1"/>
                      <w:sz w:val="21"/>
                      <w:szCs w:val="21"/>
                    </w:rPr>
                    <w:t>m</w:t>
                  </w:r>
                  <w:r>
                    <w:rPr>
                      <w:b/>
                      <w:color w:val="000000" w:themeColor="text1"/>
                      <w:sz w:val="21"/>
                      <w:szCs w:val="21"/>
                    </w:rPr>
                    <w:t>g/m</w:t>
                  </w:r>
                  <w:r>
                    <w:rPr>
                      <w:b/>
                      <w:color w:val="000000" w:themeColor="text1"/>
                      <w:sz w:val="21"/>
                      <w:szCs w:val="21"/>
                      <w:vertAlign w:val="superscript"/>
                    </w:rPr>
                    <w:t>3</w:t>
                  </w:r>
                  <w:r>
                    <w:rPr>
                      <w:rFonts w:hint="eastAsia"/>
                      <w:b/>
                      <w:bCs/>
                      <w:color w:val="000000" w:themeColor="text1"/>
                      <w:sz w:val="21"/>
                      <w:szCs w:val="21"/>
                    </w:rPr>
                    <w:t>）</w:t>
                  </w:r>
                </w:p>
              </w:tc>
              <w:tc>
                <w:tcPr>
                  <w:tcW w:w="2031" w:type="pct"/>
                  <w:vAlign w:val="center"/>
                </w:tcPr>
                <w:p>
                  <w:pPr>
                    <w:ind w:firstLine="0" w:firstLineChars="0"/>
                    <w:jc w:val="center"/>
                    <w:rPr>
                      <w:b/>
                      <w:bCs/>
                      <w:color w:val="000000" w:themeColor="text1"/>
                      <w:sz w:val="21"/>
                      <w:szCs w:val="21"/>
                    </w:rPr>
                  </w:pPr>
                  <w:r>
                    <w:rPr>
                      <w:rFonts w:hint="eastAsia"/>
                      <w:b/>
                      <w:bCs/>
                      <w:color w:val="000000" w:themeColor="text1"/>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 w:type="pct"/>
                  <w:vAlign w:val="center"/>
                </w:tcPr>
                <w:p>
                  <w:pPr>
                    <w:spacing w:line="240" w:lineRule="auto"/>
                    <w:ind w:firstLine="0" w:firstLineChars="0"/>
                    <w:jc w:val="center"/>
                    <w:rPr>
                      <w:bCs/>
                      <w:color w:val="000000" w:themeColor="text1"/>
                      <w:sz w:val="21"/>
                      <w:szCs w:val="21"/>
                    </w:rPr>
                  </w:pPr>
                  <w:r>
                    <w:rPr>
                      <w:rFonts w:hint="eastAsia"/>
                      <w:bCs/>
                      <w:color w:val="000000" w:themeColor="text1"/>
                      <w:sz w:val="21"/>
                      <w:szCs w:val="21"/>
                    </w:rPr>
                    <w:t>TSP</w:t>
                  </w:r>
                  <w:r>
                    <w:rPr>
                      <w:bCs/>
                      <w:color w:val="000000" w:themeColor="text1"/>
                      <w:szCs w:val="21"/>
                    </w:rPr>
                    <w:t>*</w:t>
                  </w:r>
                </w:p>
              </w:tc>
              <w:tc>
                <w:tcPr>
                  <w:tcW w:w="738" w:type="pct"/>
                  <w:vAlign w:val="center"/>
                </w:tcPr>
                <w:p>
                  <w:pPr>
                    <w:spacing w:line="240" w:lineRule="auto"/>
                    <w:ind w:firstLine="0" w:firstLineChars="0"/>
                    <w:jc w:val="center"/>
                    <w:rPr>
                      <w:bCs/>
                      <w:color w:val="000000" w:themeColor="text1"/>
                      <w:sz w:val="21"/>
                      <w:szCs w:val="21"/>
                    </w:rPr>
                  </w:pPr>
                  <w:r>
                    <w:rPr>
                      <w:rFonts w:hint="eastAsia"/>
                      <w:bCs/>
                      <w:color w:val="000000" w:themeColor="text1"/>
                      <w:sz w:val="21"/>
                      <w:szCs w:val="21"/>
                    </w:rPr>
                    <w:t>小时值</w:t>
                  </w:r>
                </w:p>
              </w:tc>
              <w:tc>
                <w:tcPr>
                  <w:tcW w:w="1311" w:type="pct"/>
                  <w:vAlign w:val="center"/>
                </w:tcPr>
                <w:p>
                  <w:pPr>
                    <w:spacing w:line="240" w:lineRule="auto"/>
                    <w:ind w:firstLine="0" w:firstLineChars="0"/>
                    <w:jc w:val="center"/>
                    <w:rPr>
                      <w:bCs/>
                      <w:color w:val="000000" w:themeColor="text1"/>
                      <w:sz w:val="21"/>
                      <w:szCs w:val="21"/>
                    </w:rPr>
                  </w:pPr>
                  <w:r>
                    <w:rPr>
                      <w:rFonts w:hint="eastAsia"/>
                      <w:bCs/>
                      <w:color w:val="000000" w:themeColor="text1"/>
                      <w:sz w:val="21"/>
                      <w:szCs w:val="21"/>
                    </w:rPr>
                    <w:t>900</w:t>
                  </w:r>
                </w:p>
              </w:tc>
              <w:tc>
                <w:tcPr>
                  <w:tcW w:w="2031" w:type="pct"/>
                  <w:vAlign w:val="center"/>
                </w:tcPr>
                <w:p>
                  <w:pPr>
                    <w:spacing w:line="240" w:lineRule="auto"/>
                    <w:ind w:firstLine="0" w:firstLineChars="0"/>
                    <w:jc w:val="center"/>
                    <w:rPr>
                      <w:bCs/>
                      <w:color w:val="000000" w:themeColor="text1"/>
                      <w:sz w:val="21"/>
                      <w:szCs w:val="21"/>
                    </w:rPr>
                  </w:pPr>
                  <w:r>
                    <w:rPr>
                      <w:rFonts w:hint="eastAsia"/>
                      <w:color w:val="000000" w:themeColor="text1"/>
                      <w:sz w:val="21"/>
                      <w:szCs w:val="21"/>
                    </w:rPr>
                    <w:t>GB3095-2012《环境空气质量标准》二级标准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spacing w:line="240" w:lineRule="auto"/>
                    <w:ind w:firstLine="0" w:firstLineChars="0"/>
                    <w:jc w:val="center"/>
                    <w:rPr>
                      <w:bCs/>
                      <w:color w:val="000000" w:themeColor="text1"/>
                      <w:sz w:val="21"/>
                      <w:szCs w:val="21"/>
                    </w:rPr>
                  </w:pPr>
                  <w:r>
                    <w:rPr>
                      <w:bCs/>
                      <w:sz w:val="21"/>
                      <w:szCs w:val="21"/>
                    </w:rPr>
                    <w:t>PM10</w:t>
                  </w:r>
                  <w:r>
                    <w:rPr>
                      <w:bCs/>
                      <w:color w:val="000000" w:themeColor="text1"/>
                      <w:szCs w:val="21"/>
                    </w:rPr>
                    <w:t>*</w:t>
                  </w:r>
                </w:p>
              </w:tc>
              <w:tc>
                <w:tcPr>
                  <w:tcW w:w="1224" w:type="dxa"/>
                  <w:vAlign w:val="center"/>
                </w:tcPr>
                <w:p>
                  <w:pPr>
                    <w:spacing w:line="240" w:lineRule="auto"/>
                    <w:ind w:firstLine="0" w:firstLineChars="0"/>
                    <w:jc w:val="center"/>
                    <w:rPr>
                      <w:bCs/>
                      <w:color w:val="000000" w:themeColor="text1"/>
                      <w:sz w:val="21"/>
                      <w:szCs w:val="21"/>
                    </w:rPr>
                  </w:pPr>
                  <w:r>
                    <w:rPr>
                      <w:rFonts w:hint="eastAsia"/>
                      <w:sz w:val="21"/>
                      <w:szCs w:val="21"/>
                    </w:rPr>
                    <w:t>小时值</w:t>
                  </w:r>
                </w:p>
              </w:tc>
              <w:tc>
                <w:tcPr>
                  <w:tcW w:w="2175" w:type="dxa"/>
                  <w:vAlign w:val="center"/>
                </w:tcPr>
                <w:p>
                  <w:pPr>
                    <w:spacing w:line="240" w:lineRule="auto"/>
                    <w:ind w:firstLine="0" w:firstLineChars="0"/>
                    <w:jc w:val="center"/>
                    <w:rPr>
                      <w:bCs/>
                      <w:color w:val="000000" w:themeColor="text1"/>
                      <w:sz w:val="21"/>
                      <w:szCs w:val="21"/>
                    </w:rPr>
                  </w:pPr>
                  <w:r>
                    <w:rPr>
                      <w:rFonts w:hint="eastAsia"/>
                      <w:sz w:val="23"/>
                      <w:szCs w:val="23"/>
                    </w:rPr>
                    <w:t>450</w:t>
                  </w:r>
                </w:p>
              </w:tc>
              <w:tc>
                <w:tcPr>
                  <w:tcW w:w="3371"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GB3095-2012《环境空气质量标准》二级标准</w:t>
                  </w:r>
                </w:p>
              </w:tc>
            </w:tr>
          </w:tbl>
          <w:p>
            <w:pPr>
              <w:adjustRightInd w:val="0"/>
              <w:ind w:firstLine="482"/>
              <w:rPr>
                <w:b/>
                <w:color w:val="000000" w:themeColor="text1"/>
                <w:szCs w:val="21"/>
              </w:rPr>
            </w:pPr>
            <w:r>
              <w:rPr>
                <w:b/>
                <w:color w:val="000000" w:themeColor="text1"/>
                <w:szCs w:val="21"/>
              </w:rPr>
              <w:t>注：“*”表示GB3095-2012《环境空气质量标准》二级标准无小时值，该污染物小时值按日均值的3倍计。</w:t>
            </w:r>
          </w:p>
          <w:p>
            <w:pPr>
              <w:widowControl/>
              <w:snapToGrid w:val="0"/>
              <w:spacing w:before="156" w:beforeLines="50"/>
              <w:ind w:firstLine="482"/>
              <w:rPr>
                <w:color w:val="000000" w:themeColor="text1"/>
              </w:rPr>
            </w:pPr>
            <w:r>
              <w:rPr>
                <w:b/>
                <w:color w:val="000000" w:themeColor="text1"/>
              </w:rPr>
              <w:t>c、估算模型参数</w:t>
            </w:r>
          </w:p>
          <w:p>
            <w:pPr>
              <w:snapToGrid w:val="0"/>
              <w:ind w:firstLine="480"/>
              <w:rPr>
                <w:color w:val="000000" w:themeColor="text1"/>
              </w:rPr>
            </w:pPr>
            <w:r>
              <w:rPr>
                <w:rFonts w:hint="eastAsia"/>
                <w:color w:val="000000" w:themeColor="text1"/>
              </w:rPr>
              <w:t>采用HJ2.2-2018推荐模式清单中的估算模式(ARESCREEN)进行计算，估算模型参数表见表7-</w:t>
            </w:r>
            <w:r>
              <w:rPr>
                <w:rFonts w:hint="eastAsia"/>
                <w:color w:val="000000" w:themeColor="text1"/>
                <w:lang w:val="en-US" w:eastAsia="zh-CN"/>
              </w:rPr>
              <w:t>7</w:t>
            </w:r>
            <w:r>
              <w:rPr>
                <w:rFonts w:hint="eastAsia"/>
                <w:color w:val="000000" w:themeColor="text1"/>
              </w:rPr>
              <w:t>。</w:t>
            </w:r>
          </w:p>
          <w:p>
            <w:pPr>
              <w:autoSpaceDE w:val="0"/>
              <w:autoSpaceDN w:val="0"/>
              <w:adjustRightInd w:val="0"/>
              <w:snapToGrid w:val="0"/>
              <w:ind w:firstLine="482"/>
              <w:jc w:val="center"/>
              <w:rPr>
                <w:b/>
                <w:color w:val="000000" w:themeColor="text1"/>
              </w:rPr>
            </w:pPr>
            <w:r>
              <w:rPr>
                <w:b/>
                <w:color w:val="000000" w:themeColor="text1"/>
              </w:rPr>
              <w:t>表</w:t>
            </w:r>
            <w:r>
              <w:rPr>
                <w:rFonts w:hint="eastAsia"/>
                <w:b/>
                <w:color w:val="000000" w:themeColor="text1"/>
              </w:rPr>
              <w:t>7-</w:t>
            </w:r>
            <w:r>
              <w:rPr>
                <w:rFonts w:hint="eastAsia"/>
                <w:b/>
                <w:color w:val="000000" w:themeColor="text1"/>
                <w:lang w:val="en-US" w:eastAsia="zh-CN"/>
              </w:rPr>
              <w:t>7</w:t>
            </w:r>
            <w:r>
              <w:rPr>
                <w:rFonts w:hint="eastAsia"/>
                <w:b/>
                <w:color w:val="000000" w:themeColor="text1"/>
              </w:rPr>
              <w:t xml:space="preserve">    </w:t>
            </w:r>
            <w:r>
              <w:rPr>
                <w:b/>
                <w:color w:val="000000" w:themeColor="text1"/>
              </w:rPr>
              <w:t>估算模型参数表</w:t>
            </w:r>
          </w:p>
          <w:tbl>
            <w:tblPr>
              <w:tblStyle w:val="2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602"/>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4858" w:type="dxa"/>
                  <w:gridSpan w:val="2"/>
                  <w:shd w:val="clear" w:color="auto" w:fill="auto"/>
                  <w:vAlign w:val="center"/>
                </w:tcPr>
                <w:p>
                  <w:pPr>
                    <w:spacing w:line="240" w:lineRule="auto"/>
                    <w:ind w:firstLine="0" w:firstLineChars="0"/>
                    <w:jc w:val="center"/>
                    <w:rPr>
                      <w:b/>
                      <w:color w:val="000000" w:themeColor="text1"/>
                      <w:sz w:val="21"/>
                      <w:szCs w:val="21"/>
                    </w:rPr>
                  </w:pPr>
                  <w:r>
                    <w:rPr>
                      <w:b/>
                      <w:color w:val="000000" w:themeColor="text1"/>
                      <w:sz w:val="21"/>
                      <w:szCs w:val="21"/>
                    </w:rPr>
                    <w:t>参数</w:t>
                  </w:r>
                </w:p>
              </w:tc>
              <w:tc>
                <w:tcPr>
                  <w:tcW w:w="3501" w:type="dxa"/>
                  <w:shd w:val="clear" w:color="auto" w:fill="auto"/>
                  <w:vAlign w:val="center"/>
                </w:tcPr>
                <w:p>
                  <w:pPr>
                    <w:spacing w:line="240" w:lineRule="auto"/>
                    <w:ind w:firstLine="0" w:firstLineChars="0"/>
                    <w:jc w:val="center"/>
                    <w:rPr>
                      <w:b/>
                      <w:color w:val="000000" w:themeColor="text1"/>
                      <w:sz w:val="21"/>
                      <w:szCs w:val="21"/>
                    </w:rPr>
                  </w:pPr>
                  <w:r>
                    <w:rPr>
                      <w:b/>
                      <w:color w:val="000000" w:themeColor="text1"/>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56" w:type="dxa"/>
                  <w:vMerge w:val="restart"/>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城市农村/选项</w:t>
                  </w:r>
                </w:p>
              </w:tc>
              <w:tc>
                <w:tcPr>
                  <w:tcW w:w="2602"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城市/农村</w:t>
                  </w:r>
                </w:p>
              </w:tc>
              <w:tc>
                <w:tcPr>
                  <w:tcW w:w="3501"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56" w:type="dxa"/>
                  <w:vMerge w:val="continue"/>
                  <w:shd w:val="clear" w:color="auto" w:fill="auto"/>
                  <w:vAlign w:val="center"/>
                </w:tcPr>
                <w:p>
                  <w:pPr>
                    <w:spacing w:line="240" w:lineRule="auto"/>
                    <w:ind w:firstLine="0" w:firstLineChars="0"/>
                    <w:jc w:val="center"/>
                    <w:rPr>
                      <w:color w:val="000000" w:themeColor="text1"/>
                      <w:sz w:val="21"/>
                      <w:szCs w:val="21"/>
                    </w:rPr>
                  </w:pPr>
                </w:p>
              </w:tc>
              <w:tc>
                <w:tcPr>
                  <w:tcW w:w="2602"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人口数(城市人口数)</w:t>
                  </w:r>
                </w:p>
              </w:tc>
              <w:tc>
                <w:tcPr>
                  <w:tcW w:w="3501"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58" w:type="dxa"/>
                  <w:gridSpan w:val="2"/>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最高环境温度</w:t>
                  </w:r>
                </w:p>
              </w:tc>
              <w:tc>
                <w:tcPr>
                  <w:tcW w:w="3501" w:type="dxa"/>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33.9</w:t>
                  </w:r>
                  <w:r>
                    <w:rPr>
                      <w:color w:val="000000" w:themeColor="text1"/>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58" w:type="dxa"/>
                  <w:gridSpan w:val="2"/>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最低环境温度</w:t>
                  </w:r>
                </w:p>
              </w:tc>
              <w:tc>
                <w:tcPr>
                  <w:tcW w:w="3501"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w:t>
                  </w:r>
                  <w:r>
                    <w:rPr>
                      <w:rFonts w:hint="eastAsia"/>
                      <w:color w:val="000000" w:themeColor="text1"/>
                      <w:sz w:val="21"/>
                      <w:szCs w:val="21"/>
                    </w:rPr>
                    <w:t>6.2</w:t>
                  </w:r>
                  <w:r>
                    <w:rPr>
                      <w:color w:val="000000" w:themeColor="text1"/>
                      <w:sz w:val="21"/>
                      <w:szCs w:val="21"/>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58" w:type="dxa"/>
                  <w:gridSpan w:val="2"/>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土地利用类型</w:t>
                  </w:r>
                </w:p>
              </w:tc>
              <w:tc>
                <w:tcPr>
                  <w:tcW w:w="3501" w:type="dxa"/>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针叶林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58" w:type="dxa"/>
                  <w:gridSpan w:val="2"/>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区域湿度条件</w:t>
                  </w:r>
                </w:p>
              </w:tc>
              <w:tc>
                <w:tcPr>
                  <w:tcW w:w="3501" w:type="dxa"/>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湿润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56" w:type="dxa"/>
                  <w:vMerge w:val="restart"/>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是否考虑地形</w:t>
                  </w:r>
                </w:p>
              </w:tc>
              <w:tc>
                <w:tcPr>
                  <w:tcW w:w="2602"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考虑地形</w:t>
                  </w:r>
                </w:p>
              </w:tc>
              <w:tc>
                <w:tcPr>
                  <w:tcW w:w="3501" w:type="dxa"/>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56" w:type="dxa"/>
                  <w:vMerge w:val="continue"/>
                  <w:shd w:val="clear" w:color="auto" w:fill="auto"/>
                  <w:vAlign w:val="center"/>
                </w:tcPr>
                <w:p>
                  <w:pPr>
                    <w:spacing w:line="240" w:lineRule="auto"/>
                    <w:ind w:firstLine="0" w:firstLineChars="0"/>
                    <w:jc w:val="center"/>
                    <w:rPr>
                      <w:color w:val="000000" w:themeColor="text1"/>
                      <w:sz w:val="21"/>
                      <w:szCs w:val="21"/>
                    </w:rPr>
                  </w:pPr>
                </w:p>
              </w:tc>
              <w:tc>
                <w:tcPr>
                  <w:tcW w:w="2602"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地形数据分辨率(m)</w:t>
                  </w:r>
                </w:p>
              </w:tc>
              <w:tc>
                <w:tcPr>
                  <w:tcW w:w="3501"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56" w:type="dxa"/>
                  <w:vMerge w:val="restart"/>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是否考虑岸线熏烟</w:t>
                  </w:r>
                </w:p>
              </w:tc>
              <w:tc>
                <w:tcPr>
                  <w:tcW w:w="2602"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考虑岸线熏烟</w:t>
                  </w:r>
                </w:p>
              </w:tc>
              <w:tc>
                <w:tcPr>
                  <w:tcW w:w="3501"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56" w:type="dxa"/>
                  <w:vMerge w:val="continue"/>
                  <w:shd w:val="clear" w:color="auto" w:fill="auto"/>
                  <w:vAlign w:val="center"/>
                </w:tcPr>
                <w:p>
                  <w:pPr>
                    <w:spacing w:line="240" w:lineRule="auto"/>
                    <w:ind w:firstLine="0" w:firstLineChars="0"/>
                    <w:jc w:val="center"/>
                    <w:rPr>
                      <w:color w:val="000000" w:themeColor="text1"/>
                      <w:sz w:val="21"/>
                      <w:szCs w:val="21"/>
                    </w:rPr>
                  </w:pPr>
                </w:p>
              </w:tc>
              <w:tc>
                <w:tcPr>
                  <w:tcW w:w="2602"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岸线距离/km</w:t>
                  </w:r>
                </w:p>
              </w:tc>
              <w:tc>
                <w:tcPr>
                  <w:tcW w:w="3501"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256" w:type="dxa"/>
                  <w:vMerge w:val="continue"/>
                  <w:shd w:val="clear" w:color="auto" w:fill="auto"/>
                  <w:vAlign w:val="center"/>
                </w:tcPr>
                <w:p>
                  <w:pPr>
                    <w:spacing w:line="240" w:lineRule="auto"/>
                    <w:ind w:firstLine="0" w:firstLineChars="0"/>
                    <w:jc w:val="center"/>
                    <w:rPr>
                      <w:color w:val="000000" w:themeColor="text1"/>
                      <w:sz w:val="21"/>
                      <w:szCs w:val="21"/>
                    </w:rPr>
                  </w:pPr>
                </w:p>
              </w:tc>
              <w:tc>
                <w:tcPr>
                  <w:tcW w:w="2602"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岸线方向/</w:t>
                  </w:r>
                  <w:r>
                    <w:rPr>
                      <w:color w:val="000000" w:themeColor="text1"/>
                      <w:sz w:val="21"/>
                      <w:szCs w:val="21"/>
                      <w:vertAlign w:val="superscript"/>
                    </w:rPr>
                    <w:t>o</w:t>
                  </w:r>
                </w:p>
              </w:tc>
              <w:tc>
                <w:tcPr>
                  <w:tcW w:w="3501" w:type="dxa"/>
                  <w:shd w:val="clear" w:color="auto" w:fill="auto"/>
                  <w:vAlign w:val="center"/>
                </w:tcPr>
                <w:p>
                  <w:pPr>
                    <w:spacing w:line="240" w:lineRule="auto"/>
                    <w:ind w:firstLine="0" w:firstLineChars="0"/>
                    <w:jc w:val="center"/>
                    <w:rPr>
                      <w:color w:val="000000" w:themeColor="text1"/>
                      <w:sz w:val="21"/>
                      <w:szCs w:val="21"/>
                    </w:rPr>
                  </w:pPr>
                  <w:r>
                    <w:rPr>
                      <w:color w:val="000000" w:themeColor="text1"/>
                      <w:sz w:val="21"/>
                      <w:szCs w:val="21"/>
                    </w:rPr>
                    <w:t>/</w:t>
                  </w:r>
                </w:p>
              </w:tc>
            </w:tr>
          </w:tbl>
          <w:p>
            <w:pPr>
              <w:widowControl/>
              <w:snapToGrid w:val="0"/>
              <w:spacing w:before="156" w:beforeLines="50"/>
              <w:ind w:firstLine="482"/>
              <w:rPr>
                <w:b/>
                <w:color w:val="000000" w:themeColor="text1"/>
              </w:rPr>
            </w:pPr>
            <w:r>
              <w:rPr>
                <w:rFonts w:hint="eastAsia" w:ascii="宋体" w:hAnsi="宋体"/>
                <w:b/>
                <w:color w:val="000000" w:themeColor="text1"/>
              </w:rPr>
              <w:t>◆</w:t>
            </w:r>
            <w:r>
              <w:rPr>
                <w:rFonts w:hint="eastAsia"/>
                <w:b/>
                <w:color w:val="000000" w:themeColor="text1"/>
              </w:rPr>
              <w:t>污染物估算模型计算结果</w:t>
            </w:r>
          </w:p>
          <w:p>
            <w:pPr>
              <w:widowControl/>
              <w:snapToGrid w:val="0"/>
              <w:ind w:firstLine="480"/>
              <w:rPr>
                <w:color w:val="000000" w:themeColor="text1"/>
              </w:rPr>
            </w:pPr>
            <w:r>
              <w:rPr>
                <w:rFonts w:hint="eastAsia"/>
                <w:color w:val="000000" w:themeColor="text1"/>
              </w:rPr>
              <w:t>项目主要</w:t>
            </w:r>
            <w:r>
              <w:rPr>
                <w:color w:val="000000" w:themeColor="text1"/>
              </w:rPr>
              <w:t>污染物估算模型计算结果见表</w:t>
            </w:r>
            <w:r>
              <w:rPr>
                <w:rFonts w:hint="eastAsia"/>
                <w:color w:val="000000" w:themeColor="text1"/>
              </w:rPr>
              <w:t>7-</w:t>
            </w:r>
            <w:r>
              <w:rPr>
                <w:rFonts w:hint="eastAsia"/>
                <w:color w:val="000000" w:themeColor="text1"/>
                <w:lang w:val="en-US" w:eastAsia="zh-CN"/>
              </w:rPr>
              <w:t>8</w:t>
            </w:r>
            <w:r>
              <w:rPr>
                <w:rFonts w:hint="eastAsia"/>
                <w:color w:val="000000" w:themeColor="text1"/>
              </w:rPr>
              <w:t>、7-</w:t>
            </w:r>
            <w:r>
              <w:rPr>
                <w:rFonts w:hint="eastAsia"/>
                <w:color w:val="000000" w:themeColor="text1"/>
                <w:lang w:val="en-US" w:eastAsia="zh-CN"/>
              </w:rPr>
              <w:t>9</w:t>
            </w:r>
            <w:r>
              <w:rPr>
                <w:color w:val="000000" w:themeColor="text1"/>
              </w:rPr>
              <w:t>。</w:t>
            </w:r>
          </w:p>
          <w:p>
            <w:pPr>
              <w:pStyle w:val="27"/>
              <w:ind w:firstLine="0" w:firstLineChars="0"/>
              <w:jc w:val="center"/>
            </w:pPr>
            <w:r>
              <w:rPr>
                <w:b/>
                <w:bCs/>
              </w:rPr>
              <w:t>表7</w:t>
            </w:r>
            <w:r>
              <w:rPr>
                <w:rFonts w:hint="eastAsia"/>
                <w:b/>
                <w:bCs/>
              </w:rPr>
              <w:t>-8  项目区TSP</w:t>
            </w:r>
            <w:r>
              <w:rPr>
                <w:b/>
                <w:bCs/>
              </w:rPr>
              <w:t>排放预测结果</w:t>
            </w:r>
          </w:p>
          <w:tbl>
            <w:tblPr>
              <w:tblStyle w:val="22"/>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80"/>
              <w:gridCol w:w="258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vMerge w:val="restart"/>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rFonts w:hint="eastAsia" w:eastAsia="宋体"/>
                      <w:b/>
                      <w:bCs/>
                      <w:color w:val="auto"/>
                      <w:kern w:val="0"/>
                      <w:sz w:val="21"/>
                      <w:szCs w:val="21"/>
                      <w:lang w:eastAsia="zh-CN"/>
                    </w:rPr>
                  </w:pPr>
                  <w:r>
                    <w:rPr>
                      <w:b/>
                      <w:bCs/>
                      <w:color w:val="auto"/>
                      <w:sz w:val="21"/>
                      <w:szCs w:val="21"/>
                    </w:rPr>
                    <w:t>下风向距离</w:t>
                  </w:r>
                  <w:r>
                    <w:rPr>
                      <w:rFonts w:hint="eastAsia"/>
                      <w:b/>
                      <w:bCs/>
                      <w:color w:val="auto"/>
                      <w:sz w:val="21"/>
                      <w:szCs w:val="21"/>
                      <w:lang w:eastAsia="zh-CN"/>
                    </w:rPr>
                    <w:t>（</w:t>
                  </w:r>
                  <w:r>
                    <w:rPr>
                      <w:rFonts w:hint="eastAsia"/>
                      <w:b/>
                      <w:bCs/>
                      <w:color w:val="auto"/>
                      <w:sz w:val="21"/>
                      <w:szCs w:val="21"/>
                      <w:lang w:val="en-US" w:eastAsia="zh-CN"/>
                    </w:rPr>
                    <w:t>m</w:t>
                  </w:r>
                  <w:r>
                    <w:rPr>
                      <w:rFonts w:hint="eastAsia"/>
                      <w:b/>
                      <w:bCs/>
                      <w:color w:val="auto"/>
                      <w:sz w:val="21"/>
                      <w:szCs w:val="21"/>
                      <w:lang w:eastAsia="zh-CN"/>
                    </w:rPr>
                    <w:t>）</w:t>
                  </w:r>
                </w:p>
              </w:tc>
              <w:tc>
                <w:tcPr>
                  <w:tcW w:w="5160" w:type="dxa"/>
                  <w:gridSpan w:val="2"/>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b/>
                      <w:bCs/>
                      <w:color w:val="auto"/>
                      <w:kern w:val="0"/>
                      <w:sz w:val="21"/>
                      <w:szCs w:val="21"/>
                    </w:rPr>
                  </w:pPr>
                  <w:r>
                    <w:rPr>
                      <w:rFonts w:hint="eastAsia"/>
                      <w:b/>
                      <w:bCs/>
                      <w:color w:val="auto"/>
                      <w:sz w:val="21"/>
                      <w:szCs w:val="21"/>
                    </w:rPr>
                    <w:t>面</w:t>
                  </w:r>
                  <w:r>
                    <w:rPr>
                      <w:b/>
                      <w:bCs/>
                      <w:color w:val="auto"/>
                      <w:sz w:val="21"/>
                      <w:szCs w:val="21"/>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vMerge w:val="continue"/>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b/>
                      <w:bCs/>
                      <w:color w:val="auto"/>
                      <w:kern w:val="0"/>
                      <w:sz w:val="21"/>
                      <w:szCs w:val="21"/>
                    </w:rPr>
                  </w:pPr>
                </w:p>
              </w:tc>
              <w:tc>
                <w:tcPr>
                  <w:tcW w:w="2580" w:type="dxa"/>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b/>
                      <w:bCs/>
                      <w:color w:val="auto"/>
                      <w:kern w:val="0"/>
                      <w:sz w:val="21"/>
                      <w:szCs w:val="21"/>
                    </w:rPr>
                  </w:pPr>
                  <w:r>
                    <w:rPr>
                      <w:rFonts w:hint="eastAsia"/>
                      <w:b/>
                      <w:bCs/>
                      <w:color w:val="auto"/>
                      <w:sz w:val="21"/>
                      <w:szCs w:val="21"/>
                    </w:rPr>
                    <w:t>TSP</w:t>
                  </w:r>
                  <w:r>
                    <w:rPr>
                      <w:b/>
                      <w:bCs/>
                      <w:color w:val="auto"/>
                      <w:sz w:val="21"/>
                      <w:szCs w:val="21"/>
                    </w:rPr>
                    <w:t>占标率(%)</w:t>
                  </w:r>
                </w:p>
              </w:tc>
              <w:tc>
                <w:tcPr>
                  <w:tcW w:w="2580" w:type="dxa"/>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b/>
                      <w:bCs/>
                      <w:color w:val="auto"/>
                      <w:kern w:val="0"/>
                      <w:sz w:val="21"/>
                      <w:szCs w:val="21"/>
                    </w:rPr>
                  </w:pPr>
                  <w:r>
                    <w:rPr>
                      <w:rFonts w:hint="eastAsia"/>
                      <w:b/>
                      <w:bCs/>
                      <w:color w:val="auto"/>
                      <w:sz w:val="21"/>
                      <w:szCs w:val="21"/>
                    </w:rPr>
                    <w:t>TSP</w:t>
                  </w:r>
                  <w:r>
                    <w:rPr>
                      <w:b/>
                      <w:bCs/>
                      <w:color w:val="auto"/>
                      <w:sz w:val="21"/>
                      <w:szCs w:val="21"/>
                    </w:rPr>
                    <w:t>浓度(μg/m³)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0.</w:t>
                  </w:r>
                  <w:r>
                    <w:rPr>
                      <w:rFonts w:hint="eastAsia"/>
                      <w:color w:val="auto"/>
                      <w:kern w:val="0"/>
                      <w:sz w:val="22"/>
                      <w:szCs w:val="22"/>
                      <w:lang w:val="en-US" w:eastAsia="zh-CN"/>
                    </w:rPr>
                    <w:t>4</w:t>
                  </w:r>
                  <w:r>
                    <w:rPr>
                      <w:rFonts w:hint="eastAsia"/>
                      <w:color w:val="auto"/>
                      <w:kern w:val="0"/>
                      <w:sz w:val="22"/>
                      <w:szCs w:val="22"/>
                    </w:rPr>
                    <w:t>2</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1"/>
                      <w:szCs w:val="21"/>
                    </w:rPr>
                    <w:t>0.00</w:t>
                  </w:r>
                  <w:r>
                    <w:rPr>
                      <w:rFonts w:hint="eastAsia"/>
                      <w:color w:val="auto"/>
                      <w:kern w:val="0"/>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2"/>
                      <w:szCs w:val="22"/>
                    </w:rPr>
                    <w:t>0.</w:t>
                  </w:r>
                  <w:r>
                    <w:rPr>
                      <w:rFonts w:hint="eastAsia"/>
                      <w:color w:val="auto"/>
                      <w:kern w:val="0"/>
                      <w:sz w:val="22"/>
                      <w:szCs w:val="22"/>
                      <w:lang w:val="en-US" w:eastAsia="zh-CN"/>
                    </w:rPr>
                    <w:t>43</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0.00</w:t>
                  </w:r>
                  <w:r>
                    <w:rPr>
                      <w:rFonts w:hint="eastAsia"/>
                      <w:color w:val="auto"/>
                      <w:kern w:val="0"/>
                      <w:sz w:val="21"/>
                      <w:szCs w:val="21"/>
                    </w:rPr>
                    <w:t>3</w:t>
                  </w:r>
                  <w:r>
                    <w:rPr>
                      <w:rFonts w:hint="eastAsia"/>
                      <w:color w:val="auto"/>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2"/>
                      <w:szCs w:val="22"/>
                    </w:rPr>
                    <w:t>0.</w:t>
                  </w:r>
                  <w:r>
                    <w:rPr>
                      <w:rFonts w:hint="eastAsia"/>
                      <w:color w:val="auto"/>
                      <w:kern w:val="0"/>
                      <w:sz w:val="22"/>
                      <w:szCs w:val="22"/>
                      <w:lang w:val="en-US" w:eastAsia="zh-CN"/>
                    </w:rPr>
                    <w:t>22</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1"/>
                      <w:szCs w:val="21"/>
                    </w:rPr>
                    <w:t>0.00</w:t>
                  </w:r>
                  <w:r>
                    <w:rPr>
                      <w:rFonts w:hint="eastAsia"/>
                      <w:color w:val="auto"/>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val="en-US" w:eastAsia="zh-CN"/>
                    </w:rPr>
                  </w:pPr>
                  <w:r>
                    <w:rPr>
                      <w:color w:val="auto"/>
                      <w:kern w:val="0"/>
                      <w:sz w:val="22"/>
                      <w:szCs w:val="22"/>
                    </w:rPr>
                    <w:t>0.</w:t>
                  </w:r>
                  <w:r>
                    <w:rPr>
                      <w:rFonts w:hint="eastAsia"/>
                      <w:color w:val="auto"/>
                      <w:kern w:val="0"/>
                      <w:sz w:val="22"/>
                      <w:szCs w:val="22"/>
                    </w:rPr>
                    <w:t>1</w:t>
                  </w:r>
                  <w:r>
                    <w:rPr>
                      <w:rFonts w:hint="eastAsia"/>
                      <w:color w:val="auto"/>
                      <w:kern w:val="0"/>
                      <w:sz w:val="22"/>
                      <w:szCs w:val="22"/>
                      <w:lang w:val="en-US" w:eastAsia="zh-CN"/>
                    </w:rPr>
                    <w:t>3</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sz w:val="21"/>
                      <w:szCs w:val="21"/>
                      <w:lang w:val="en-US" w:eastAsia="zh-CN"/>
                    </w:rPr>
                  </w:pPr>
                  <w:r>
                    <w:rPr>
                      <w:color w:val="auto"/>
                      <w:kern w:val="0"/>
                      <w:sz w:val="21"/>
                      <w:szCs w:val="21"/>
                    </w:rPr>
                    <w:t>0.00</w:t>
                  </w:r>
                  <w:r>
                    <w:rPr>
                      <w:rFonts w:hint="eastAsia"/>
                      <w:color w:val="auto"/>
                      <w:ker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9</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0.000</w:t>
                  </w:r>
                  <w:r>
                    <w:rPr>
                      <w:rFonts w:hint="eastAsia"/>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7</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0.000</w:t>
                  </w:r>
                  <w:r>
                    <w:rPr>
                      <w:rFonts w:hint="eastAsia"/>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300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5</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0.000</w:t>
                  </w:r>
                  <w:r>
                    <w:rPr>
                      <w:rFonts w:hint="eastAsia"/>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350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4</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0.000</w:t>
                  </w:r>
                  <w:r>
                    <w:rPr>
                      <w:rFonts w:hint="eastAsia"/>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400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0.0</w:t>
                  </w:r>
                  <w:r>
                    <w:rPr>
                      <w:rFonts w:hint="eastAsia"/>
                      <w:color w:val="auto"/>
                      <w:kern w:val="0"/>
                      <w:sz w:val="22"/>
                      <w:szCs w:val="22"/>
                    </w:rPr>
                    <w:t>3</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0.000</w:t>
                  </w:r>
                  <w:r>
                    <w:rPr>
                      <w:rFonts w:hint="eastAsia"/>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450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rFonts w:hint="eastAsia"/>
                      <w:color w:val="auto"/>
                      <w:kern w:val="0"/>
                      <w:sz w:val="22"/>
                      <w:szCs w:val="22"/>
                    </w:rPr>
                    <w:t>0.0</w:t>
                  </w:r>
                  <w:r>
                    <w:rPr>
                      <w:rFonts w:hint="eastAsia"/>
                      <w:color w:val="auto"/>
                      <w:kern w:val="0"/>
                      <w:sz w:val="22"/>
                      <w:szCs w:val="22"/>
                      <w:lang w:val="en-US" w:eastAsia="zh-CN"/>
                    </w:rPr>
                    <w:t>3</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w:t>
                  </w:r>
                  <w:r>
                    <w:rPr>
                      <w:rFonts w:hint="eastAsia"/>
                      <w:color w:val="auto"/>
                      <w:kern w:val="0"/>
                      <w:sz w:val="21"/>
                      <w:szCs w:val="21"/>
                    </w:rPr>
                    <w:t>.000</w:t>
                  </w:r>
                  <w:r>
                    <w:rPr>
                      <w:rFonts w:hint="eastAsia"/>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500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rFonts w:hint="eastAsia"/>
                      <w:color w:val="auto"/>
                      <w:kern w:val="0"/>
                      <w:sz w:val="22"/>
                      <w:szCs w:val="22"/>
                    </w:rPr>
                    <w:t>0.02</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550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rFonts w:hint="eastAsia"/>
                      <w:color w:val="auto"/>
                      <w:kern w:val="0"/>
                      <w:sz w:val="22"/>
                      <w:szCs w:val="22"/>
                    </w:rPr>
                    <w:t>0.02</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600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rFonts w:hint="eastAsia"/>
                      <w:color w:val="auto"/>
                      <w:kern w:val="0"/>
                      <w:sz w:val="22"/>
                      <w:szCs w:val="22"/>
                    </w:rPr>
                    <w:t>0.02</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w:t>
                  </w:r>
                  <w:r>
                    <w:rPr>
                      <w:rFonts w:hint="eastAsia"/>
                      <w:color w:val="auto"/>
                      <w:kern w:val="0"/>
                      <w:sz w:val="21"/>
                      <w:szCs w:val="21"/>
                    </w:rPr>
                    <w:t>.000</w:t>
                  </w:r>
                  <w:r>
                    <w:rPr>
                      <w:rFonts w:hint="eastAsia"/>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650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w:t>
                  </w:r>
                  <w:r>
                    <w:rPr>
                      <w:rFonts w:hint="eastAsia"/>
                      <w:color w:val="auto"/>
                      <w:kern w:val="0"/>
                      <w:sz w:val="21"/>
                      <w:szCs w:val="21"/>
                    </w:rPr>
                    <w:t>.0</w:t>
                  </w:r>
                  <w:r>
                    <w:rPr>
                      <w:rFonts w:hint="eastAsia"/>
                      <w:color w:val="auto"/>
                      <w:kern w:val="0"/>
                      <w:sz w:val="21"/>
                      <w:szCs w:val="21"/>
                      <w:lang w:val="en-US" w:eastAsia="zh-CN"/>
                    </w:rPr>
                    <w:t>2</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w:t>
                  </w:r>
                  <w:r>
                    <w:rPr>
                      <w:rFonts w:hint="eastAsia"/>
                      <w:color w:val="auto"/>
                      <w:kern w:val="0"/>
                      <w:sz w:val="21"/>
                      <w:szCs w:val="21"/>
                    </w:rPr>
                    <w:t>.000</w:t>
                  </w:r>
                  <w:r>
                    <w:rPr>
                      <w:rFonts w:hint="eastAsia"/>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700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1"/>
                      <w:szCs w:val="21"/>
                    </w:rPr>
                    <w:t>0</w:t>
                  </w:r>
                  <w:r>
                    <w:rPr>
                      <w:rFonts w:hint="eastAsia"/>
                      <w:color w:val="auto"/>
                      <w:kern w:val="0"/>
                      <w:sz w:val="21"/>
                      <w:szCs w:val="21"/>
                    </w:rPr>
                    <w:t>.0</w:t>
                  </w:r>
                  <w:r>
                    <w:rPr>
                      <w:rFonts w:hint="eastAsia"/>
                      <w:color w:val="auto"/>
                      <w:kern w:val="0"/>
                      <w:sz w:val="21"/>
                      <w:szCs w:val="21"/>
                      <w:lang w:val="en-US" w:eastAsia="zh-CN"/>
                    </w:rPr>
                    <w:t>2</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750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800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850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900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950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1000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1050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1100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1150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1200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r>
                    <w:rPr>
                      <w:rFonts w:hint="eastAsia"/>
                      <w:color w:val="auto"/>
                      <w:kern w:val="0"/>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1250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1300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1350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1400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1450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1500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1550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1600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1650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1700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1750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1800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1850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1900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1950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2000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2050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2100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2150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2200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2250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2300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2350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2400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2450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1"/>
                      <w:szCs w:val="21"/>
                    </w:rPr>
                    <w:t>2500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color w:val="auto"/>
                      <w:kern w:val="0"/>
                      <w:sz w:val="21"/>
                      <w:szCs w:val="21"/>
                    </w:rPr>
                  </w:pPr>
                  <w:r>
                    <w:rPr>
                      <w:color w:val="auto"/>
                      <w:sz w:val="21"/>
                      <w:szCs w:val="21"/>
                    </w:rPr>
                    <w:t>下风向最大浓度</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23</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color w:val="auto"/>
                      <w:kern w:val="0"/>
                      <w:sz w:val="21"/>
                      <w:szCs w:val="21"/>
                    </w:rPr>
                  </w:pPr>
                  <w:r>
                    <w:rPr>
                      <w:color w:val="auto"/>
                      <w:sz w:val="21"/>
                      <w:szCs w:val="21"/>
                    </w:rPr>
                    <w:t>下风向最大浓度出现距离</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rPr>
                  </w:pPr>
                  <w:r>
                    <w:rPr>
                      <w:rFonts w:hint="eastAsia"/>
                      <w:color w:val="auto"/>
                      <w:kern w:val="0"/>
                      <w:sz w:val="22"/>
                      <w:szCs w:val="22"/>
                    </w:rPr>
                    <w:t>0.</w:t>
                  </w:r>
                  <w:r>
                    <w:rPr>
                      <w:rFonts w:hint="eastAsia"/>
                      <w:color w:val="auto"/>
                      <w:kern w:val="0"/>
                      <w:sz w:val="22"/>
                      <w:szCs w:val="22"/>
                      <w:lang w:val="en-US" w:eastAsia="zh-CN"/>
                    </w:rPr>
                    <w:t>61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rPr>
                  </w:pPr>
                  <w:r>
                    <w:rPr>
                      <w:color w:val="auto"/>
                      <w:kern w:val="0"/>
                      <w:sz w:val="21"/>
                      <w:szCs w:val="21"/>
                    </w:rPr>
                    <w:t>0.00</w:t>
                  </w:r>
                  <w:r>
                    <w:rPr>
                      <w:rFonts w:hint="eastAsia"/>
                      <w:color w:val="auto"/>
                      <w:kern w:val="0"/>
                      <w:sz w:val="21"/>
                      <w:szCs w:val="21"/>
                      <w:lang w:val="en-US" w:eastAsia="zh-CN"/>
                    </w:rPr>
                    <w:t>55</w:t>
                  </w:r>
                </w:p>
              </w:tc>
            </w:tr>
          </w:tbl>
          <w:p>
            <w:pPr>
              <w:pStyle w:val="27"/>
              <w:ind w:firstLine="0" w:firstLineChars="0"/>
              <w:jc w:val="center"/>
              <w:rPr>
                <w:color w:val="auto"/>
              </w:rPr>
            </w:pPr>
            <w:r>
              <w:rPr>
                <w:b/>
                <w:bCs/>
                <w:color w:val="auto"/>
              </w:rPr>
              <w:t>表7</w:t>
            </w:r>
            <w:r>
              <w:rPr>
                <w:rFonts w:hint="eastAsia"/>
                <w:b/>
                <w:bCs/>
                <w:color w:val="auto"/>
              </w:rPr>
              <w:t>-</w:t>
            </w:r>
            <w:r>
              <w:rPr>
                <w:rFonts w:hint="eastAsia"/>
                <w:b/>
                <w:bCs/>
                <w:color w:val="auto"/>
                <w:lang w:val="en-US" w:eastAsia="zh-CN"/>
              </w:rPr>
              <w:t>9</w:t>
            </w:r>
            <w:r>
              <w:rPr>
                <w:rFonts w:hint="eastAsia"/>
                <w:b/>
                <w:bCs/>
                <w:color w:val="auto"/>
              </w:rPr>
              <w:t xml:space="preserve">  排气筒PM</w:t>
            </w:r>
            <w:r>
              <w:rPr>
                <w:rFonts w:hint="eastAsia"/>
                <w:b/>
                <w:bCs/>
                <w:color w:val="auto"/>
                <w:vertAlign w:val="subscript"/>
              </w:rPr>
              <w:t>10</w:t>
            </w:r>
            <w:r>
              <w:rPr>
                <w:b/>
                <w:bCs/>
                <w:color w:val="auto"/>
              </w:rPr>
              <w:t>排放预测结果</w:t>
            </w:r>
          </w:p>
          <w:tbl>
            <w:tblPr>
              <w:tblStyle w:val="22"/>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80"/>
              <w:gridCol w:w="258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vMerge w:val="restart"/>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rFonts w:hint="eastAsia" w:eastAsia="宋体"/>
                      <w:b/>
                      <w:bCs/>
                      <w:color w:val="auto"/>
                      <w:kern w:val="0"/>
                      <w:sz w:val="21"/>
                      <w:szCs w:val="21"/>
                      <w:lang w:val="en-US" w:eastAsia="zh-CN"/>
                    </w:rPr>
                  </w:pPr>
                  <w:r>
                    <w:rPr>
                      <w:b/>
                      <w:bCs/>
                      <w:color w:val="auto"/>
                      <w:sz w:val="21"/>
                      <w:szCs w:val="21"/>
                    </w:rPr>
                    <w:t>下风向距离</w:t>
                  </w:r>
                  <w:r>
                    <w:rPr>
                      <w:rFonts w:hint="eastAsia"/>
                      <w:b/>
                      <w:bCs/>
                      <w:color w:val="auto"/>
                      <w:sz w:val="21"/>
                      <w:szCs w:val="21"/>
                      <w:lang w:eastAsia="zh-CN"/>
                    </w:rPr>
                    <w:t>（</w:t>
                  </w:r>
                  <w:r>
                    <w:rPr>
                      <w:rFonts w:hint="eastAsia"/>
                      <w:b/>
                      <w:bCs/>
                      <w:color w:val="auto"/>
                      <w:sz w:val="21"/>
                      <w:szCs w:val="21"/>
                      <w:lang w:val="en-US" w:eastAsia="zh-CN"/>
                    </w:rPr>
                    <w:t>m</w:t>
                  </w:r>
                  <w:r>
                    <w:rPr>
                      <w:rFonts w:hint="eastAsia"/>
                      <w:b/>
                      <w:bCs/>
                      <w:color w:val="auto"/>
                      <w:sz w:val="21"/>
                      <w:szCs w:val="21"/>
                      <w:lang w:eastAsia="zh-CN"/>
                    </w:rPr>
                    <w:t>）</w:t>
                  </w:r>
                </w:p>
              </w:tc>
              <w:tc>
                <w:tcPr>
                  <w:tcW w:w="5160" w:type="dxa"/>
                  <w:gridSpan w:val="2"/>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b/>
                      <w:bCs/>
                      <w:color w:val="auto"/>
                      <w:kern w:val="0"/>
                      <w:sz w:val="21"/>
                      <w:szCs w:val="21"/>
                    </w:rPr>
                  </w:pPr>
                  <w:r>
                    <w:rPr>
                      <w:b/>
                      <w:bCs/>
                      <w:color w:val="auto"/>
                      <w:sz w:val="21"/>
                      <w:szCs w:val="21"/>
                    </w:rPr>
                    <w:t>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vMerge w:val="continue"/>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b/>
                      <w:bCs/>
                      <w:color w:val="auto"/>
                      <w:kern w:val="0"/>
                      <w:sz w:val="21"/>
                      <w:szCs w:val="21"/>
                    </w:rPr>
                  </w:pPr>
                </w:p>
              </w:tc>
              <w:tc>
                <w:tcPr>
                  <w:tcW w:w="2580" w:type="dxa"/>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b/>
                      <w:bCs/>
                      <w:color w:val="auto"/>
                      <w:kern w:val="0"/>
                      <w:sz w:val="21"/>
                      <w:szCs w:val="21"/>
                    </w:rPr>
                  </w:pPr>
                  <w:r>
                    <w:rPr>
                      <w:b/>
                      <w:bCs/>
                      <w:color w:val="auto"/>
                      <w:sz w:val="21"/>
                      <w:szCs w:val="21"/>
                    </w:rPr>
                    <w:t>PM10占标率(%)</w:t>
                  </w:r>
                </w:p>
              </w:tc>
              <w:tc>
                <w:tcPr>
                  <w:tcW w:w="2580" w:type="dxa"/>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b/>
                      <w:bCs/>
                      <w:color w:val="auto"/>
                      <w:kern w:val="0"/>
                      <w:sz w:val="21"/>
                      <w:szCs w:val="21"/>
                    </w:rPr>
                  </w:pPr>
                  <w:r>
                    <w:rPr>
                      <w:b/>
                      <w:bCs/>
                      <w:color w:val="auto"/>
                      <w:sz w:val="21"/>
                      <w:szCs w:val="21"/>
                    </w:rPr>
                    <w:t>PM10浓度(μg/m³)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10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2"/>
                      <w:szCs w:val="22"/>
                      <w:u w:val="none"/>
                      <w:lang w:val="en-US" w:eastAsia="zh-CN" w:bidi="ar"/>
                    </w:rPr>
                    <w:t>0.000039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100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2"/>
                      <w:szCs w:val="22"/>
                      <w:u w:val="none"/>
                      <w:lang w:val="en-US" w:eastAsia="zh-CN" w:bidi="ar"/>
                    </w:rPr>
                    <w:t>0.000065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150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2"/>
                      <w:szCs w:val="22"/>
                      <w:u w:val="none"/>
                      <w:lang w:val="en-US" w:eastAsia="zh-CN" w:bidi="ar"/>
                    </w:rPr>
                    <w:t>0.000052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200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2"/>
                      <w:szCs w:val="22"/>
                      <w:u w:val="none"/>
                      <w:lang w:val="en-US" w:eastAsia="zh-CN" w:bidi="ar"/>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250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300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350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400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olor w:val="auto"/>
                      <w:sz w:val="21"/>
                      <w:szCs w:val="21"/>
                      <w:lang w:eastAsia="zh-CN"/>
                    </w:rPr>
                  </w:pPr>
                  <w:r>
                    <w:rPr>
                      <w:color w:val="auto"/>
                      <w:kern w:val="0"/>
                      <w:sz w:val="22"/>
                      <w:szCs w:val="22"/>
                    </w:rPr>
                    <w:t>0.0</w:t>
                  </w:r>
                  <w:r>
                    <w:rPr>
                      <w:rFonts w:hint="eastAsia"/>
                      <w:color w:val="auto"/>
                      <w:kern w:val="0"/>
                      <w:sz w:val="22"/>
                      <w:szCs w:val="22"/>
                      <w:lang w:val="en-US" w:eastAsia="zh-CN"/>
                    </w:rPr>
                    <w:t>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450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0.01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500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0.01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550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0.01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600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0.01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650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2"/>
                      <w:szCs w:val="22"/>
                    </w:rPr>
                    <w:t>0.01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2"/>
                      <w:szCs w:val="22"/>
                    </w:rPr>
                    <w:t>700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2"/>
                      <w:szCs w:val="22"/>
                    </w:rPr>
                    <w:t>0.01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auto"/>
                      <w:kern w:val="0"/>
                      <w:sz w:val="22"/>
                      <w:szCs w:val="22"/>
                      <w:u w:val="none"/>
                      <w:lang w:val="en-US" w:eastAsia="zh-CN" w:bidi="ar"/>
                    </w:rPr>
                    <w:t>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750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0.01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800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rPr>
                    <w:t>0.01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850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rPr>
                    <w:t>0.01</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900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950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1000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1050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1100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1150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1200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1250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1300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1350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1400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1450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1500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1550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1600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1650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1700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1750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1800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1850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1900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1950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2000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2050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2100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2150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2200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2250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2300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2350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2400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2450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1"/>
                      <w:szCs w:val="21"/>
                    </w:rPr>
                    <w:t>2500</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1"/>
                      <w:szCs w:val="21"/>
                    </w:rPr>
                    <w:t>0</w:t>
                  </w:r>
                </w:p>
              </w:tc>
              <w:tc>
                <w:tcPr>
                  <w:tcW w:w="25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auto"/>
                      <w:kern w:val="0"/>
                      <w:sz w:val="22"/>
                      <w:szCs w:val="22"/>
                      <w:u w:val="none"/>
                      <w:lang w:val="en-US" w:eastAsia="zh-CN" w:bidi="ar"/>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color w:val="auto"/>
                      <w:kern w:val="0"/>
                      <w:sz w:val="21"/>
                      <w:szCs w:val="21"/>
                    </w:rPr>
                  </w:pPr>
                  <w:r>
                    <w:rPr>
                      <w:color w:val="auto"/>
                      <w:sz w:val="21"/>
                      <w:szCs w:val="21"/>
                    </w:rPr>
                    <w:t>下风向最大浓度</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1"/>
                      <w:szCs w:val="21"/>
                    </w:rPr>
                    <w:t>81</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580" w:type="dxa"/>
                  <w:tcBorders>
                    <w:tl2br w:val="nil"/>
                    <w:tr2bl w:val="nil"/>
                  </w:tcBorders>
                  <w:shd w:val="clear" w:color="auto" w:fill="auto"/>
                  <w:noWrap/>
                  <w:tcMar>
                    <w:top w:w="15" w:type="dxa"/>
                    <w:left w:w="15" w:type="dxa"/>
                    <w:right w:w="15" w:type="dxa"/>
                  </w:tcMar>
                  <w:vAlign w:val="center"/>
                </w:tcPr>
                <w:p>
                  <w:pPr>
                    <w:spacing w:line="240" w:lineRule="auto"/>
                    <w:ind w:firstLine="0" w:firstLineChars="0"/>
                    <w:jc w:val="center"/>
                    <w:rPr>
                      <w:color w:val="auto"/>
                      <w:kern w:val="0"/>
                      <w:sz w:val="21"/>
                      <w:szCs w:val="21"/>
                    </w:rPr>
                  </w:pPr>
                  <w:r>
                    <w:rPr>
                      <w:color w:val="auto"/>
                      <w:sz w:val="21"/>
                      <w:szCs w:val="21"/>
                    </w:rPr>
                    <w:t>下风向最大浓度出现距离</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color w:val="auto"/>
                      <w:kern w:val="0"/>
                      <w:sz w:val="21"/>
                      <w:szCs w:val="21"/>
                    </w:rPr>
                  </w:pPr>
                  <w:r>
                    <w:rPr>
                      <w:color w:val="auto"/>
                      <w:kern w:val="0"/>
                      <w:sz w:val="22"/>
                      <w:szCs w:val="22"/>
                    </w:rPr>
                    <w:t>0.0</w:t>
                  </w:r>
                  <w:r>
                    <w:rPr>
                      <w:rFonts w:hint="eastAsia"/>
                      <w:color w:val="auto"/>
                      <w:kern w:val="0"/>
                      <w:sz w:val="22"/>
                      <w:szCs w:val="22"/>
                    </w:rPr>
                    <w:t>6</w:t>
                  </w:r>
                </w:p>
              </w:tc>
              <w:tc>
                <w:tcPr>
                  <w:tcW w:w="2580" w:type="dxa"/>
                  <w:tcBorders>
                    <w:tl2br w:val="nil"/>
                    <w:tr2bl w:val="nil"/>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olor w:val="auto"/>
                      <w:kern w:val="0"/>
                      <w:sz w:val="21"/>
                      <w:szCs w:val="21"/>
                      <w:lang w:val="en-US" w:eastAsia="zh-CN"/>
                    </w:rPr>
                  </w:pPr>
                  <w:r>
                    <w:rPr>
                      <w:color w:val="auto"/>
                      <w:kern w:val="0"/>
                      <w:sz w:val="21"/>
                      <w:szCs w:val="21"/>
                    </w:rPr>
                    <w:t>0.000</w:t>
                  </w:r>
                  <w:r>
                    <w:rPr>
                      <w:rFonts w:hint="eastAsia"/>
                      <w:color w:val="auto"/>
                      <w:kern w:val="0"/>
                      <w:sz w:val="21"/>
                      <w:szCs w:val="21"/>
                      <w:lang w:val="en-US" w:eastAsia="zh-CN"/>
                    </w:rPr>
                    <w:t>066</w:t>
                  </w:r>
                </w:p>
              </w:tc>
            </w:tr>
          </w:tbl>
          <w:p>
            <w:pPr>
              <w:ind w:firstLine="480"/>
              <w:rPr>
                <w:color w:val="auto"/>
              </w:rPr>
            </w:pPr>
            <w:r>
              <w:rPr>
                <w:color w:val="auto"/>
              </w:rPr>
              <w:t>根据AERSCREEN模型计算</w:t>
            </w:r>
            <w:r>
              <w:rPr>
                <w:rFonts w:hint="eastAsia"/>
                <w:color w:val="auto"/>
              </w:rPr>
              <w:t>，项目区无组织排放的颗粒物最大落地浓度为0.00</w:t>
            </w:r>
            <w:r>
              <w:rPr>
                <w:rFonts w:hint="eastAsia"/>
                <w:color w:val="auto"/>
                <w:lang w:val="en-US" w:eastAsia="zh-CN"/>
              </w:rPr>
              <w:t>55</w:t>
            </w:r>
            <w:r>
              <w:rPr>
                <w:color w:val="auto"/>
              </w:rPr>
              <w:t>mg/m</w:t>
            </w:r>
            <w:r>
              <w:rPr>
                <w:color w:val="auto"/>
                <w:vertAlign w:val="superscript"/>
              </w:rPr>
              <w:t>3</w:t>
            </w:r>
            <w:r>
              <w:rPr>
                <w:rFonts w:hint="eastAsia"/>
                <w:color w:val="auto"/>
              </w:rPr>
              <w:t>，最大落地浓度出现在下风向23m处，其占标率为0.</w:t>
            </w:r>
            <w:r>
              <w:rPr>
                <w:rFonts w:hint="eastAsia"/>
                <w:color w:val="auto"/>
                <w:lang w:val="en-US" w:eastAsia="zh-CN"/>
              </w:rPr>
              <w:t>61</w:t>
            </w:r>
            <w:r>
              <w:rPr>
                <w:rFonts w:hint="eastAsia"/>
                <w:color w:val="auto"/>
              </w:rPr>
              <w:t>%。</w:t>
            </w:r>
            <w:r>
              <w:rPr>
                <w:rFonts w:hint="eastAsia" w:asciiTheme="minorEastAsia" w:hAnsiTheme="minorEastAsia" w:eastAsiaTheme="minorEastAsia" w:cstheme="minorEastAsia"/>
                <w:color w:val="auto"/>
              </w:rPr>
              <w:t>最大落地浓度</w:t>
            </w:r>
            <w:r>
              <w:rPr>
                <w:color w:val="auto"/>
              </w:rPr>
              <w:t>远小于《环境空气质量标准》（GB 3095-2012）表1值即TSP浓度限值900μg/m³</w:t>
            </w:r>
            <w:r>
              <w:rPr>
                <w:rFonts w:hint="eastAsia"/>
                <w:color w:val="auto"/>
              </w:rPr>
              <w:t>。</w:t>
            </w:r>
            <w:r>
              <w:rPr>
                <w:color w:val="auto"/>
              </w:rPr>
              <w:t>因此，本项目</w:t>
            </w:r>
            <w:r>
              <w:rPr>
                <w:rFonts w:hint="eastAsia"/>
                <w:color w:val="auto"/>
              </w:rPr>
              <w:t>无</w:t>
            </w:r>
            <w:r>
              <w:rPr>
                <w:color w:val="auto"/>
              </w:rPr>
              <w:t>组织排放的TSP对周围环境影响轻微。</w:t>
            </w:r>
            <w:r>
              <w:rPr>
                <w:rFonts w:hint="eastAsia"/>
                <w:color w:val="auto"/>
              </w:rPr>
              <w:t>项目区有组织</w:t>
            </w:r>
            <w:r>
              <w:rPr>
                <w:color w:val="auto"/>
              </w:rPr>
              <w:t>排放的</w:t>
            </w:r>
            <w:r>
              <w:rPr>
                <w:rFonts w:hint="eastAsia"/>
                <w:color w:val="auto"/>
              </w:rPr>
              <w:t>PM</w:t>
            </w:r>
            <w:r>
              <w:rPr>
                <w:rFonts w:hint="eastAsia"/>
                <w:color w:val="auto"/>
                <w:vertAlign w:val="subscript"/>
              </w:rPr>
              <w:t>10</w:t>
            </w:r>
            <w:r>
              <w:rPr>
                <w:rFonts w:hint="eastAsia"/>
                <w:color w:val="auto"/>
              </w:rPr>
              <w:t>最大占标率为0.0</w:t>
            </w:r>
            <w:r>
              <w:rPr>
                <w:rFonts w:hint="eastAsia"/>
                <w:color w:val="auto"/>
                <w:lang w:val="en-US" w:eastAsia="zh-CN"/>
              </w:rPr>
              <w:t>1</w:t>
            </w:r>
            <w:r>
              <w:rPr>
                <w:rFonts w:hint="eastAsia"/>
                <w:color w:val="auto"/>
              </w:rPr>
              <w:t>%，</w:t>
            </w:r>
            <w:r>
              <w:rPr>
                <w:color w:val="auto"/>
              </w:rPr>
              <w:t>最大落地浓度为</w:t>
            </w:r>
            <w:r>
              <w:rPr>
                <w:rFonts w:hint="eastAsia"/>
                <w:color w:val="auto"/>
              </w:rPr>
              <w:t>0.000</w:t>
            </w:r>
            <w:r>
              <w:rPr>
                <w:rFonts w:hint="eastAsia"/>
                <w:color w:val="auto"/>
                <w:lang w:val="en-US" w:eastAsia="zh-CN"/>
              </w:rPr>
              <w:t>066</w:t>
            </w:r>
            <w:r>
              <w:rPr>
                <w:color w:val="auto"/>
              </w:rPr>
              <w:t>ug/m</w:t>
            </w:r>
            <w:r>
              <w:rPr>
                <w:color w:val="auto"/>
                <w:vertAlign w:val="superscript"/>
              </w:rPr>
              <w:t>3</w:t>
            </w:r>
            <w:r>
              <w:rPr>
                <w:rFonts w:hint="eastAsia" w:asciiTheme="minorEastAsia" w:hAnsiTheme="minorEastAsia" w:eastAsiaTheme="minorEastAsia" w:cstheme="minorEastAsia"/>
                <w:color w:val="auto"/>
              </w:rPr>
              <w:t>，</w:t>
            </w:r>
            <w:r>
              <w:rPr>
                <w:rFonts w:hint="eastAsia"/>
                <w:color w:val="auto"/>
              </w:rPr>
              <w:t>出现在下风向15m处，</w:t>
            </w:r>
            <w:r>
              <w:rPr>
                <w:rFonts w:hint="eastAsia" w:asciiTheme="minorEastAsia" w:hAnsiTheme="minorEastAsia" w:eastAsiaTheme="minorEastAsia" w:cstheme="minorEastAsia"/>
                <w:color w:val="auto"/>
              </w:rPr>
              <w:t>最大落地浓度</w:t>
            </w:r>
            <w:r>
              <w:rPr>
                <w:color w:val="auto"/>
              </w:rPr>
              <w:t>远小于《环境空气质量标准》（GB 3095-2012）表1</w:t>
            </w:r>
            <w:r>
              <w:rPr>
                <w:rFonts w:hint="eastAsia"/>
                <w:color w:val="auto"/>
              </w:rPr>
              <w:t>限</w:t>
            </w:r>
            <w:r>
              <w:rPr>
                <w:color w:val="auto"/>
              </w:rPr>
              <w:t>值即</w:t>
            </w:r>
            <w:r>
              <w:rPr>
                <w:rFonts w:hint="eastAsia"/>
                <w:color w:val="auto"/>
              </w:rPr>
              <w:t>PM</w:t>
            </w:r>
            <w:r>
              <w:rPr>
                <w:rFonts w:hint="eastAsia"/>
                <w:color w:val="auto"/>
                <w:vertAlign w:val="subscript"/>
              </w:rPr>
              <w:t>10</w:t>
            </w:r>
            <w:r>
              <w:rPr>
                <w:color w:val="auto"/>
              </w:rPr>
              <w:t>浓度限值</w:t>
            </w:r>
            <w:r>
              <w:rPr>
                <w:rFonts w:hint="eastAsia"/>
                <w:color w:val="auto"/>
              </w:rPr>
              <w:t>450</w:t>
            </w:r>
            <w:r>
              <w:rPr>
                <w:color w:val="auto"/>
              </w:rPr>
              <w:t>μg/m³</w:t>
            </w:r>
            <w:r>
              <w:rPr>
                <w:rFonts w:hint="eastAsia"/>
                <w:color w:val="auto"/>
              </w:rPr>
              <w:t>。</w:t>
            </w:r>
            <w:r>
              <w:rPr>
                <w:color w:val="auto"/>
              </w:rPr>
              <w:t>因此，</w:t>
            </w:r>
            <w:r>
              <w:rPr>
                <w:rFonts w:hint="eastAsia"/>
                <w:color w:val="auto"/>
              </w:rPr>
              <w:t>排气筒有组织</w:t>
            </w:r>
            <w:r>
              <w:rPr>
                <w:color w:val="auto"/>
              </w:rPr>
              <w:t>排放的</w:t>
            </w:r>
            <w:r>
              <w:rPr>
                <w:rFonts w:hint="eastAsia"/>
                <w:color w:val="auto"/>
              </w:rPr>
              <w:t>PM</w:t>
            </w:r>
            <w:r>
              <w:rPr>
                <w:rFonts w:hint="eastAsia"/>
                <w:color w:val="auto"/>
                <w:vertAlign w:val="subscript"/>
              </w:rPr>
              <w:t>10</w:t>
            </w:r>
            <w:r>
              <w:rPr>
                <w:color w:val="auto"/>
              </w:rPr>
              <w:t>对周围环境影响轻微。</w:t>
            </w:r>
          </w:p>
          <w:p>
            <w:pPr>
              <w:widowControl/>
              <w:snapToGrid w:val="0"/>
              <w:ind w:firstLine="480"/>
              <w:rPr>
                <w:color w:val="000000" w:themeColor="text1"/>
              </w:rPr>
            </w:pPr>
            <w:r>
              <w:rPr>
                <w:rFonts w:hint="eastAsia"/>
                <w:color w:val="000000" w:themeColor="text1"/>
              </w:rPr>
              <w:t>综上，根据</w:t>
            </w:r>
            <w:r>
              <w:rPr>
                <w:color w:val="000000" w:themeColor="text1"/>
              </w:rPr>
              <w:t>《环境影响评价技术导则 大气环境》（HJ2.2-2018）中的评价等级划分，项目属于</w:t>
            </w:r>
            <w:r>
              <w:rPr>
                <w:rFonts w:hint="eastAsia"/>
                <w:color w:val="000000" w:themeColor="text1"/>
              </w:rPr>
              <w:t>三</w:t>
            </w:r>
            <w:r>
              <w:rPr>
                <w:color w:val="000000" w:themeColor="text1"/>
              </w:rPr>
              <w:t>级评价，</w:t>
            </w:r>
            <w:r>
              <w:rPr>
                <w:rFonts w:hint="eastAsia"/>
                <w:color w:val="000000" w:themeColor="text1"/>
              </w:rPr>
              <w:t>项目产生的大气污染物对周边环境影响较小。</w:t>
            </w:r>
            <w:r>
              <w:rPr>
                <w:color w:val="000000" w:themeColor="text1"/>
              </w:rPr>
              <w:t>根据导则要求，</w:t>
            </w:r>
            <w:r>
              <w:rPr>
                <w:rFonts w:hint="eastAsia"/>
                <w:color w:val="000000" w:themeColor="text1"/>
              </w:rPr>
              <w:t>三</w:t>
            </w:r>
            <w:r>
              <w:rPr>
                <w:color w:val="000000" w:themeColor="text1"/>
              </w:rPr>
              <w:t>级评价不进行进一步预测评价</w:t>
            </w:r>
            <w:r>
              <w:rPr>
                <w:rFonts w:hint="eastAsia"/>
                <w:color w:val="000000" w:themeColor="text1"/>
              </w:rPr>
              <w:t>。</w:t>
            </w:r>
          </w:p>
          <w:p>
            <w:pPr>
              <w:adjustRightInd w:val="0"/>
              <w:snapToGrid w:val="0"/>
              <w:ind w:firstLine="480"/>
              <w:rPr>
                <w:color w:val="000000" w:themeColor="text1"/>
              </w:rPr>
            </w:pPr>
            <w:r>
              <w:rPr>
                <w:rFonts w:hint="eastAsia"/>
                <w:color w:val="000000" w:themeColor="text1"/>
              </w:rPr>
              <w:t>此外，根据表3-4可知，距离项目区最近的居民点为西北侧的麦冲村，其距离项目区275m，结合表7-5预测结果，项目无组织及有组织粉尘排放量较小，对周围居民点的影响小。</w:t>
            </w:r>
          </w:p>
          <w:p>
            <w:pPr>
              <w:adjustRightInd w:val="0"/>
              <w:snapToGrid w:val="0"/>
              <w:ind w:firstLine="482"/>
              <w:rPr>
                <w:b/>
                <w:color w:val="000000" w:themeColor="text1"/>
              </w:rPr>
            </w:pPr>
            <w:r>
              <w:rPr>
                <w:rFonts w:hint="eastAsia"/>
                <w:b/>
                <w:color w:val="000000" w:themeColor="text1"/>
              </w:rPr>
              <w:t>②车辆运输扬尘</w:t>
            </w:r>
          </w:p>
          <w:p>
            <w:pPr>
              <w:adjustRightInd w:val="0"/>
              <w:snapToGrid w:val="0"/>
              <w:ind w:firstLine="480"/>
              <w:rPr>
                <w:color w:val="000000" w:themeColor="text1"/>
              </w:rPr>
            </w:pPr>
            <w:r>
              <w:rPr>
                <w:rFonts w:hint="eastAsia"/>
                <w:color w:val="000000" w:themeColor="text1"/>
              </w:rPr>
              <w:t>项目区内道路采用活动软管定时洒水抑尘的措施，始终保持路面湿润后的扬尘量为0.013t/a。环评要求</w:t>
            </w:r>
            <w:r>
              <w:rPr>
                <w:rFonts w:hint="eastAsia"/>
              </w:rPr>
              <w:t>运输车辆需进行物料遮盖，道路及时洒水降尘，则</w:t>
            </w:r>
            <w:r>
              <w:rPr>
                <w:rFonts w:hint="eastAsia"/>
                <w:color w:val="000000" w:themeColor="text1"/>
              </w:rPr>
              <w:t>运输扬尘经大气稀释扩散后对周围环境影响小。</w:t>
            </w:r>
          </w:p>
          <w:p>
            <w:pPr>
              <w:adjustRightInd w:val="0"/>
              <w:snapToGrid w:val="0"/>
              <w:ind w:firstLine="482"/>
              <w:rPr>
                <w:b/>
                <w:color w:val="000000" w:themeColor="text1"/>
              </w:rPr>
            </w:pPr>
            <w:r>
              <w:rPr>
                <w:rFonts w:hint="eastAsia"/>
                <w:b/>
                <w:color w:val="000000" w:themeColor="text1"/>
              </w:rPr>
              <w:t>③厨房油烟</w:t>
            </w:r>
          </w:p>
          <w:p>
            <w:pPr>
              <w:adjustRightInd w:val="0"/>
              <w:snapToGrid w:val="0"/>
              <w:ind w:firstLine="480"/>
              <w:rPr>
                <w:color w:val="000000" w:themeColor="text1"/>
              </w:rPr>
            </w:pPr>
            <w:r>
              <w:rPr>
                <w:rFonts w:hint="eastAsia"/>
                <w:color w:val="000000" w:themeColor="text1"/>
              </w:rPr>
              <w:t>根据工程分析，食堂油烟经抽油烟机抽吸后通过烟囱外排，排放量为0.0011t/a，产生量较少，最终通过大气稀释扩散，对周围环境影响小。</w:t>
            </w:r>
          </w:p>
          <w:p>
            <w:pPr>
              <w:adjustRightInd w:val="0"/>
              <w:snapToGrid w:val="0"/>
              <w:ind w:firstLine="482"/>
              <w:rPr>
                <w:b/>
                <w:color w:val="000000" w:themeColor="text1"/>
              </w:rPr>
            </w:pPr>
            <w:r>
              <w:rPr>
                <w:rFonts w:hint="eastAsia"/>
                <w:b/>
                <w:color w:val="000000" w:themeColor="text1"/>
              </w:rPr>
              <w:t>④车辆尾气</w:t>
            </w:r>
          </w:p>
          <w:p>
            <w:pPr>
              <w:adjustRightInd w:val="0"/>
              <w:snapToGrid w:val="0"/>
              <w:ind w:firstLine="480"/>
              <w:rPr>
                <w:color w:val="000000" w:themeColor="text1"/>
              </w:rPr>
            </w:pPr>
            <w:r>
              <w:rPr>
                <w:rFonts w:hint="eastAsia"/>
                <w:color w:val="000000" w:themeColor="text1"/>
              </w:rPr>
              <w:t>本项目运营期间有运输车辆进入，将会产生少量的汽车尾气。由于汽车启动时间较短，废气产生量较小，且厂区通风条件较好，因此，汽车尾气排放对周围大气环境影响小。</w:t>
            </w:r>
          </w:p>
          <w:p>
            <w:pPr>
              <w:adjustRightInd w:val="0"/>
              <w:snapToGrid w:val="0"/>
              <w:ind w:firstLine="482"/>
              <w:rPr>
                <w:b/>
                <w:color w:val="000000" w:themeColor="text1"/>
              </w:rPr>
            </w:pPr>
            <w:r>
              <w:rPr>
                <w:rFonts w:hint="eastAsia"/>
                <w:b/>
                <w:color w:val="000000" w:themeColor="text1"/>
              </w:rPr>
              <w:t>（2）大气环境防护距离</w:t>
            </w:r>
          </w:p>
          <w:p>
            <w:pPr>
              <w:snapToGrid w:val="0"/>
              <w:ind w:firstLine="480"/>
              <w:textAlignment w:val="baseline"/>
              <w:rPr>
                <w:color w:val="000000" w:themeColor="text1"/>
              </w:rPr>
            </w:pPr>
            <w:r>
              <w:rPr>
                <w:rFonts w:hint="eastAsia"/>
                <w:color w:val="000000" w:themeColor="text1"/>
              </w:rPr>
              <w:t>根据《环境影响评价技术导则 大气环境》 (HJ2.2-2018) 推荐的预测模式计算，项目区粉尘的大气环境防护距离计算结果为“无超标点”，即本项目不需要设置大气环境防护距离。</w:t>
            </w:r>
          </w:p>
          <w:p>
            <w:pPr>
              <w:snapToGrid w:val="0"/>
              <w:ind w:firstLine="482"/>
              <w:rPr>
                <w:b/>
                <w:color w:val="000000" w:themeColor="text1"/>
                <w:u w:val="single"/>
              </w:rPr>
            </w:pPr>
            <w:r>
              <w:rPr>
                <w:rFonts w:hint="eastAsia"/>
                <w:b/>
                <w:color w:val="000000" w:themeColor="text1"/>
                <w:u w:val="single"/>
              </w:rPr>
              <w:t>项目大气环境影响评价自查表见附件</w:t>
            </w:r>
            <w:r>
              <w:rPr>
                <w:rFonts w:hint="eastAsia"/>
                <w:b/>
                <w:color w:val="000000" w:themeColor="text1"/>
                <w:u w:val="single"/>
                <w:lang w:val="en-US" w:eastAsia="zh-CN"/>
              </w:rPr>
              <w:t>6</w:t>
            </w:r>
            <w:r>
              <w:rPr>
                <w:rFonts w:hint="eastAsia"/>
                <w:b/>
                <w:color w:val="000000" w:themeColor="text1"/>
                <w:u w:val="single"/>
              </w:rPr>
              <w:t>。</w:t>
            </w:r>
          </w:p>
          <w:p>
            <w:pPr>
              <w:adjustRightInd w:val="0"/>
              <w:snapToGrid w:val="0"/>
              <w:ind w:firstLine="482"/>
              <w:rPr>
                <w:b/>
                <w:color w:val="000000" w:themeColor="text1"/>
              </w:rPr>
            </w:pPr>
            <w:r>
              <w:rPr>
                <w:rFonts w:hint="eastAsia"/>
                <w:b/>
                <w:color w:val="000000" w:themeColor="text1"/>
              </w:rPr>
              <w:t>2</w:t>
            </w:r>
            <w:r>
              <w:rPr>
                <w:b/>
                <w:color w:val="000000" w:themeColor="text1"/>
              </w:rPr>
              <w:t>、</w:t>
            </w:r>
            <w:r>
              <w:rPr>
                <w:rFonts w:hint="eastAsia"/>
                <w:b/>
                <w:color w:val="000000" w:themeColor="text1"/>
              </w:rPr>
              <w:t>地表水环境</w:t>
            </w:r>
            <w:r>
              <w:rPr>
                <w:b/>
                <w:color w:val="000000" w:themeColor="text1"/>
              </w:rPr>
              <w:t>影响分析</w:t>
            </w:r>
          </w:p>
          <w:p>
            <w:pPr>
              <w:snapToGrid w:val="0"/>
              <w:ind w:firstLine="482"/>
              <w:rPr>
                <w:b/>
                <w:color w:val="000000" w:themeColor="text1"/>
              </w:rPr>
            </w:pPr>
            <w:r>
              <w:rPr>
                <w:rFonts w:hint="eastAsia"/>
                <w:b/>
                <w:color w:val="000000" w:themeColor="text1"/>
              </w:rPr>
              <w:t>（1）评价等级判定</w:t>
            </w:r>
          </w:p>
          <w:p>
            <w:pPr>
              <w:snapToGrid w:val="0"/>
              <w:ind w:firstLine="480"/>
              <w:rPr>
                <w:color w:val="000000" w:themeColor="text1"/>
              </w:rPr>
            </w:pPr>
            <w:r>
              <w:rPr>
                <w:rFonts w:hint="eastAsia"/>
                <w:color w:val="000000" w:themeColor="text1"/>
              </w:rPr>
              <w:t>根据《环境影响评价技术导则  地表水环境》（HJ2.3-2018），水污染影响型建设项目评价分级判定见下表7-</w:t>
            </w:r>
            <w:r>
              <w:rPr>
                <w:rFonts w:hint="eastAsia"/>
                <w:color w:val="000000" w:themeColor="text1"/>
                <w:lang w:val="en-US" w:eastAsia="zh-CN"/>
              </w:rPr>
              <w:t>10</w:t>
            </w:r>
            <w:r>
              <w:rPr>
                <w:rFonts w:hint="eastAsia"/>
                <w:color w:val="000000" w:themeColor="text1"/>
              </w:rPr>
              <w:t>。</w:t>
            </w:r>
          </w:p>
          <w:p>
            <w:pPr>
              <w:ind w:firstLine="482"/>
              <w:jc w:val="center"/>
              <w:rPr>
                <w:rFonts w:hAnsi="宋体"/>
                <w:b/>
                <w:color w:val="000000" w:themeColor="text1"/>
                <w:szCs w:val="21"/>
              </w:rPr>
            </w:pPr>
            <w:r>
              <w:rPr>
                <w:rFonts w:hint="eastAsia" w:hAnsi="宋体"/>
                <w:b/>
                <w:color w:val="000000" w:themeColor="text1"/>
                <w:szCs w:val="21"/>
              </w:rPr>
              <w:t>表7-</w:t>
            </w:r>
            <w:r>
              <w:rPr>
                <w:rFonts w:hint="eastAsia" w:hAnsi="宋体"/>
                <w:b/>
                <w:color w:val="000000" w:themeColor="text1"/>
                <w:szCs w:val="21"/>
                <w:lang w:val="en-US" w:eastAsia="zh-CN"/>
              </w:rPr>
              <w:t>10</w:t>
            </w:r>
            <w:r>
              <w:rPr>
                <w:rFonts w:hint="eastAsia" w:hAnsi="宋体"/>
                <w:b/>
                <w:color w:val="000000" w:themeColor="text1"/>
                <w:szCs w:val="21"/>
              </w:rPr>
              <w:t xml:space="preserve">   水污染影响型建设项目评价分级判定</w:t>
            </w:r>
          </w:p>
          <w:tbl>
            <w:tblPr>
              <w:tblStyle w:val="22"/>
              <w:tblW w:w="8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2"/>
              <w:gridCol w:w="1949"/>
              <w:gridCol w:w="4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592" w:type="dxa"/>
                  <w:vMerge w:val="restart"/>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评价工作等级</w:t>
                  </w:r>
                </w:p>
              </w:tc>
              <w:tc>
                <w:tcPr>
                  <w:tcW w:w="6607" w:type="dxa"/>
                  <w:gridSpan w:val="2"/>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592" w:type="dxa"/>
                  <w:vMerge w:val="continue"/>
                  <w:vAlign w:val="center"/>
                </w:tcPr>
                <w:p>
                  <w:pPr>
                    <w:pStyle w:val="36"/>
                    <w:spacing w:line="240" w:lineRule="auto"/>
                    <w:jc w:val="center"/>
                    <w:rPr>
                      <w:rFonts w:ascii="Times New Roman"/>
                      <w:color w:val="000000" w:themeColor="text1"/>
                      <w:sz w:val="21"/>
                      <w:szCs w:val="21"/>
                    </w:rPr>
                  </w:pPr>
                </w:p>
              </w:tc>
              <w:tc>
                <w:tcPr>
                  <w:tcW w:w="1949" w:type="dxa"/>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排放方式</w:t>
                  </w:r>
                </w:p>
              </w:tc>
              <w:tc>
                <w:tcPr>
                  <w:tcW w:w="4658" w:type="dxa"/>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废水排放量Q/（m</w:t>
                  </w:r>
                  <w:r>
                    <w:rPr>
                      <w:rFonts w:hint="eastAsia" w:ascii="Times New Roman"/>
                      <w:color w:val="000000" w:themeColor="text1"/>
                      <w:sz w:val="21"/>
                      <w:szCs w:val="21"/>
                      <w:vertAlign w:val="superscript"/>
                    </w:rPr>
                    <w:t>3</w:t>
                  </w:r>
                  <w:r>
                    <w:rPr>
                      <w:rFonts w:hint="eastAsia" w:ascii="Times New Roman"/>
                      <w:color w:val="000000" w:themeColor="text1"/>
                      <w:sz w:val="21"/>
                      <w:szCs w:val="21"/>
                    </w:rPr>
                    <w:t>/d）；水污染当量数（W/（无量纲）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jc w:val="center"/>
              </w:trPr>
              <w:tc>
                <w:tcPr>
                  <w:tcW w:w="1592" w:type="dxa"/>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一级</w:t>
                  </w:r>
                </w:p>
              </w:tc>
              <w:tc>
                <w:tcPr>
                  <w:tcW w:w="1949" w:type="dxa"/>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直接排放</w:t>
                  </w:r>
                </w:p>
              </w:tc>
              <w:tc>
                <w:tcPr>
                  <w:tcW w:w="4658" w:type="dxa"/>
                  <w:vAlign w:val="center"/>
                </w:tcPr>
                <w:p>
                  <w:pPr>
                    <w:pStyle w:val="36"/>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Q≥20000或W≥600000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jc w:val="center"/>
              </w:trPr>
              <w:tc>
                <w:tcPr>
                  <w:tcW w:w="1592" w:type="dxa"/>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二级</w:t>
                  </w:r>
                </w:p>
              </w:tc>
              <w:tc>
                <w:tcPr>
                  <w:tcW w:w="1949" w:type="dxa"/>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直接排放</w:t>
                  </w:r>
                </w:p>
              </w:tc>
              <w:tc>
                <w:tcPr>
                  <w:tcW w:w="4658" w:type="dxa"/>
                  <w:vAlign w:val="center"/>
                </w:tcPr>
                <w:p>
                  <w:pPr>
                    <w:pStyle w:val="36"/>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jc w:val="center"/>
              </w:trPr>
              <w:tc>
                <w:tcPr>
                  <w:tcW w:w="1592" w:type="dxa"/>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三级A</w:t>
                  </w:r>
                </w:p>
              </w:tc>
              <w:tc>
                <w:tcPr>
                  <w:tcW w:w="1949" w:type="dxa"/>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直接排放</w:t>
                  </w:r>
                </w:p>
              </w:tc>
              <w:tc>
                <w:tcPr>
                  <w:tcW w:w="4658" w:type="dxa"/>
                  <w:vAlign w:val="center"/>
                </w:tcPr>
                <w:p>
                  <w:pPr>
                    <w:pStyle w:val="36"/>
                    <w:spacing w:line="24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Q≤200且W≤6000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jc w:val="center"/>
              </w:trPr>
              <w:tc>
                <w:tcPr>
                  <w:tcW w:w="1592" w:type="dxa"/>
                  <w:tcBorders>
                    <w:bottom w:val="single" w:color="000000" w:sz="4" w:space="0"/>
                  </w:tcBorders>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三级B</w:t>
                  </w:r>
                </w:p>
              </w:tc>
              <w:tc>
                <w:tcPr>
                  <w:tcW w:w="1949" w:type="dxa"/>
                  <w:tcBorders>
                    <w:bottom w:val="single" w:color="000000" w:sz="4" w:space="0"/>
                  </w:tcBorders>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间接排放</w:t>
                  </w:r>
                </w:p>
              </w:tc>
              <w:tc>
                <w:tcPr>
                  <w:tcW w:w="4658" w:type="dxa"/>
                  <w:tcBorders>
                    <w:bottom w:val="single" w:color="000000" w:sz="4" w:space="0"/>
                  </w:tcBorders>
                  <w:vAlign w:val="center"/>
                </w:tcPr>
                <w:p>
                  <w:pPr>
                    <w:pStyle w:val="36"/>
                    <w:spacing w:line="240" w:lineRule="auto"/>
                    <w:jc w:val="center"/>
                    <w:rPr>
                      <w:rFonts w:ascii="Times New Roman"/>
                      <w:color w:val="000000" w:themeColor="text1"/>
                      <w:sz w:val="21"/>
                      <w:szCs w:val="21"/>
                    </w:rPr>
                  </w:pPr>
                  <w:r>
                    <w:rPr>
                      <w:rFonts w:hint="eastAsia" w:ascii="Times New Roman"/>
                      <w:color w:val="000000" w:themeColor="text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jc w:val="center"/>
              </w:trPr>
              <w:tc>
                <w:tcPr>
                  <w:tcW w:w="8199" w:type="dxa"/>
                  <w:gridSpan w:val="3"/>
                  <w:shd w:val="clear" w:color="auto" w:fill="BFBFBF"/>
                  <w:vAlign w:val="center"/>
                </w:tcPr>
                <w:p>
                  <w:pPr>
                    <w:pStyle w:val="36"/>
                    <w:spacing w:line="240" w:lineRule="auto"/>
                    <w:jc w:val="left"/>
                    <w:rPr>
                      <w:rFonts w:ascii="Times New Roman"/>
                      <w:color w:val="000000" w:themeColor="text1"/>
                      <w:sz w:val="21"/>
                      <w:szCs w:val="21"/>
                    </w:rPr>
                  </w:pPr>
                  <w:r>
                    <w:rPr>
                      <w:rFonts w:hint="eastAsia" w:ascii="Times New Roman"/>
                      <w:color w:val="000000" w:themeColor="text1"/>
                      <w:sz w:val="21"/>
                      <w:szCs w:val="21"/>
                    </w:rPr>
                    <w:t>注10：建设项目生产工艺中无废水产生，仅有生活废水产生作为回水利用，不排放到外环境的，按三级B评价。</w:t>
                  </w:r>
                </w:p>
              </w:tc>
            </w:tr>
          </w:tbl>
          <w:p>
            <w:pPr>
              <w:tabs>
                <w:tab w:val="left" w:pos="2280"/>
              </w:tabs>
              <w:snapToGrid w:val="0"/>
              <w:spacing w:before="156" w:beforeLines="50"/>
              <w:ind w:firstLine="480"/>
              <w:rPr>
                <w:color w:val="000000" w:themeColor="text1"/>
              </w:rPr>
            </w:pPr>
            <w:r>
              <w:rPr>
                <w:rFonts w:hint="eastAsia"/>
                <w:color w:val="000000" w:themeColor="text1"/>
              </w:rPr>
              <w:t>根据工程分析，项目无生产废水产生；</w:t>
            </w:r>
            <w:r>
              <w:rPr>
                <w:rFonts w:hint="eastAsia"/>
                <w:color w:val="000000" w:themeColor="text1"/>
                <w:lang w:eastAsia="zh-CN"/>
              </w:rPr>
              <w:t>生活废水经沉淀后回用于石材加工项目不外排；</w:t>
            </w:r>
            <w:r>
              <w:rPr>
                <w:rFonts w:hint="eastAsia"/>
                <w:color w:val="000000" w:themeColor="text1"/>
              </w:rPr>
              <w:t>初期雨水经初期雨水收集池进行处理后，回用于石材厂石材加工项目，不外排，因此，本项目地表水环境影响评价等级为三级B。</w:t>
            </w:r>
          </w:p>
          <w:p>
            <w:pPr>
              <w:snapToGrid w:val="0"/>
              <w:spacing w:line="360" w:lineRule="auto"/>
              <w:ind w:firstLine="482" w:firstLineChars="200"/>
              <w:rPr>
                <w:b/>
                <w:color w:val="auto"/>
                <w:sz w:val="24"/>
              </w:rPr>
            </w:pPr>
            <w:r>
              <w:rPr>
                <w:rFonts w:hint="eastAsia"/>
                <w:b/>
                <w:color w:val="auto"/>
                <w:sz w:val="24"/>
              </w:rPr>
              <w:t>（2）地表水环境影响分析</w:t>
            </w:r>
          </w:p>
          <w:p>
            <w:pPr>
              <w:snapToGrid w:val="0"/>
              <w:spacing w:line="360" w:lineRule="auto"/>
              <w:ind w:firstLine="482" w:firstLineChars="200"/>
              <w:rPr>
                <w:b/>
                <w:color w:val="auto"/>
                <w:sz w:val="24"/>
              </w:rPr>
            </w:pPr>
            <w:r>
              <w:rPr>
                <w:rFonts w:hint="eastAsia"/>
                <w:b/>
                <w:color w:val="auto"/>
                <w:sz w:val="24"/>
                <w:lang w:val="en-US" w:eastAsia="zh-CN"/>
              </w:rPr>
              <w:t>1）</w:t>
            </w:r>
            <w:r>
              <w:rPr>
                <w:rFonts w:hint="eastAsia"/>
                <w:b/>
                <w:color w:val="auto"/>
                <w:sz w:val="24"/>
              </w:rPr>
              <w:t>项目污染排放情况分析</w:t>
            </w:r>
          </w:p>
          <w:p>
            <w:pPr>
              <w:snapToGrid w:val="0"/>
              <w:spacing w:line="360" w:lineRule="auto"/>
              <w:ind w:firstLine="480" w:firstLineChars="200"/>
              <w:rPr>
                <w:color w:val="auto"/>
                <w:sz w:val="24"/>
              </w:rPr>
            </w:pPr>
            <w:r>
              <w:rPr>
                <w:rFonts w:hint="eastAsia"/>
                <w:color w:val="auto"/>
                <w:sz w:val="24"/>
              </w:rPr>
              <w:t>项目正常生产（即非雨天）过程中</w:t>
            </w:r>
            <w:r>
              <w:rPr>
                <w:rFonts w:hint="eastAsia"/>
                <w:color w:val="auto"/>
                <w:sz w:val="24"/>
                <w:lang w:eastAsia="zh-CN"/>
              </w:rPr>
              <w:t>无生产废水产生，</w:t>
            </w:r>
            <w:r>
              <w:rPr>
                <w:rFonts w:hint="eastAsia"/>
                <w:color w:val="auto"/>
                <w:sz w:val="24"/>
              </w:rPr>
              <w:t>雨天则有初期雨水产生。根据工程分析，生活污水经隔油池及生活污水</w:t>
            </w:r>
            <w:r>
              <w:rPr>
                <w:rFonts w:hint="eastAsia"/>
                <w:color w:val="auto"/>
                <w:sz w:val="24"/>
                <w:lang w:eastAsia="zh-CN"/>
              </w:rPr>
              <w:t>沉淀</w:t>
            </w:r>
            <w:r>
              <w:rPr>
                <w:rFonts w:hint="eastAsia"/>
                <w:color w:val="auto"/>
                <w:sz w:val="24"/>
              </w:rPr>
              <w:t>池等处理后，全部回用于</w:t>
            </w:r>
            <w:r>
              <w:rPr>
                <w:rFonts w:hint="eastAsia"/>
                <w:color w:val="auto"/>
                <w:sz w:val="24"/>
                <w:lang w:eastAsia="zh-CN"/>
              </w:rPr>
              <w:t>石材加工项目生产</w:t>
            </w:r>
            <w:r>
              <w:rPr>
                <w:rFonts w:hint="eastAsia"/>
                <w:color w:val="auto"/>
                <w:sz w:val="24"/>
              </w:rPr>
              <w:t>；雨天初期雨水则经初期雨水收集池收集、沉淀后，回用于</w:t>
            </w:r>
            <w:r>
              <w:rPr>
                <w:rFonts w:hint="eastAsia"/>
                <w:color w:val="auto"/>
                <w:sz w:val="24"/>
                <w:lang w:eastAsia="zh-CN"/>
              </w:rPr>
              <w:t>原有石材加工项目生产</w:t>
            </w:r>
            <w:r>
              <w:rPr>
                <w:rFonts w:hint="eastAsia"/>
                <w:color w:val="auto"/>
                <w:sz w:val="24"/>
              </w:rPr>
              <w:t>。</w:t>
            </w:r>
          </w:p>
          <w:p>
            <w:pPr>
              <w:snapToGrid w:val="0"/>
              <w:spacing w:line="360" w:lineRule="auto"/>
              <w:ind w:firstLine="480" w:firstLineChars="200"/>
              <w:rPr>
                <w:color w:val="auto"/>
                <w:sz w:val="24"/>
              </w:rPr>
            </w:pPr>
            <w:r>
              <w:rPr>
                <w:rFonts w:hint="eastAsia"/>
                <w:color w:val="auto"/>
                <w:sz w:val="24"/>
              </w:rPr>
              <w:t>综上，项目废水类别、污染物及污染治理设施信息表见表7-8。</w:t>
            </w:r>
          </w:p>
          <w:p>
            <w:pPr>
              <w:adjustRightInd w:val="0"/>
              <w:snapToGrid w:val="0"/>
              <w:jc w:val="center"/>
              <w:rPr>
                <w:b/>
                <w:color w:val="auto"/>
                <w:kern w:val="0"/>
                <w:szCs w:val="21"/>
              </w:rPr>
            </w:pPr>
            <w:r>
              <w:rPr>
                <w:rFonts w:hint="eastAsia"/>
                <w:b/>
                <w:color w:val="auto"/>
                <w:kern w:val="0"/>
                <w:szCs w:val="21"/>
              </w:rPr>
              <w:t>表7-8</w:t>
            </w:r>
            <w:r>
              <w:rPr>
                <w:b/>
                <w:color w:val="auto"/>
                <w:kern w:val="0"/>
                <w:szCs w:val="21"/>
              </w:rPr>
              <w:t xml:space="preserve"> </w:t>
            </w:r>
            <w:r>
              <w:rPr>
                <w:rFonts w:hint="eastAsia"/>
                <w:b/>
                <w:color w:val="auto"/>
                <w:kern w:val="0"/>
                <w:szCs w:val="21"/>
              </w:rPr>
              <w:t xml:space="preserve">   废水类别、污染物及污染治理设施信息表</w:t>
            </w:r>
          </w:p>
          <w:tbl>
            <w:tblPr>
              <w:tblStyle w:val="22"/>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968"/>
              <w:gridCol w:w="760"/>
              <w:gridCol w:w="1140"/>
              <w:gridCol w:w="567"/>
              <w:gridCol w:w="851"/>
              <w:gridCol w:w="711"/>
              <w:gridCol w:w="658"/>
              <w:gridCol w:w="1097"/>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废水类别</w:t>
                  </w:r>
                </w:p>
              </w:tc>
              <w:tc>
                <w:tcPr>
                  <w:tcW w:w="59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污染物种类</w:t>
                  </w:r>
                </w:p>
              </w:tc>
              <w:tc>
                <w:tcPr>
                  <w:tcW w:w="46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排放去向</w:t>
                  </w:r>
                </w:p>
              </w:tc>
              <w:tc>
                <w:tcPr>
                  <w:tcW w:w="70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排放规律</w:t>
                  </w:r>
                </w:p>
              </w:tc>
              <w:tc>
                <w:tcPr>
                  <w:tcW w:w="1311"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污染治理设施</w:t>
                  </w:r>
                </w:p>
              </w:tc>
              <w:tc>
                <w:tcPr>
                  <w:tcW w:w="40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排放口编号</w:t>
                  </w:r>
                </w:p>
              </w:tc>
              <w:tc>
                <w:tcPr>
                  <w:tcW w:w="67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排放口设置是否符合要求</w:t>
                  </w:r>
                </w:p>
              </w:tc>
              <w:tc>
                <w:tcPr>
                  <w:tcW w:w="43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59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70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34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编号</w:t>
                  </w:r>
                </w:p>
              </w:tc>
              <w:tc>
                <w:tcPr>
                  <w:tcW w:w="52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名称</w:t>
                  </w:r>
                </w:p>
              </w:tc>
              <w:tc>
                <w:tcPr>
                  <w:tcW w:w="4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rPr>
                  </w:pPr>
                  <w:r>
                    <w:rPr>
                      <w:rFonts w:hint="eastAsia"/>
                      <w:b/>
                      <w:color w:val="auto"/>
                      <w:sz w:val="21"/>
                      <w:szCs w:val="21"/>
                    </w:rPr>
                    <w:t>工艺</w:t>
                  </w:r>
                </w:p>
              </w:tc>
              <w:tc>
                <w:tcPr>
                  <w:tcW w:w="40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67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c>
                <w:tcPr>
                  <w:tcW w:w="43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初期雨水</w:t>
                  </w:r>
                </w:p>
              </w:tc>
              <w:tc>
                <w:tcPr>
                  <w:tcW w:w="59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Cs/>
                      <w:color w:val="auto"/>
                      <w:sz w:val="21"/>
                      <w:szCs w:val="21"/>
                    </w:rPr>
                  </w:pPr>
                  <w:r>
                    <w:rPr>
                      <w:rFonts w:hint="eastAsia"/>
                      <w:bCs/>
                      <w:color w:val="auto"/>
                      <w:sz w:val="21"/>
                      <w:szCs w:val="21"/>
                    </w:rPr>
                    <w:t>SS</w:t>
                  </w:r>
                </w:p>
              </w:tc>
              <w:tc>
                <w:tcPr>
                  <w:tcW w:w="46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不外排</w:t>
                  </w:r>
                </w:p>
              </w:tc>
              <w:tc>
                <w:tcPr>
                  <w:tcW w:w="70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间断产生，流量不稳定</w:t>
                  </w:r>
                </w:p>
              </w:tc>
              <w:tc>
                <w:tcPr>
                  <w:tcW w:w="34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lang w:val="en-US" w:eastAsia="zh-CN"/>
                    </w:rPr>
                    <w:t>1</w:t>
                  </w:r>
                  <w:r>
                    <w:rPr>
                      <w:rFonts w:hint="eastAsia"/>
                      <w:color w:val="auto"/>
                      <w:sz w:val="21"/>
                      <w:szCs w:val="21"/>
                    </w:rPr>
                    <w:t>#</w:t>
                  </w:r>
                </w:p>
              </w:tc>
              <w:tc>
                <w:tcPr>
                  <w:tcW w:w="52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初期雨水收集池</w:t>
                  </w:r>
                </w:p>
              </w:tc>
              <w:tc>
                <w:tcPr>
                  <w:tcW w:w="4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沉淀工艺</w:t>
                  </w:r>
                </w:p>
              </w:tc>
              <w:tc>
                <w:tcPr>
                  <w:tcW w:w="40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w:t>
                  </w:r>
                </w:p>
              </w:tc>
              <w:tc>
                <w:tcPr>
                  <w:tcW w:w="67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MS Gothic" w:cs="MS Gothic"/>
                      <w:bCs/>
                      <w:color w:val="auto"/>
                      <w:sz w:val="21"/>
                      <w:szCs w:val="21"/>
                    </w:rPr>
                  </w:pPr>
                  <w:r>
                    <w:rPr>
                      <w:rFonts w:hint="eastAsia" w:hAnsi="MS Gothic" w:cs="MS Gothic"/>
                      <w:bCs/>
                      <w:color w:val="auto"/>
                      <w:sz w:val="21"/>
                      <w:szCs w:val="21"/>
                    </w:rPr>
                    <w:t>/</w:t>
                  </w:r>
                </w:p>
              </w:tc>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生活污水</w:t>
                  </w:r>
                </w:p>
              </w:tc>
              <w:tc>
                <w:tcPr>
                  <w:tcW w:w="59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COD、BOD</w:t>
                  </w:r>
                  <w:r>
                    <w:rPr>
                      <w:rFonts w:hint="eastAsia"/>
                      <w:color w:val="auto"/>
                      <w:sz w:val="21"/>
                      <w:szCs w:val="21"/>
                      <w:vertAlign w:val="subscript"/>
                    </w:rPr>
                    <w:t>5</w:t>
                  </w:r>
                  <w:r>
                    <w:rPr>
                      <w:rFonts w:hint="eastAsia"/>
                      <w:color w:val="auto"/>
                      <w:sz w:val="21"/>
                      <w:szCs w:val="21"/>
                    </w:rPr>
                    <w:t>、SS、氨氮、总磷、动植物油</w:t>
                  </w:r>
                </w:p>
              </w:tc>
              <w:tc>
                <w:tcPr>
                  <w:tcW w:w="46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不外排</w:t>
                  </w:r>
                </w:p>
              </w:tc>
              <w:tc>
                <w:tcPr>
                  <w:tcW w:w="70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间断产生，流量不稳定，但有周期性规律</w:t>
                  </w:r>
                </w:p>
              </w:tc>
              <w:tc>
                <w:tcPr>
                  <w:tcW w:w="34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lang w:val="en-US" w:eastAsia="zh-CN"/>
                    </w:rPr>
                    <w:t>2</w:t>
                  </w:r>
                  <w:r>
                    <w:rPr>
                      <w:rFonts w:hint="eastAsia"/>
                      <w:color w:val="auto"/>
                      <w:sz w:val="21"/>
                      <w:szCs w:val="21"/>
                    </w:rPr>
                    <w:t>#</w:t>
                  </w:r>
                </w:p>
              </w:tc>
              <w:tc>
                <w:tcPr>
                  <w:tcW w:w="52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隔油池、</w:t>
                  </w:r>
                  <w:r>
                    <w:rPr>
                      <w:rFonts w:hint="eastAsia"/>
                      <w:color w:val="auto"/>
                      <w:sz w:val="21"/>
                      <w:szCs w:val="21"/>
                      <w:lang w:eastAsia="zh-CN"/>
                    </w:rPr>
                    <w:t>沉淀</w:t>
                  </w:r>
                  <w:r>
                    <w:rPr>
                      <w:rFonts w:hint="eastAsia"/>
                      <w:color w:val="auto"/>
                      <w:sz w:val="21"/>
                      <w:szCs w:val="21"/>
                    </w:rPr>
                    <w:t>池</w:t>
                  </w:r>
                </w:p>
              </w:tc>
              <w:tc>
                <w:tcPr>
                  <w:tcW w:w="4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w:t>
                  </w:r>
                </w:p>
              </w:tc>
              <w:tc>
                <w:tcPr>
                  <w:tcW w:w="40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w:t>
                  </w:r>
                </w:p>
              </w:tc>
              <w:tc>
                <w:tcPr>
                  <w:tcW w:w="67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MS Gothic"/>
                      <w:bCs/>
                      <w:color w:val="auto"/>
                      <w:sz w:val="21"/>
                      <w:szCs w:val="21"/>
                    </w:rPr>
                  </w:pPr>
                  <w:r>
                    <w:rPr>
                      <w:rFonts w:hint="eastAsia" w:cs="MS Gothic"/>
                      <w:bCs/>
                      <w:color w:val="auto"/>
                      <w:sz w:val="21"/>
                      <w:szCs w:val="21"/>
                    </w:rPr>
                    <w:t>/</w:t>
                  </w:r>
                </w:p>
              </w:tc>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MS Gothic"/>
                      <w:bCs/>
                      <w:color w:val="auto"/>
                      <w:sz w:val="21"/>
                      <w:szCs w:val="21"/>
                    </w:rPr>
                  </w:pPr>
                  <w:r>
                    <w:rPr>
                      <w:rFonts w:hint="eastAsia" w:cs="MS Gothic"/>
                      <w:bCs/>
                      <w:color w:val="auto"/>
                      <w:sz w:val="21"/>
                      <w:szCs w:val="21"/>
                    </w:rPr>
                    <w:t>/</w:t>
                  </w:r>
                </w:p>
              </w:tc>
            </w:tr>
          </w:tbl>
          <w:p>
            <w:pPr>
              <w:snapToGrid w:val="0"/>
              <w:spacing w:before="156" w:beforeLines="50" w:line="360" w:lineRule="auto"/>
              <w:ind w:firstLine="482" w:firstLineChars="200"/>
              <w:rPr>
                <w:b/>
                <w:color w:val="auto"/>
                <w:sz w:val="24"/>
              </w:rPr>
            </w:pPr>
            <w:r>
              <w:rPr>
                <w:rFonts w:hint="eastAsia"/>
                <w:b/>
                <w:color w:val="auto"/>
                <w:sz w:val="24"/>
                <w:lang w:val="en-US" w:eastAsia="zh-CN"/>
              </w:rPr>
              <w:t>2）</w:t>
            </w:r>
            <w:r>
              <w:rPr>
                <w:rFonts w:hint="eastAsia"/>
                <w:b/>
                <w:color w:val="auto"/>
                <w:sz w:val="24"/>
              </w:rPr>
              <w:t>项目废水对地表水环境的影响</w:t>
            </w:r>
          </w:p>
          <w:p>
            <w:pPr>
              <w:adjustRightInd w:val="0"/>
              <w:snapToGrid w:val="0"/>
              <w:spacing w:line="360" w:lineRule="auto"/>
              <w:ind w:firstLine="482" w:firstLineChars="200"/>
              <w:rPr>
                <w:b/>
                <w:color w:val="auto"/>
                <w:sz w:val="24"/>
              </w:rPr>
            </w:pPr>
            <w:r>
              <w:rPr>
                <w:rFonts w:hint="eastAsia" w:ascii="宋体" w:hAnsi="宋体"/>
                <w:b/>
                <w:bCs/>
                <w:color w:val="auto"/>
                <w:sz w:val="24"/>
                <w:lang w:val="en-US" w:eastAsia="zh-CN"/>
              </w:rPr>
              <w:fldChar w:fldCharType="begin"/>
            </w:r>
            <w:r>
              <w:rPr>
                <w:rFonts w:hint="eastAsia" w:ascii="宋体" w:hAnsi="宋体"/>
                <w:b/>
                <w:bCs/>
                <w:color w:val="auto"/>
                <w:sz w:val="24"/>
                <w:lang w:val="en-US" w:eastAsia="zh-CN"/>
              </w:rPr>
              <w:instrText xml:space="preserve"> = 1 \* GB3 \* MERGEFORMAT </w:instrText>
            </w:r>
            <w:r>
              <w:rPr>
                <w:rFonts w:hint="eastAsia" w:ascii="宋体" w:hAnsi="宋体"/>
                <w:b/>
                <w:bCs/>
                <w:color w:val="auto"/>
                <w:sz w:val="24"/>
                <w:lang w:val="en-US" w:eastAsia="zh-CN"/>
              </w:rPr>
              <w:fldChar w:fldCharType="separate"/>
            </w:r>
            <w:r>
              <w:rPr>
                <w:b/>
                <w:bCs/>
                <w:color w:val="auto"/>
              </w:rPr>
              <w:t>①</w:t>
            </w:r>
            <w:r>
              <w:rPr>
                <w:rFonts w:hint="eastAsia" w:ascii="宋体" w:hAnsi="宋体"/>
                <w:b/>
                <w:bCs/>
                <w:color w:val="auto"/>
                <w:sz w:val="24"/>
                <w:lang w:val="en-US" w:eastAsia="zh-CN"/>
              </w:rPr>
              <w:fldChar w:fldCharType="end"/>
            </w:r>
            <w:r>
              <w:rPr>
                <w:rFonts w:hint="eastAsia"/>
                <w:b/>
                <w:color w:val="auto"/>
                <w:sz w:val="24"/>
              </w:rPr>
              <w:t>初期雨水不外排的可行性及可靠性</w:t>
            </w:r>
          </w:p>
          <w:p>
            <w:pPr>
              <w:snapToGrid w:val="0"/>
              <w:spacing w:line="360" w:lineRule="auto"/>
              <w:ind w:firstLine="480" w:firstLineChars="200"/>
              <w:rPr>
                <w:rFonts w:hint="default" w:eastAsia="宋体"/>
                <w:color w:val="auto"/>
                <w:sz w:val="24"/>
                <w:lang w:val="en-US" w:eastAsia="zh-CN"/>
              </w:rPr>
            </w:pPr>
            <w:r>
              <w:rPr>
                <w:rFonts w:hint="eastAsia"/>
                <w:color w:val="auto"/>
                <w:sz w:val="24"/>
              </w:rPr>
              <w:t>项目区初期雨水产生量为</w:t>
            </w:r>
            <w:r>
              <w:rPr>
                <w:rFonts w:hint="eastAsia"/>
                <w:color w:val="auto"/>
                <w:lang w:val="en-US" w:eastAsia="zh-CN"/>
              </w:rPr>
              <w:t>48.67</w:t>
            </w:r>
            <w:r>
              <w:rPr>
                <w:rFonts w:hint="eastAsia"/>
                <w:color w:val="auto"/>
                <w:sz w:val="24"/>
              </w:rPr>
              <w:t>m</w:t>
            </w:r>
            <w:r>
              <w:rPr>
                <w:rFonts w:hint="eastAsia"/>
                <w:color w:val="auto"/>
                <w:sz w:val="24"/>
                <w:vertAlign w:val="superscript"/>
              </w:rPr>
              <w:t>3</w:t>
            </w:r>
            <w:r>
              <w:rPr>
                <w:rFonts w:hint="eastAsia"/>
                <w:color w:val="auto"/>
                <w:sz w:val="24"/>
              </w:rPr>
              <w:t>/次，初期雨水中污染物主要为SS。初期雨水采用明渠收集后进入初期雨水收集池，设置的初期雨水收集池容积为</w:t>
            </w:r>
            <w:r>
              <w:rPr>
                <w:rFonts w:hint="eastAsia"/>
                <w:color w:val="auto"/>
                <w:sz w:val="24"/>
                <w:lang w:val="en-US" w:eastAsia="zh-CN"/>
              </w:rPr>
              <w:t>60</w:t>
            </w:r>
            <w:r>
              <w:rPr>
                <w:rFonts w:hint="eastAsia"/>
                <w:color w:val="auto"/>
                <w:sz w:val="24"/>
              </w:rPr>
              <w:t>m</w:t>
            </w:r>
            <w:r>
              <w:rPr>
                <w:rFonts w:hint="eastAsia"/>
                <w:color w:val="auto"/>
                <w:sz w:val="24"/>
                <w:vertAlign w:val="superscript"/>
              </w:rPr>
              <w:t>3</w:t>
            </w:r>
            <w:r>
              <w:rPr>
                <w:rFonts w:hint="eastAsia"/>
                <w:color w:val="auto"/>
                <w:sz w:val="24"/>
              </w:rPr>
              <w:t>。同时，项目在截排水沟汇入初期雨水收集池前设置截断阀门，只对厂区初期雨水经收集、处理，</w:t>
            </w:r>
            <w:r>
              <w:rPr>
                <w:rFonts w:hint="eastAsia"/>
                <w:color w:val="auto"/>
                <w:sz w:val="24"/>
                <w:lang w:eastAsia="zh-CN"/>
              </w:rPr>
              <w:t>最终可全部</w:t>
            </w:r>
            <w:r>
              <w:rPr>
                <w:rFonts w:hint="eastAsia"/>
                <w:color w:val="auto"/>
                <w:sz w:val="24"/>
              </w:rPr>
              <w:t>回用于</w:t>
            </w:r>
            <w:r>
              <w:rPr>
                <w:rFonts w:hint="eastAsia"/>
                <w:color w:val="auto"/>
                <w:sz w:val="24"/>
                <w:lang w:eastAsia="zh-CN"/>
              </w:rPr>
              <w:t>原有石材加工项目生产</w:t>
            </w:r>
            <w:r>
              <w:rPr>
                <w:rFonts w:hint="eastAsia"/>
                <w:color w:val="auto"/>
                <w:sz w:val="24"/>
              </w:rPr>
              <w:t>，其余雨水截断后，通过雨水沟外排至场外。</w:t>
            </w:r>
            <w:r>
              <w:rPr>
                <w:rFonts w:hint="eastAsia"/>
                <w:color w:val="auto"/>
                <w:sz w:val="24"/>
                <w:lang w:eastAsia="zh-CN"/>
              </w:rPr>
              <w:t>根据业主提供资料，实际生产中，石材加工项目每天需补充新水</w:t>
            </w:r>
            <w:r>
              <w:rPr>
                <w:rFonts w:hint="eastAsia"/>
                <w:color w:val="auto"/>
                <w:sz w:val="24"/>
                <w:lang w:val="en-US" w:eastAsia="zh-CN"/>
              </w:rPr>
              <w:t>40m</w:t>
            </w:r>
            <w:r>
              <w:rPr>
                <w:rFonts w:hint="eastAsia"/>
                <w:color w:val="auto"/>
                <w:sz w:val="24"/>
                <w:vertAlign w:val="superscript"/>
                <w:lang w:val="en-US" w:eastAsia="zh-CN"/>
              </w:rPr>
              <w:t>3</w:t>
            </w:r>
            <w:r>
              <w:rPr>
                <w:rFonts w:hint="eastAsia"/>
                <w:color w:val="auto"/>
                <w:sz w:val="24"/>
                <w:lang w:val="en-US" w:eastAsia="zh-CN"/>
              </w:rPr>
              <w:t>，根据水平衡图可知项目所需新水量大于初期雨水量。</w:t>
            </w:r>
          </w:p>
          <w:p>
            <w:pPr>
              <w:snapToGrid w:val="0"/>
              <w:spacing w:line="360" w:lineRule="auto"/>
              <w:ind w:firstLine="480" w:firstLineChars="200"/>
              <w:rPr>
                <w:color w:val="auto"/>
                <w:sz w:val="24"/>
              </w:rPr>
            </w:pPr>
            <w:r>
              <w:rPr>
                <w:rFonts w:hint="eastAsia"/>
                <w:color w:val="auto"/>
                <w:sz w:val="24"/>
              </w:rPr>
              <w:t>综上，项目生产加工区初期雨水可做到不外排。</w:t>
            </w:r>
          </w:p>
          <w:p>
            <w:pPr>
              <w:snapToGrid w:val="0"/>
              <w:spacing w:line="360" w:lineRule="auto"/>
              <w:ind w:firstLine="482" w:firstLineChars="200"/>
              <w:rPr>
                <w:b/>
                <w:color w:val="auto"/>
                <w:sz w:val="24"/>
              </w:rPr>
            </w:pPr>
            <w:r>
              <w:rPr>
                <w:rFonts w:hint="eastAsia" w:ascii="宋体" w:hAnsi="宋体"/>
                <w:b/>
                <w:bCs/>
                <w:color w:val="auto"/>
                <w:sz w:val="24"/>
                <w:lang w:val="en-US" w:eastAsia="zh-CN"/>
              </w:rPr>
              <w:fldChar w:fldCharType="begin"/>
            </w:r>
            <w:r>
              <w:rPr>
                <w:rFonts w:hint="eastAsia" w:ascii="宋体" w:hAnsi="宋体"/>
                <w:b/>
                <w:bCs/>
                <w:color w:val="auto"/>
                <w:sz w:val="24"/>
                <w:lang w:val="en-US" w:eastAsia="zh-CN"/>
              </w:rPr>
              <w:instrText xml:space="preserve"> = 2 \* GB3 \* MERGEFORMAT </w:instrText>
            </w:r>
            <w:r>
              <w:rPr>
                <w:rFonts w:hint="eastAsia" w:ascii="宋体" w:hAnsi="宋体"/>
                <w:b/>
                <w:bCs/>
                <w:color w:val="auto"/>
                <w:sz w:val="24"/>
                <w:lang w:val="en-US" w:eastAsia="zh-CN"/>
              </w:rPr>
              <w:fldChar w:fldCharType="separate"/>
            </w:r>
            <w:r>
              <w:rPr>
                <w:b/>
                <w:bCs/>
                <w:color w:val="auto"/>
              </w:rPr>
              <w:t>②</w:t>
            </w:r>
            <w:r>
              <w:rPr>
                <w:rFonts w:hint="eastAsia" w:ascii="宋体" w:hAnsi="宋体"/>
                <w:b/>
                <w:bCs/>
                <w:color w:val="auto"/>
                <w:sz w:val="24"/>
                <w:lang w:val="en-US" w:eastAsia="zh-CN"/>
              </w:rPr>
              <w:fldChar w:fldCharType="end"/>
            </w:r>
            <w:r>
              <w:rPr>
                <w:rFonts w:hint="eastAsia"/>
                <w:b/>
                <w:color w:val="auto"/>
                <w:sz w:val="24"/>
              </w:rPr>
              <w:t>生活污水不外排的可行性及可靠性</w:t>
            </w:r>
          </w:p>
          <w:p>
            <w:pPr>
              <w:pStyle w:val="3"/>
              <w:ind w:firstLine="480"/>
              <w:rPr>
                <w:rFonts w:hint="eastAsia"/>
                <w:color w:val="auto"/>
                <w:lang w:eastAsia="zh-CN"/>
              </w:rPr>
            </w:pPr>
            <w:r>
              <w:rPr>
                <w:rFonts w:hint="eastAsia"/>
                <w:color w:val="auto"/>
                <w:sz w:val="24"/>
              </w:rPr>
              <w:t>根据工程分析，厨房废水产生量为0.</w:t>
            </w:r>
            <w:r>
              <w:rPr>
                <w:rFonts w:hint="eastAsia"/>
                <w:color w:val="auto"/>
                <w:sz w:val="24"/>
                <w:lang w:val="en-US" w:eastAsia="zh-CN"/>
              </w:rPr>
              <w:t>12</w:t>
            </w:r>
            <w:r>
              <w:rPr>
                <w:rFonts w:hint="eastAsia"/>
                <w:color w:val="auto"/>
                <w:sz w:val="24"/>
              </w:rPr>
              <w:t>m</w:t>
            </w:r>
            <w:r>
              <w:rPr>
                <w:rFonts w:hint="eastAsia"/>
                <w:color w:val="auto"/>
                <w:sz w:val="24"/>
                <w:vertAlign w:val="superscript"/>
              </w:rPr>
              <w:t>3</w:t>
            </w:r>
            <w:r>
              <w:rPr>
                <w:rFonts w:hint="eastAsia"/>
                <w:color w:val="auto"/>
                <w:sz w:val="24"/>
              </w:rPr>
              <w:t>/d、</w:t>
            </w:r>
            <w:r>
              <w:rPr>
                <w:rFonts w:hint="eastAsia"/>
                <w:color w:val="auto"/>
                <w:sz w:val="24"/>
                <w:lang w:val="en-US" w:eastAsia="zh-CN"/>
              </w:rPr>
              <w:t>36</w:t>
            </w:r>
            <w:r>
              <w:rPr>
                <w:rFonts w:hint="eastAsia"/>
                <w:color w:val="auto"/>
                <w:sz w:val="24"/>
              </w:rPr>
              <w:t>m</w:t>
            </w:r>
            <w:r>
              <w:rPr>
                <w:rFonts w:hint="eastAsia"/>
                <w:color w:val="auto"/>
                <w:sz w:val="24"/>
                <w:vertAlign w:val="superscript"/>
              </w:rPr>
              <w:t>3</w:t>
            </w:r>
            <w:r>
              <w:rPr>
                <w:rFonts w:hint="eastAsia"/>
                <w:color w:val="auto"/>
                <w:sz w:val="24"/>
              </w:rPr>
              <w:t>/a；员工</w:t>
            </w:r>
            <w:r>
              <w:rPr>
                <w:rFonts w:hint="eastAsia"/>
                <w:color w:val="auto"/>
                <w:sz w:val="24"/>
                <w:lang w:eastAsia="zh-CN"/>
              </w:rPr>
              <w:t>清洗</w:t>
            </w:r>
            <w:r>
              <w:rPr>
                <w:rFonts w:hint="eastAsia"/>
                <w:color w:val="auto"/>
                <w:sz w:val="24"/>
              </w:rPr>
              <w:t>废水产生量为0.</w:t>
            </w:r>
            <w:r>
              <w:rPr>
                <w:rFonts w:hint="eastAsia"/>
                <w:color w:val="auto"/>
                <w:sz w:val="24"/>
                <w:lang w:val="en-US" w:eastAsia="zh-CN"/>
              </w:rPr>
              <w:t>28</w:t>
            </w:r>
            <w:r>
              <w:rPr>
                <w:rFonts w:hint="eastAsia"/>
                <w:color w:val="auto"/>
                <w:sz w:val="24"/>
              </w:rPr>
              <w:t>m</w:t>
            </w:r>
            <w:r>
              <w:rPr>
                <w:rFonts w:hint="eastAsia"/>
                <w:color w:val="auto"/>
                <w:sz w:val="24"/>
                <w:vertAlign w:val="superscript"/>
              </w:rPr>
              <w:t>3</w:t>
            </w:r>
            <w:r>
              <w:rPr>
                <w:rFonts w:hint="eastAsia"/>
                <w:color w:val="auto"/>
                <w:sz w:val="24"/>
              </w:rPr>
              <w:t>/d、</w:t>
            </w:r>
            <w:r>
              <w:rPr>
                <w:rFonts w:hint="eastAsia"/>
                <w:color w:val="auto"/>
                <w:sz w:val="24"/>
                <w:lang w:val="en-US" w:eastAsia="zh-CN"/>
              </w:rPr>
              <w:t>84</w:t>
            </w:r>
            <w:r>
              <w:rPr>
                <w:rFonts w:hint="eastAsia"/>
                <w:color w:val="auto"/>
                <w:sz w:val="24"/>
              </w:rPr>
              <w:t>m</w:t>
            </w:r>
            <w:r>
              <w:rPr>
                <w:rFonts w:hint="eastAsia"/>
                <w:color w:val="auto"/>
                <w:sz w:val="24"/>
                <w:vertAlign w:val="superscript"/>
              </w:rPr>
              <w:t>3</w:t>
            </w:r>
            <w:r>
              <w:rPr>
                <w:rFonts w:hint="eastAsia"/>
                <w:color w:val="auto"/>
                <w:sz w:val="24"/>
              </w:rPr>
              <w:t>/a。</w:t>
            </w:r>
            <w:r>
              <w:rPr>
                <w:rFonts w:hint="eastAsia"/>
                <w:color w:val="auto"/>
                <w:lang w:eastAsia="zh-CN"/>
              </w:rPr>
              <w:t>厨房</w:t>
            </w:r>
            <w:r>
              <w:rPr>
                <w:rFonts w:hint="eastAsia"/>
                <w:color w:val="auto"/>
              </w:rPr>
              <w:t>废水经隔油池处理后与生活废水一同进入1个</w:t>
            </w:r>
            <w:r>
              <w:rPr>
                <w:rFonts w:hint="eastAsia"/>
                <w:color w:val="auto"/>
                <w:highlight w:val="none"/>
                <w:lang w:val="en-US" w:eastAsia="zh-CN"/>
              </w:rPr>
              <w:t>36</w:t>
            </w:r>
            <w:r>
              <w:rPr>
                <w:color w:val="auto"/>
              </w:rPr>
              <w:t>m</w:t>
            </w:r>
            <w:r>
              <w:rPr>
                <w:color w:val="auto"/>
                <w:vertAlign w:val="superscript"/>
              </w:rPr>
              <w:t>3</w:t>
            </w:r>
            <w:r>
              <w:rPr>
                <w:rFonts w:hint="eastAsia"/>
                <w:color w:val="auto"/>
              </w:rPr>
              <w:t>的</w:t>
            </w:r>
            <w:r>
              <w:rPr>
                <w:rFonts w:hint="eastAsia"/>
                <w:color w:val="auto"/>
                <w:lang w:eastAsia="zh-CN"/>
              </w:rPr>
              <w:t>生产废水沉淀池</w:t>
            </w:r>
            <w:r>
              <w:rPr>
                <w:rFonts w:hint="eastAsia"/>
                <w:color w:val="auto"/>
              </w:rPr>
              <w:t>，</w:t>
            </w:r>
            <w:r>
              <w:rPr>
                <w:rFonts w:hint="eastAsia"/>
                <w:color w:val="auto"/>
                <w:lang w:eastAsia="zh-CN"/>
              </w:rPr>
              <w:t>经沉淀处理后，用于原有项目生产。</w:t>
            </w:r>
          </w:p>
          <w:p>
            <w:pPr>
              <w:pStyle w:val="3"/>
              <w:ind w:firstLine="480"/>
              <w:rPr>
                <w:rFonts w:hint="default"/>
                <w:color w:val="auto"/>
                <w:lang w:val="en-US" w:eastAsia="zh-CN"/>
              </w:rPr>
            </w:pPr>
            <w:r>
              <w:rPr>
                <w:rFonts w:hint="eastAsia"/>
                <w:color w:val="auto"/>
                <w:lang w:eastAsia="zh-CN"/>
              </w:rPr>
              <w:t>根据第一章可知，项目原有项目循环用水约为</w:t>
            </w:r>
            <w:r>
              <w:rPr>
                <w:rFonts w:hint="eastAsia"/>
                <w:color w:val="auto"/>
                <w:lang w:val="en-US" w:eastAsia="zh-CN"/>
              </w:rPr>
              <w:t>300m</w:t>
            </w:r>
            <w:r>
              <w:rPr>
                <w:rFonts w:hint="eastAsia"/>
                <w:color w:val="auto"/>
                <w:vertAlign w:val="superscript"/>
                <w:lang w:val="en-US" w:eastAsia="zh-CN"/>
              </w:rPr>
              <w:t>3</w:t>
            </w:r>
            <w:r>
              <w:rPr>
                <w:rFonts w:hint="eastAsia"/>
                <w:color w:val="auto"/>
                <w:lang w:val="en-US" w:eastAsia="zh-CN"/>
              </w:rPr>
              <w:t>/d，项目原有沉淀池总容积为400m</w:t>
            </w:r>
            <w:r>
              <w:rPr>
                <w:rFonts w:hint="eastAsia"/>
                <w:color w:val="auto"/>
                <w:vertAlign w:val="superscript"/>
                <w:lang w:val="en-US" w:eastAsia="zh-CN"/>
              </w:rPr>
              <w:t>3</w:t>
            </w:r>
            <w:r>
              <w:rPr>
                <w:rFonts w:hint="eastAsia"/>
                <w:color w:val="auto"/>
                <w:lang w:val="en-US" w:eastAsia="zh-CN"/>
              </w:rPr>
              <w:t>，尚有盈余，故员工生活办公污水进入沉淀池的方法是可行的。</w:t>
            </w:r>
          </w:p>
          <w:p>
            <w:pPr>
              <w:snapToGrid w:val="0"/>
              <w:ind w:firstLine="480"/>
              <w:rPr>
                <w:rFonts w:hint="eastAsia" w:eastAsia="宋体"/>
                <w:color w:val="auto"/>
                <w:lang w:eastAsia="zh-CN"/>
              </w:rPr>
            </w:pPr>
            <w:r>
              <w:rPr>
                <w:rFonts w:hint="eastAsia"/>
                <w:color w:val="auto"/>
                <w:lang w:eastAsia="zh-CN"/>
              </w:rPr>
              <w:t>项目生活废水为员工清洗废水及厨房洗菜、洗碗废水，无有毒有害物质，污染物简单。厨房废水经隔油池处理后与生活废水进入沉淀池沉淀后回用于石材加工项目生产，石材加工项目用水主要为切割、打磨荒料石用水，对水质要求不高，故项目生活废水经处理后回用于石材加工生产是可行的。</w:t>
            </w:r>
          </w:p>
          <w:p>
            <w:pPr>
              <w:snapToGrid w:val="0"/>
              <w:ind w:firstLine="480"/>
              <w:rPr>
                <w:bCs/>
                <w:color w:val="000000" w:themeColor="text1"/>
              </w:rPr>
            </w:pPr>
            <w:r>
              <w:rPr>
                <w:rFonts w:hint="eastAsia"/>
                <w:color w:val="000000" w:themeColor="text1"/>
              </w:rPr>
              <w:t>综上，项目生产加工区初期雨水可做到不外排。</w:t>
            </w:r>
            <w:r>
              <w:rPr>
                <w:rFonts w:hint="eastAsia"/>
                <w:bCs/>
                <w:color w:val="000000" w:themeColor="text1"/>
              </w:rPr>
              <w:t>因此，项目生产过程中产生的污水对地表水环境影响小。</w:t>
            </w:r>
          </w:p>
          <w:p>
            <w:pPr>
              <w:tabs>
                <w:tab w:val="left" w:pos="2280"/>
              </w:tabs>
              <w:snapToGrid w:val="0"/>
              <w:rPr>
                <w:b/>
                <w:color w:val="000000" w:themeColor="text1"/>
                <w:u w:val="single"/>
              </w:rPr>
            </w:pPr>
            <w:r>
              <w:rPr>
                <w:rFonts w:hint="eastAsia"/>
                <w:b/>
                <w:color w:val="000000" w:themeColor="text1"/>
                <w:u w:val="single"/>
              </w:rPr>
              <w:t>项目地表水环境影响评价自查表见附件</w:t>
            </w:r>
            <w:r>
              <w:rPr>
                <w:rFonts w:hint="eastAsia"/>
                <w:b/>
                <w:color w:val="000000" w:themeColor="text1"/>
                <w:u w:val="single"/>
                <w:lang w:val="en-US" w:eastAsia="zh-CN"/>
              </w:rPr>
              <w:t>7</w:t>
            </w:r>
            <w:r>
              <w:rPr>
                <w:rFonts w:hint="eastAsia"/>
                <w:b/>
                <w:color w:val="000000" w:themeColor="text1"/>
                <w:u w:val="single"/>
              </w:rPr>
              <w:t>。</w:t>
            </w:r>
          </w:p>
          <w:p>
            <w:pPr>
              <w:adjustRightInd w:val="0"/>
              <w:snapToGrid w:val="0"/>
              <w:ind w:firstLine="482"/>
              <w:rPr>
                <w:b/>
                <w:color w:val="000000" w:themeColor="text1"/>
              </w:rPr>
            </w:pPr>
            <w:r>
              <w:rPr>
                <w:rFonts w:hint="eastAsia"/>
                <w:b/>
                <w:color w:val="000000" w:themeColor="text1"/>
              </w:rPr>
              <w:t>3</w:t>
            </w:r>
            <w:r>
              <w:rPr>
                <w:b/>
                <w:color w:val="000000" w:themeColor="text1"/>
              </w:rPr>
              <w:t>、</w:t>
            </w:r>
            <w:r>
              <w:rPr>
                <w:rFonts w:hint="eastAsia"/>
                <w:b/>
                <w:color w:val="000000" w:themeColor="text1"/>
              </w:rPr>
              <w:t>地下水</w:t>
            </w:r>
            <w:r>
              <w:rPr>
                <w:b/>
                <w:color w:val="000000" w:themeColor="text1"/>
              </w:rPr>
              <w:t>环境影响分析</w:t>
            </w:r>
          </w:p>
          <w:p>
            <w:pPr>
              <w:adjustRightInd w:val="0"/>
              <w:snapToGrid w:val="0"/>
              <w:ind w:firstLine="480"/>
              <w:rPr>
                <w:color w:val="000000" w:themeColor="text1"/>
                <w:kern w:val="0"/>
              </w:rPr>
            </w:pPr>
            <w:r>
              <w:rPr>
                <w:rFonts w:hint="eastAsia"/>
                <w:color w:val="000000" w:themeColor="text1"/>
              </w:rPr>
              <w:t>本项目为石材加工项目。根据</w:t>
            </w:r>
            <w:r>
              <w:rPr>
                <w:rFonts w:hAnsi="宋体"/>
                <w:color w:val="000000" w:themeColor="text1"/>
                <w:kern w:val="0"/>
              </w:rPr>
              <w:t>《环境影响评价技术导则</w:t>
            </w:r>
            <w:r>
              <w:rPr>
                <w:rFonts w:hint="eastAsia" w:hAnsi="宋体"/>
                <w:color w:val="000000" w:themeColor="text1"/>
                <w:kern w:val="0"/>
              </w:rPr>
              <w:t xml:space="preserve"> </w:t>
            </w:r>
            <w:r>
              <w:rPr>
                <w:rFonts w:hAnsi="宋体"/>
                <w:color w:val="000000" w:themeColor="text1"/>
                <w:kern w:val="0"/>
              </w:rPr>
              <w:t>地下水环境》（</w:t>
            </w:r>
            <w:r>
              <w:rPr>
                <w:color w:val="000000" w:themeColor="text1"/>
                <w:kern w:val="0"/>
              </w:rPr>
              <w:t>HJ610-2016</w:t>
            </w:r>
            <w:r>
              <w:rPr>
                <w:rFonts w:hAnsi="宋体"/>
                <w:color w:val="000000" w:themeColor="text1"/>
                <w:kern w:val="0"/>
              </w:rPr>
              <w:t>）附录</w:t>
            </w:r>
            <w:r>
              <w:rPr>
                <w:color w:val="000000" w:themeColor="text1"/>
                <w:kern w:val="0"/>
              </w:rPr>
              <w:t>A</w:t>
            </w:r>
            <w:r>
              <w:rPr>
                <w:rFonts w:hint="eastAsia"/>
                <w:color w:val="000000" w:themeColor="text1"/>
                <w:kern w:val="0"/>
              </w:rPr>
              <w:t>中规定，本项目参照“J非金属矿采选及制品制造”中“6</w:t>
            </w:r>
            <w:r>
              <w:rPr>
                <w:rFonts w:hint="eastAsia"/>
                <w:color w:val="000000" w:themeColor="text1"/>
                <w:kern w:val="0"/>
                <w:lang w:val="en-US" w:eastAsia="zh-CN"/>
              </w:rPr>
              <w:t>2</w:t>
            </w:r>
            <w:r>
              <w:rPr>
                <w:rFonts w:hint="eastAsia"/>
                <w:color w:val="000000" w:themeColor="text1"/>
                <w:kern w:val="0"/>
              </w:rPr>
              <w:t>”，项目属IV类项目，同时结合地下水环境影响评价工作等级划分表，本项目不开展地下水环境影响评价。</w:t>
            </w:r>
          </w:p>
          <w:p>
            <w:pPr>
              <w:adjustRightInd w:val="0"/>
              <w:snapToGrid w:val="0"/>
              <w:ind w:firstLine="482"/>
              <w:rPr>
                <w:b/>
                <w:color w:val="000000" w:themeColor="text1"/>
              </w:rPr>
            </w:pPr>
            <w:r>
              <w:rPr>
                <w:rFonts w:hint="eastAsia"/>
                <w:b/>
                <w:color w:val="000000" w:themeColor="text1"/>
              </w:rPr>
              <w:t>4</w:t>
            </w:r>
            <w:r>
              <w:rPr>
                <w:b/>
                <w:color w:val="000000" w:themeColor="text1"/>
              </w:rPr>
              <w:t>、声环境影响分析</w:t>
            </w:r>
          </w:p>
          <w:p>
            <w:pPr>
              <w:adjustRightInd w:val="0"/>
              <w:snapToGrid w:val="0"/>
              <w:ind w:firstLine="482"/>
              <w:rPr>
                <w:b/>
                <w:color w:val="000000" w:themeColor="text1"/>
              </w:rPr>
            </w:pPr>
            <w:r>
              <w:rPr>
                <w:rFonts w:hint="eastAsia"/>
                <w:b/>
                <w:color w:val="000000" w:themeColor="text1"/>
              </w:rPr>
              <w:t>（1）噪声源强</w:t>
            </w:r>
          </w:p>
          <w:p>
            <w:pPr>
              <w:adjustRightInd w:val="0"/>
              <w:snapToGrid w:val="0"/>
              <w:ind w:firstLine="480"/>
              <w:rPr>
                <w:color w:val="000000" w:themeColor="text1"/>
              </w:rPr>
            </w:pPr>
            <w:r>
              <w:rPr>
                <w:rFonts w:hint="eastAsia"/>
                <w:color w:val="000000" w:themeColor="text1"/>
              </w:rPr>
              <w:t>项目运营期噪声主要来自生产设备产生的噪声，其噪声源强见表5-8。</w:t>
            </w:r>
          </w:p>
          <w:p>
            <w:pPr>
              <w:adjustRightInd w:val="0"/>
              <w:snapToGrid w:val="0"/>
              <w:ind w:firstLine="482"/>
              <w:rPr>
                <w:b/>
                <w:color w:val="000000" w:themeColor="text1"/>
              </w:rPr>
            </w:pPr>
            <w:r>
              <w:rPr>
                <w:rFonts w:hint="eastAsia"/>
                <w:b/>
                <w:color w:val="000000" w:themeColor="text1"/>
              </w:rPr>
              <w:t>（2）预测模式</w:t>
            </w:r>
          </w:p>
          <w:p>
            <w:pPr>
              <w:adjustRightInd w:val="0"/>
              <w:snapToGrid w:val="0"/>
              <w:ind w:firstLine="480"/>
              <w:rPr>
                <w:color w:val="000000" w:themeColor="text1"/>
              </w:rPr>
            </w:pPr>
            <w:r>
              <w:rPr>
                <w:rFonts w:hint="eastAsia"/>
                <w:color w:val="000000" w:themeColor="text1"/>
              </w:rPr>
              <w:t>预测模式采用《环境影响评价技术导则 声环境》</w:t>
            </w:r>
            <w:r>
              <w:rPr>
                <w:color w:val="000000" w:themeColor="text1"/>
              </w:rPr>
              <w:t>(HJ2.4-2009)</w:t>
            </w:r>
            <w:r>
              <w:rPr>
                <w:rFonts w:hint="eastAsia"/>
                <w:color w:val="000000" w:themeColor="text1"/>
              </w:rPr>
              <w:t>中推荐的模型。在进行声环境影响预测时，一般采用声源的倍频带声功率级，</w:t>
            </w:r>
            <w:r>
              <w:rPr>
                <w:color w:val="000000" w:themeColor="text1"/>
              </w:rPr>
              <w:t>A</w:t>
            </w:r>
            <w:r>
              <w:rPr>
                <w:rFonts w:hint="eastAsia"/>
                <w:color w:val="000000" w:themeColor="text1"/>
              </w:rPr>
              <w:t>声功率级或靠近声源某一位置的倍频带声压级，</w:t>
            </w:r>
            <w:r>
              <w:rPr>
                <w:color w:val="000000" w:themeColor="text1"/>
              </w:rPr>
              <w:t>A</w:t>
            </w:r>
            <w:r>
              <w:rPr>
                <w:rFonts w:hint="eastAsia"/>
                <w:color w:val="000000" w:themeColor="text1"/>
              </w:rPr>
              <w:t>声级来预测计算距声源不同距离的声级。分别计算室外和室内两种声源。</w:t>
            </w:r>
          </w:p>
          <w:p>
            <w:pPr>
              <w:adjustRightInd w:val="0"/>
              <w:snapToGrid w:val="0"/>
              <w:ind w:firstLine="482"/>
              <w:rPr>
                <w:b/>
                <w:color w:val="000000" w:themeColor="text1"/>
              </w:rPr>
            </w:pPr>
            <w:r>
              <w:rPr>
                <w:rFonts w:hint="eastAsia"/>
                <w:b/>
                <w:color w:val="000000" w:themeColor="text1"/>
              </w:rPr>
              <w:t>①单声源声压级的预测</w:t>
            </w:r>
          </w:p>
          <w:p>
            <w:pPr>
              <w:adjustRightInd w:val="0"/>
              <w:snapToGrid w:val="0"/>
              <w:ind w:firstLine="480"/>
              <w:rPr>
                <w:color w:val="000000" w:themeColor="text1"/>
              </w:rPr>
            </w:pPr>
            <w:r>
              <w:rPr>
                <w:rFonts w:hint="eastAsia"/>
                <w:color w:val="000000" w:themeColor="text1"/>
              </w:rPr>
              <w:t>如图7-1所示，声源位于室内，室内声源可采用等效室外声源声功率级法进行计算。设靠近开口处（或窗户）室内、室外某倍频带的声压级分别为</w:t>
            </w:r>
            <w:r>
              <w:rPr>
                <w:color w:val="000000" w:themeColor="text1"/>
              </w:rPr>
              <w:t>Lp1</w:t>
            </w:r>
            <w:r>
              <w:rPr>
                <w:rFonts w:hint="eastAsia"/>
                <w:color w:val="000000" w:themeColor="text1"/>
              </w:rPr>
              <w:t>和</w:t>
            </w:r>
            <w:r>
              <w:rPr>
                <w:color w:val="000000" w:themeColor="text1"/>
              </w:rPr>
              <w:t>Lp2</w:t>
            </w:r>
            <w:r>
              <w:rPr>
                <w:rFonts w:hint="eastAsia"/>
                <w:color w:val="000000" w:themeColor="text1"/>
              </w:rPr>
              <w:t>。若声源所在室内声场为近似扩散声场，则可按下列公式计算某一室内声源靠近围护结构处产生的倍频带声压级：</w:t>
            </w:r>
          </w:p>
          <w:p>
            <w:pPr>
              <w:adjustRightInd w:val="0"/>
              <w:snapToGrid w:val="0"/>
              <w:ind w:firstLine="480"/>
              <w:jc w:val="center"/>
              <w:rPr>
                <w:color w:val="000000" w:themeColor="text1"/>
              </w:rPr>
            </w:pPr>
            <w:r>
              <w:rPr>
                <w:color w:val="000000" w:themeColor="text1"/>
              </w:rPr>
              <w:drawing>
                <wp:inline distT="0" distB="0" distL="0" distR="0">
                  <wp:extent cx="2012950" cy="1099820"/>
                  <wp:effectExtent l="0" t="0" r="635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012950" cy="1099820"/>
                          </a:xfrm>
                          <a:prstGeom prst="rect">
                            <a:avLst/>
                          </a:prstGeom>
                          <a:noFill/>
                          <a:ln>
                            <a:noFill/>
                          </a:ln>
                        </pic:spPr>
                      </pic:pic>
                    </a:graphicData>
                  </a:graphic>
                </wp:inline>
              </w:drawing>
            </w:r>
          </w:p>
          <w:p>
            <w:pPr>
              <w:adjustRightInd w:val="0"/>
              <w:snapToGrid w:val="0"/>
              <w:ind w:firstLine="482"/>
              <w:jc w:val="center"/>
              <w:rPr>
                <w:b/>
                <w:color w:val="000000" w:themeColor="text1"/>
                <w:szCs w:val="21"/>
              </w:rPr>
            </w:pPr>
            <w:r>
              <w:rPr>
                <w:rFonts w:hint="eastAsia"/>
                <w:b/>
                <w:color w:val="000000" w:themeColor="text1"/>
                <w:szCs w:val="21"/>
              </w:rPr>
              <w:t>图7-1   室内声源等效为室外声源图例</w:t>
            </w:r>
          </w:p>
          <w:p>
            <w:pPr>
              <w:adjustRightInd w:val="0"/>
              <w:snapToGrid w:val="0"/>
              <w:ind w:firstLine="480"/>
              <w:rPr>
                <w:color w:val="000000" w:themeColor="text1"/>
              </w:rPr>
            </w:pPr>
            <w:r>
              <w:rPr>
                <w:rFonts w:hint="eastAsia"/>
                <w:color w:val="000000" w:themeColor="text1"/>
              </w:rPr>
              <w:t>在室内近似为扩散声场时，按下式计算出靠近室外围护结构处的声压级：</w:t>
            </w:r>
          </w:p>
          <w:p>
            <w:pPr>
              <w:adjustRightInd w:val="0"/>
              <w:snapToGrid w:val="0"/>
              <w:ind w:firstLine="480"/>
              <w:jc w:val="center"/>
              <w:rPr>
                <w:color w:val="000000" w:themeColor="text1"/>
              </w:rPr>
            </w:pPr>
            <w:r>
              <w:rPr>
                <w:color w:val="000000" w:themeColor="text1"/>
              </w:rPr>
              <w:t>L</w:t>
            </w:r>
            <w:r>
              <w:rPr>
                <w:color w:val="000000" w:themeColor="text1"/>
                <w:vertAlign w:val="subscript"/>
              </w:rPr>
              <w:t>P2i</w:t>
            </w:r>
            <w:r>
              <w:rPr>
                <w:color w:val="000000" w:themeColor="text1"/>
              </w:rPr>
              <w:t xml:space="preserve"> (T)= L</w:t>
            </w:r>
            <w:r>
              <w:rPr>
                <w:color w:val="000000" w:themeColor="text1"/>
                <w:vertAlign w:val="subscript"/>
              </w:rPr>
              <w:t xml:space="preserve">P1i </w:t>
            </w:r>
            <w:r>
              <w:rPr>
                <w:color w:val="000000" w:themeColor="text1"/>
              </w:rPr>
              <w:t>(T)-</w:t>
            </w:r>
            <w:r>
              <w:rPr>
                <w:rFonts w:hint="eastAsia"/>
                <w:color w:val="000000" w:themeColor="text1"/>
              </w:rPr>
              <w:t>（</w:t>
            </w:r>
            <w:r>
              <w:rPr>
                <w:color w:val="000000" w:themeColor="text1"/>
              </w:rPr>
              <w:t>TL</w:t>
            </w:r>
            <w:r>
              <w:rPr>
                <w:color w:val="000000" w:themeColor="text1"/>
                <w:vertAlign w:val="subscript"/>
              </w:rPr>
              <w:t>i</w:t>
            </w:r>
            <w:r>
              <w:rPr>
                <w:color w:val="000000" w:themeColor="text1"/>
              </w:rPr>
              <w:t>+6</w:t>
            </w:r>
            <w:r>
              <w:rPr>
                <w:rFonts w:hint="eastAsia"/>
                <w:color w:val="000000" w:themeColor="text1"/>
              </w:rPr>
              <w:t>）</w:t>
            </w:r>
          </w:p>
          <w:p>
            <w:pPr>
              <w:adjustRightInd w:val="0"/>
              <w:snapToGrid w:val="0"/>
              <w:ind w:firstLine="480"/>
              <w:rPr>
                <w:color w:val="000000" w:themeColor="text1"/>
              </w:rPr>
            </w:pPr>
            <w:r>
              <w:rPr>
                <w:rFonts w:hint="eastAsia"/>
                <w:color w:val="000000" w:themeColor="text1"/>
              </w:rPr>
              <w:t>式中：</w:t>
            </w:r>
          </w:p>
          <w:p>
            <w:pPr>
              <w:adjustRightInd w:val="0"/>
              <w:snapToGrid w:val="0"/>
              <w:ind w:firstLine="480"/>
              <w:rPr>
                <w:color w:val="000000" w:themeColor="text1"/>
              </w:rPr>
            </w:pPr>
            <w:r>
              <w:rPr>
                <w:color w:val="000000" w:themeColor="text1"/>
              </w:rPr>
              <w:t>L</w:t>
            </w:r>
            <w:r>
              <w:rPr>
                <w:color w:val="000000" w:themeColor="text1"/>
                <w:vertAlign w:val="subscript"/>
              </w:rPr>
              <w:t>P2i</w:t>
            </w:r>
            <w:r>
              <w:rPr>
                <w:color w:val="000000" w:themeColor="text1"/>
              </w:rPr>
              <w:t xml:space="preserve"> (T)—</w:t>
            </w:r>
            <w:r>
              <w:rPr>
                <w:rFonts w:hint="eastAsia"/>
                <w:color w:val="000000" w:themeColor="text1"/>
              </w:rPr>
              <w:t>靠近围护结构处室外</w:t>
            </w:r>
            <w:r>
              <w:rPr>
                <w:color w:val="000000" w:themeColor="text1"/>
              </w:rPr>
              <w:t>N</w:t>
            </w:r>
            <w:r>
              <w:rPr>
                <w:rFonts w:hint="eastAsia"/>
                <w:color w:val="000000" w:themeColor="text1"/>
              </w:rPr>
              <w:t>个声源</w:t>
            </w:r>
            <w:r>
              <w:rPr>
                <w:color w:val="000000" w:themeColor="text1"/>
              </w:rPr>
              <w:t>i</w:t>
            </w:r>
            <w:r>
              <w:rPr>
                <w:rFonts w:hint="eastAsia"/>
                <w:color w:val="000000" w:themeColor="text1"/>
              </w:rPr>
              <w:t>倍频带的叠加声压级，</w:t>
            </w:r>
            <w:r>
              <w:rPr>
                <w:color w:val="000000" w:themeColor="text1"/>
              </w:rPr>
              <w:t>dB</w:t>
            </w:r>
            <w:r>
              <w:rPr>
                <w:rFonts w:hint="eastAsia"/>
                <w:color w:val="000000" w:themeColor="text1"/>
              </w:rPr>
              <w:t>；</w:t>
            </w:r>
          </w:p>
          <w:p>
            <w:pPr>
              <w:adjustRightInd w:val="0"/>
              <w:snapToGrid w:val="0"/>
              <w:ind w:firstLine="480"/>
              <w:rPr>
                <w:color w:val="000000" w:themeColor="text1"/>
              </w:rPr>
            </w:pPr>
            <w:r>
              <w:rPr>
                <w:color w:val="000000" w:themeColor="text1"/>
              </w:rPr>
              <w:t>TL</w:t>
            </w:r>
            <w:r>
              <w:rPr>
                <w:color w:val="000000" w:themeColor="text1"/>
                <w:vertAlign w:val="subscript"/>
              </w:rPr>
              <w:t>i</w:t>
            </w:r>
            <w:r>
              <w:rPr>
                <w:color w:val="000000" w:themeColor="text1"/>
              </w:rPr>
              <w:t>—</w:t>
            </w:r>
            <w:r>
              <w:rPr>
                <w:rFonts w:hint="eastAsia"/>
                <w:color w:val="000000" w:themeColor="text1"/>
              </w:rPr>
              <w:t>围护结构</w:t>
            </w:r>
            <w:r>
              <w:rPr>
                <w:color w:val="000000" w:themeColor="text1"/>
              </w:rPr>
              <w:t>i</w:t>
            </w:r>
            <w:r>
              <w:rPr>
                <w:rFonts w:hint="eastAsia"/>
                <w:color w:val="000000" w:themeColor="text1"/>
              </w:rPr>
              <w:t>倍频带的隔声量，</w:t>
            </w:r>
            <w:r>
              <w:rPr>
                <w:color w:val="000000" w:themeColor="text1"/>
              </w:rPr>
              <w:t>dB</w:t>
            </w:r>
            <w:r>
              <w:rPr>
                <w:rFonts w:hint="eastAsia"/>
                <w:color w:val="000000" w:themeColor="text1"/>
              </w:rPr>
              <w:t>。</w:t>
            </w:r>
          </w:p>
          <w:p>
            <w:pPr>
              <w:adjustRightInd w:val="0"/>
              <w:snapToGrid w:val="0"/>
              <w:ind w:firstLine="480"/>
              <w:rPr>
                <w:color w:val="000000" w:themeColor="text1"/>
              </w:rPr>
            </w:pPr>
            <w:r>
              <w:rPr>
                <w:rFonts w:hint="eastAsia"/>
                <w:color w:val="000000" w:themeColor="text1"/>
              </w:rPr>
              <w:t>根据导则，一般可选中心频率为</w:t>
            </w:r>
            <w:r>
              <w:rPr>
                <w:color w:val="000000" w:themeColor="text1"/>
              </w:rPr>
              <w:t>500Hz</w:t>
            </w:r>
            <w:r>
              <w:rPr>
                <w:rFonts w:hint="eastAsia"/>
                <w:color w:val="000000" w:themeColor="text1"/>
              </w:rPr>
              <w:t>的倍频带作估算；根据洪宗辉《环境噪声控制工程》（高等教育出版社），单层隔声墙在中心频率为</w:t>
            </w:r>
            <w:r>
              <w:rPr>
                <w:color w:val="000000" w:themeColor="text1"/>
              </w:rPr>
              <w:t>500Hz</w:t>
            </w:r>
            <w:r>
              <w:rPr>
                <w:rFonts w:hint="eastAsia"/>
                <w:color w:val="000000" w:themeColor="text1"/>
              </w:rPr>
              <w:t>的倍频带隔声量大约为</w:t>
            </w:r>
            <w:r>
              <w:rPr>
                <w:color w:val="000000" w:themeColor="text1"/>
              </w:rPr>
              <w:t>43</w:t>
            </w:r>
            <w:r>
              <w:rPr>
                <w:rFonts w:hint="eastAsia"/>
                <w:color w:val="000000" w:themeColor="text1"/>
              </w:rPr>
              <w:t>～</w:t>
            </w:r>
            <w:r>
              <w:rPr>
                <w:color w:val="000000" w:themeColor="text1"/>
              </w:rPr>
              <w:t>53dB</w:t>
            </w:r>
            <w:r>
              <w:rPr>
                <w:rFonts w:hint="eastAsia"/>
                <w:color w:val="000000" w:themeColor="text1"/>
              </w:rPr>
              <w:t>。</w:t>
            </w:r>
          </w:p>
          <w:p>
            <w:pPr>
              <w:adjustRightInd w:val="0"/>
              <w:snapToGrid w:val="0"/>
              <w:ind w:firstLine="482"/>
              <w:rPr>
                <w:b/>
                <w:color w:val="000000" w:themeColor="text1"/>
              </w:rPr>
            </w:pPr>
            <w:r>
              <w:rPr>
                <w:rFonts w:hint="eastAsia"/>
                <w:b/>
                <w:color w:val="000000" w:themeColor="text1"/>
              </w:rPr>
              <w:t>②多声源声压级的预测</w:t>
            </w:r>
          </w:p>
          <w:p>
            <w:pPr>
              <w:adjustRightInd w:val="0"/>
              <w:snapToGrid w:val="0"/>
              <w:ind w:firstLine="480"/>
              <w:rPr>
                <w:color w:val="000000" w:themeColor="text1"/>
              </w:rPr>
            </w:pPr>
            <w:r>
              <w:rPr>
                <w:rFonts w:hint="eastAsia"/>
                <w:color w:val="000000" w:themeColor="text1"/>
              </w:rPr>
              <w:t>在噪声源众多的情况下，某预测点的声压级为各噪声对该受声点的噪声级分贝值迭加之和。计算公式如下：</w:t>
            </w:r>
          </w:p>
          <w:p>
            <w:pPr>
              <w:adjustRightInd w:val="0"/>
              <w:snapToGrid w:val="0"/>
              <w:ind w:firstLine="480"/>
              <w:jc w:val="center"/>
              <w:rPr>
                <w:color w:val="000000" w:themeColor="text1"/>
              </w:rPr>
            </w:pPr>
            <w:r>
              <w:rPr>
                <w:color w:val="000000" w:themeColor="text1"/>
              </w:rPr>
              <w:drawing>
                <wp:inline distT="0" distB="0" distL="0" distR="0">
                  <wp:extent cx="1733550" cy="614680"/>
                  <wp:effectExtent l="0" t="0" r="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614680"/>
                          </a:xfrm>
                          <a:prstGeom prst="rect">
                            <a:avLst/>
                          </a:prstGeom>
                          <a:noFill/>
                          <a:ln>
                            <a:noFill/>
                          </a:ln>
                        </pic:spPr>
                      </pic:pic>
                    </a:graphicData>
                  </a:graphic>
                </wp:inline>
              </w:drawing>
            </w:r>
          </w:p>
          <w:p>
            <w:pPr>
              <w:adjustRightInd w:val="0"/>
              <w:snapToGrid w:val="0"/>
              <w:ind w:firstLine="480"/>
              <w:rPr>
                <w:color w:val="000000" w:themeColor="text1"/>
              </w:rPr>
            </w:pPr>
            <w:r>
              <w:rPr>
                <w:rFonts w:hint="eastAsia"/>
                <w:color w:val="000000" w:themeColor="text1"/>
              </w:rPr>
              <w:t>式中：</w:t>
            </w:r>
          </w:p>
          <w:p>
            <w:pPr>
              <w:adjustRightInd w:val="0"/>
              <w:snapToGrid w:val="0"/>
              <w:ind w:firstLine="480"/>
              <w:rPr>
                <w:color w:val="000000" w:themeColor="text1"/>
              </w:rPr>
            </w:pPr>
            <w:r>
              <w:rPr>
                <w:rFonts w:hint="eastAsia"/>
                <w:color w:val="000000" w:themeColor="text1"/>
              </w:rPr>
              <w:t>Lp</w:t>
            </w:r>
            <w:r>
              <w:rPr>
                <w:rFonts w:hint="eastAsia"/>
                <w:color w:val="000000" w:themeColor="text1"/>
                <w:vertAlign w:val="subscript"/>
              </w:rPr>
              <w:t>T</w:t>
            </w:r>
            <w:r>
              <w:rPr>
                <w:rFonts w:hint="eastAsia"/>
                <w:color w:val="000000" w:themeColor="text1"/>
              </w:rPr>
              <w:t>—某预测点迭加后的总声压级，dB(A)；</w:t>
            </w:r>
          </w:p>
          <w:p>
            <w:pPr>
              <w:adjustRightInd w:val="0"/>
              <w:snapToGrid w:val="0"/>
              <w:ind w:firstLine="480"/>
              <w:rPr>
                <w:color w:val="000000" w:themeColor="text1"/>
              </w:rPr>
            </w:pPr>
            <w:r>
              <w:rPr>
                <w:rFonts w:hint="eastAsia"/>
                <w:color w:val="000000" w:themeColor="text1"/>
              </w:rPr>
              <w:t>Lp</w:t>
            </w:r>
            <w:r>
              <w:rPr>
                <w:rFonts w:hint="eastAsia"/>
                <w:color w:val="000000" w:themeColor="text1"/>
                <w:vertAlign w:val="subscript"/>
              </w:rPr>
              <w:t>i</w:t>
            </w:r>
            <w:r>
              <w:rPr>
                <w:rFonts w:hint="eastAsia"/>
                <w:color w:val="000000" w:themeColor="text1"/>
              </w:rPr>
              <w:t>—i声源对某预测点的贡献声压级，dB(A)。</w:t>
            </w:r>
          </w:p>
          <w:p>
            <w:pPr>
              <w:adjustRightInd w:val="0"/>
              <w:snapToGrid w:val="0"/>
              <w:ind w:firstLine="482"/>
              <w:rPr>
                <w:b/>
                <w:color w:val="000000" w:themeColor="text1"/>
              </w:rPr>
            </w:pPr>
            <w:r>
              <w:rPr>
                <w:rFonts w:hint="eastAsia"/>
                <w:b/>
                <w:color w:val="000000" w:themeColor="text1"/>
              </w:rPr>
              <w:t>③厂界噪声衰减扩散预测</w:t>
            </w:r>
          </w:p>
          <w:p>
            <w:pPr>
              <w:adjustRightInd w:val="0"/>
              <w:snapToGrid w:val="0"/>
              <w:ind w:firstLine="480"/>
              <w:rPr>
                <w:color w:val="000000" w:themeColor="text1"/>
              </w:rPr>
            </w:pPr>
            <w:r>
              <w:rPr>
                <w:rFonts w:hint="eastAsia"/>
                <w:color w:val="000000" w:themeColor="text1"/>
              </w:rPr>
              <w:t>根据《环境影响评价技术导则声环境》（HJ/T2.4-2009）推荐的噪声户外传播衰减计算的替代方法，即用A声级计算，其计算公式如下：</w:t>
            </w:r>
          </w:p>
          <w:p>
            <w:pPr>
              <w:adjustRightInd w:val="0"/>
              <w:snapToGrid w:val="0"/>
              <w:ind w:firstLine="480"/>
              <w:jc w:val="center"/>
              <w:rPr>
                <w:color w:val="000000" w:themeColor="text1"/>
              </w:rPr>
            </w:pPr>
            <w:r>
              <w:rPr>
                <w:color w:val="000000" w:themeColor="text1"/>
              </w:rPr>
              <w:drawing>
                <wp:inline distT="0" distB="0" distL="0" distR="0">
                  <wp:extent cx="3072765" cy="450215"/>
                  <wp:effectExtent l="0" t="0" r="13335"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099365" cy="454382"/>
                          </a:xfrm>
                          <a:prstGeom prst="rect">
                            <a:avLst/>
                          </a:prstGeom>
                          <a:noFill/>
                          <a:ln>
                            <a:noFill/>
                          </a:ln>
                        </pic:spPr>
                      </pic:pic>
                    </a:graphicData>
                  </a:graphic>
                </wp:inline>
              </w:drawing>
            </w:r>
          </w:p>
          <w:p>
            <w:pPr>
              <w:adjustRightInd w:val="0"/>
              <w:snapToGrid w:val="0"/>
              <w:ind w:firstLine="480"/>
              <w:rPr>
                <w:color w:val="000000" w:themeColor="text1"/>
              </w:rPr>
            </w:pPr>
            <w:r>
              <w:rPr>
                <w:rFonts w:hint="eastAsia"/>
                <w:color w:val="000000" w:themeColor="text1"/>
              </w:rPr>
              <w:t>式中：L</w:t>
            </w:r>
            <w:r>
              <w:rPr>
                <w:rFonts w:hint="eastAsia"/>
                <w:i/>
                <w:color w:val="000000" w:themeColor="text1"/>
                <w:vertAlign w:val="subscript"/>
              </w:rPr>
              <w:t>A</w:t>
            </w:r>
            <w:r>
              <w:rPr>
                <w:color w:val="000000" w:themeColor="text1"/>
                <w:vertAlign w:val="subscript"/>
              </w:rPr>
              <w:t>®</w:t>
            </w:r>
            <w:r>
              <w:rPr>
                <w:rFonts w:hint="eastAsia"/>
                <w:color w:val="000000" w:themeColor="text1"/>
              </w:rPr>
              <w:t>—距声源r处的A声级，dB；</w:t>
            </w:r>
          </w:p>
          <w:p>
            <w:pPr>
              <w:adjustRightInd w:val="0"/>
              <w:snapToGrid w:val="0"/>
              <w:ind w:firstLine="480"/>
              <w:rPr>
                <w:color w:val="000000" w:themeColor="text1"/>
              </w:rPr>
            </w:pPr>
            <w:r>
              <w:rPr>
                <w:rFonts w:hint="eastAsia"/>
                <w:color w:val="000000" w:themeColor="text1"/>
              </w:rPr>
              <w:t>L</w:t>
            </w:r>
            <w:r>
              <w:rPr>
                <w:rFonts w:hint="eastAsia"/>
                <w:i/>
                <w:color w:val="000000" w:themeColor="text1"/>
                <w:vertAlign w:val="subscript"/>
              </w:rPr>
              <w:t>A</w:t>
            </w:r>
            <w:r>
              <w:rPr>
                <w:rFonts w:hint="eastAsia"/>
                <w:color w:val="000000" w:themeColor="text1"/>
              </w:rPr>
              <w:t>(r</w:t>
            </w:r>
            <w:r>
              <w:rPr>
                <w:rFonts w:hint="eastAsia"/>
                <w:color w:val="000000" w:themeColor="text1"/>
                <w:vertAlign w:val="subscript"/>
              </w:rPr>
              <w:t>0</w:t>
            </w:r>
            <w:r>
              <w:rPr>
                <w:rFonts w:hint="eastAsia"/>
                <w:color w:val="000000" w:themeColor="text1"/>
              </w:rPr>
              <w:t>) —参考位置r</w:t>
            </w:r>
            <w:r>
              <w:rPr>
                <w:rFonts w:hint="eastAsia"/>
                <w:color w:val="000000" w:themeColor="text1"/>
                <w:vertAlign w:val="subscript"/>
              </w:rPr>
              <w:t>0</w:t>
            </w:r>
            <w:r>
              <w:rPr>
                <w:rFonts w:hint="eastAsia"/>
                <w:color w:val="000000" w:themeColor="text1"/>
              </w:rPr>
              <w:t>处的A声级，dB；当r</w:t>
            </w:r>
            <w:r>
              <w:rPr>
                <w:rFonts w:hint="eastAsia"/>
                <w:color w:val="000000" w:themeColor="text1"/>
                <w:vertAlign w:val="subscript"/>
              </w:rPr>
              <w:t>0</w:t>
            </w:r>
            <w:r>
              <w:rPr>
                <w:rFonts w:hint="eastAsia"/>
                <w:color w:val="000000" w:themeColor="text1"/>
              </w:rPr>
              <w:t>=1m时，L</w:t>
            </w:r>
            <w:r>
              <w:rPr>
                <w:rFonts w:hint="eastAsia"/>
                <w:i/>
                <w:color w:val="000000" w:themeColor="text1"/>
                <w:vertAlign w:val="subscript"/>
              </w:rPr>
              <w:t>A</w:t>
            </w:r>
            <w:r>
              <w:rPr>
                <w:rFonts w:hint="eastAsia"/>
                <w:color w:val="000000" w:themeColor="text1"/>
              </w:rPr>
              <w:t>(r</w:t>
            </w:r>
            <w:r>
              <w:rPr>
                <w:rFonts w:hint="eastAsia"/>
                <w:color w:val="000000" w:themeColor="text1"/>
                <w:vertAlign w:val="subscript"/>
              </w:rPr>
              <w:t>0</w:t>
            </w:r>
            <w:r>
              <w:rPr>
                <w:rFonts w:hint="eastAsia"/>
                <w:color w:val="000000" w:themeColor="text1"/>
              </w:rPr>
              <w:t>)即为源强；本项目各车间的综合噪声源强。</w:t>
            </w:r>
          </w:p>
          <w:p>
            <w:pPr>
              <w:adjustRightInd w:val="0"/>
              <w:snapToGrid w:val="0"/>
              <w:ind w:firstLine="480"/>
              <w:rPr>
                <w:color w:val="000000" w:themeColor="text1"/>
              </w:rPr>
            </w:pPr>
            <w:r>
              <w:rPr>
                <w:rFonts w:hint="eastAsia"/>
                <w:i/>
                <w:color w:val="000000" w:themeColor="text1"/>
              </w:rPr>
              <w:t>A</w:t>
            </w:r>
            <w:r>
              <w:rPr>
                <w:rFonts w:hint="eastAsia"/>
                <w:i/>
                <w:color w:val="000000" w:themeColor="text1"/>
                <w:vertAlign w:val="subscript"/>
              </w:rPr>
              <w:t>div</w:t>
            </w:r>
            <w:r>
              <w:rPr>
                <w:rFonts w:hint="eastAsia"/>
                <w:color w:val="000000" w:themeColor="text1"/>
              </w:rPr>
              <w:t>—声波几何发散引起的A声级衰减量，dB；</w:t>
            </w:r>
          </w:p>
          <w:p>
            <w:pPr>
              <w:adjustRightInd w:val="0"/>
              <w:snapToGrid w:val="0"/>
              <w:ind w:firstLine="480"/>
              <w:jc w:val="center"/>
              <w:rPr>
                <w:color w:val="000000" w:themeColor="text1"/>
              </w:rPr>
            </w:pPr>
            <w:r>
              <w:rPr>
                <w:rFonts w:hint="eastAsia"/>
                <w:i/>
                <w:color w:val="000000" w:themeColor="text1"/>
              </w:rPr>
              <w:t>A</w:t>
            </w:r>
            <w:r>
              <w:rPr>
                <w:rFonts w:hint="eastAsia"/>
                <w:i/>
                <w:color w:val="000000" w:themeColor="text1"/>
                <w:vertAlign w:val="subscript"/>
              </w:rPr>
              <w:t>div</w:t>
            </w:r>
            <w:r>
              <w:rPr>
                <w:rFonts w:hint="eastAsia"/>
                <w:color w:val="000000" w:themeColor="text1"/>
              </w:rPr>
              <w:t>=20lg（</w:t>
            </w:r>
            <w:r>
              <w:rPr>
                <w:rFonts w:hint="eastAsia"/>
                <w:i/>
                <w:color w:val="000000" w:themeColor="text1"/>
              </w:rPr>
              <w:t>r/r</w:t>
            </w:r>
            <w:r>
              <w:rPr>
                <w:rFonts w:hint="eastAsia"/>
                <w:i/>
                <w:color w:val="000000" w:themeColor="text1"/>
                <w:vertAlign w:val="subscript"/>
              </w:rPr>
              <w:t>0</w:t>
            </w:r>
            <w:r>
              <w:rPr>
                <w:rFonts w:hint="eastAsia"/>
                <w:color w:val="000000" w:themeColor="text1"/>
              </w:rPr>
              <w:t>）</w:t>
            </w:r>
          </w:p>
          <w:p>
            <w:pPr>
              <w:adjustRightInd w:val="0"/>
              <w:snapToGrid w:val="0"/>
              <w:ind w:firstLine="480"/>
              <w:rPr>
                <w:color w:val="000000" w:themeColor="text1"/>
              </w:rPr>
            </w:pPr>
            <w:r>
              <w:rPr>
                <w:rFonts w:hint="eastAsia"/>
                <w:i/>
                <w:color w:val="000000" w:themeColor="text1"/>
              </w:rPr>
              <w:t>A</w:t>
            </w:r>
            <w:r>
              <w:rPr>
                <w:rFonts w:hint="eastAsia"/>
                <w:i/>
                <w:color w:val="000000" w:themeColor="text1"/>
                <w:vertAlign w:val="subscript"/>
              </w:rPr>
              <w:t>bar</w:t>
            </w:r>
            <w:r>
              <w:rPr>
                <w:rFonts w:hint="eastAsia"/>
                <w:color w:val="000000" w:themeColor="text1"/>
              </w:rPr>
              <w:t>—遮挡物引起的A声级衰减量，dB，车间墙体遮挡衰减取13dB；</w:t>
            </w:r>
          </w:p>
          <w:p>
            <w:pPr>
              <w:adjustRightInd w:val="0"/>
              <w:snapToGrid w:val="0"/>
              <w:ind w:firstLine="480"/>
              <w:rPr>
                <w:color w:val="000000" w:themeColor="text1"/>
              </w:rPr>
            </w:pPr>
            <w:r>
              <w:rPr>
                <w:rFonts w:hint="eastAsia"/>
                <w:i/>
                <w:color w:val="000000" w:themeColor="text1"/>
              </w:rPr>
              <w:t>A</w:t>
            </w:r>
            <w:r>
              <w:rPr>
                <w:rFonts w:hint="eastAsia"/>
                <w:i/>
                <w:color w:val="000000" w:themeColor="text1"/>
                <w:vertAlign w:val="subscript"/>
              </w:rPr>
              <w:t>atm</w:t>
            </w:r>
            <w:r>
              <w:rPr>
                <w:rFonts w:hint="eastAsia"/>
                <w:color w:val="000000" w:themeColor="text1"/>
              </w:rPr>
              <w:t>—空气吸收引起的A声级衰减量，dB；</w:t>
            </w:r>
          </w:p>
          <w:p>
            <w:pPr>
              <w:adjustRightInd w:val="0"/>
              <w:snapToGrid w:val="0"/>
              <w:ind w:firstLine="480"/>
              <w:rPr>
                <w:color w:val="000000" w:themeColor="text1"/>
              </w:rPr>
            </w:pPr>
            <w:r>
              <w:rPr>
                <w:rFonts w:hint="eastAsia"/>
                <w:i/>
                <w:color w:val="000000" w:themeColor="text1"/>
              </w:rPr>
              <w:t>A</w:t>
            </w:r>
            <w:r>
              <w:rPr>
                <w:rFonts w:hint="eastAsia"/>
                <w:i/>
                <w:color w:val="000000" w:themeColor="text1"/>
                <w:vertAlign w:val="subscript"/>
              </w:rPr>
              <w:t>exe</w:t>
            </w:r>
            <w:r>
              <w:rPr>
                <w:rFonts w:hint="eastAsia"/>
                <w:color w:val="000000" w:themeColor="text1"/>
              </w:rPr>
              <w:t>—附加A声级衰减量，dB。</w:t>
            </w:r>
          </w:p>
          <w:p>
            <w:pPr>
              <w:adjustRightInd w:val="0"/>
              <w:snapToGrid w:val="0"/>
              <w:ind w:firstLine="480"/>
              <w:rPr>
                <w:color w:val="000000" w:themeColor="text1"/>
              </w:rPr>
            </w:pPr>
            <w:r>
              <w:rPr>
                <w:rFonts w:hint="eastAsia"/>
                <w:color w:val="000000" w:themeColor="text1"/>
              </w:rPr>
              <w:t>为避免计算中增大衰减量而造成预测值偏小，计算时忽略</w:t>
            </w:r>
            <w:r>
              <w:rPr>
                <w:rFonts w:hint="eastAsia"/>
                <w:i/>
                <w:color w:val="000000" w:themeColor="text1"/>
              </w:rPr>
              <w:t>A</w:t>
            </w:r>
            <w:r>
              <w:rPr>
                <w:rFonts w:hint="eastAsia"/>
                <w:i/>
                <w:color w:val="000000" w:themeColor="text1"/>
                <w:vertAlign w:val="subscript"/>
              </w:rPr>
              <w:t>atm</w:t>
            </w:r>
            <w:r>
              <w:rPr>
                <w:rFonts w:hint="eastAsia"/>
                <w:color w:val="000000" w:themeColor="text1"/>
              </w:rPr>
              <w:t>和</w:t>
            </w:r>
            <w:r>
              <w:rPr>
                <w:rFonts w:hint="eastAsia"/>
                <w:i/>
                <w:color w:val="000000" w:themeColor="text1"/>
              </w:rPr>
              <w:t>A</w:t>
            </w:r>
            <w:r>
              <w:rPr>
                <w:rFonts w:hint="eastAsia"/>
                <w:i/>
                <w:color w:val="000000" w:themeColor="text1"/>
                <w:vertAlign w:val="subscript"/>
              </w:rPr>
              <w:t>exe</w:t>
            </w:r>
            <w:r>
              <w:rPr>
                <w:rFonts w:hint="eastAsia"/>
                <w:color w:val="000000" w:themeColor="text1"/>
              </w:rPr>
              <w:t>。</w:t>
            </w:r>
          </w:p>
          <w:p>
            <w:pPr>
              <w:adjustRightInd w:val="0"/>
              <w:snapToGrid w:val="0"/>
              <w:ind w:firstLine="482"/>
              <w:rPr>
                <w:b/>
                <w:color w:val="000000" w:themeColor="text1"/>
              </w:rPr>
            </w:pPr>
            <w:r>
              <w:rPr>
                <w:rFonts w:hint="eastAsia"/>
                <w:b/>
                <w:color w:val="000000" w:themeColor="text1"/>
              </w:rPr>
              <w:t>（3）预测内容</w:t>
            </w:r>
          </w:p>
          <w:p>
            <w:pPr>
              <w:adjustRightInd w:val="0"/>
              <w:snapToGrid w:val="0"/>
              <w:ind w:firstLine="480"/>
              <w:rPr>
                <w:color w:val="000000" w:themeColor="text1"/>
              </w:rPr>
            </w:pPr>
            <w:r>
              <w:rPr>
                <w:rFonts w:hint="eastAsia"/>
                <w:color w:val="000000" w:themeColor="text1"/>
              </w:rPr>
              <w:t>在本项目正常运行时，预测各车间噪声源衰减到厂址的边界处的噪声强度，即对厂址的厂界四周进行预测计算，与《工业企业厂界环境噪声排放标准》（GB12348-2008）2类标准进行比较，分析达标情况。</w:t>
            </w:r>
          </w:p>
          <w:p>
            <w:pPr>
              <w:adjustRightInd w:val="0"/>
              <w:snapToGrid w:val="0"/>
              <w:ind w:firstLine="482"/>
              <w:rPr>
                <w:b/>
                <w:color w:val="000000" w:themeColor="text1"/>
              </w:rPr>
            </w:pPr>
            <w:r>
              <w:rPr>
                <w:rFonts w:hint="eastAsia"/>
                <w:b/>
                <w:color w:val="000000" w:themeColor="text1"/>
              </w:rPr>
              <w:t>（4）预测结果及评价</w:t>
            </w:r>
          </w:p>
          <w:p>
            <w:pPr>
              <w:tabs>
                <w:tab w:val="left" w:pos="611"/>
              </w:tabs>
              <w:snapToGrid w:val="0"/>
              <w:ind w:firstLine="480"/>
              <w:rPr>
                <w:color w:val="000000" w:themeColor="text1"/>
              </w:rPr>
            </w:pPr>
            <w:r>
              <w:rPr>
                <w:rFonts w:hint="eastAsia"/>
                <w:color w:val="000000" w:themeColor="text1"/>
              </w:rPr>
              <w:t>项目各噪声源距厂界距离见表7-</w:t>
            </w:r>
            <w:r>
              <w:rPr>
                <w:rFonts w:hint="eastAsia"/>
                <w:color w:val="000000" w:themeColor="text1"/>
                <w:lang w:val="en-US" w:eastAsia="zh-CN"/>
              </w:rPr>
              <w:t>11</w:t>
            </w:r>
            <w:r>
              <w:rPr>
                <w:rFonts w:hint="eastAsia"/>
                <w:color w:val="000000" w:themeColor="text1"/>
              </w:rPr>
              <w:t>。</w:t>
            </w:r>
          </w:p>
          <w:p>
            <w:pPr>
              <w:snapToGrid w:val="0"/>
              <w:ind w:firstLine="482"/>
              <w:jc w:val="center"/>
              <w:rPr>
                <w:b/>
                <w:color w:val="000000" w:themeColor="text1"/>
                <w:szCs w:val="21"/>
              </w:rPr>
            </w:pPr>
            <w:r>
              <w:rPr>
                <w:rFonts w:hint="eastAsia"/>
                <w:b/>
                <w:color w:val="000000" w:themeColor="text1"/>
                <w:szCs w:val="21"/>
              </w:rPr>
              <w:t>表7-</w:t>
            </w:r>
            <w:r>
              <w:rPr>
                <w:rFonts w:hint="eastAsia"/>
                <w:b/>
                <w:color w:val="000000" w:themeColor="text1"/>
                <w:szCs w:val="21"/>
                <w:lang w:val="en-US" w:eastAsia="zh-CN"/>
              </w:rPr>
              <w:t>11</w:t>
            </w:r>
            <w:r>
              <w:rPr>
                <w:rFonts w:hint="eastAsia"/>
                <w:b/>
                <w:color w:val="000000" w:themeColor="text1"/>
                <w:szCs w:val="21"/>
              </w:rPr>
              <w:t xml:space="preserve">   项目生产设备距厂界距离一览表</w:t>
            </w:r>
          </w:p>
          <w:tbl>
            <w:tblPr>
              <w:tblStyle w:val="23"/>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935"/>
              <w:gridCol w:w="870"/>
              <w:gridCol w:w="1485"/>
              <w:gridCol w:w="840"/>
              <w:gridCol w:w="915"/>
              <w:gridCol w:w="87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57" w:type="dxa"/>
                  <w:vMerge w:val="restart"/>
                  <w:vAlign w:val="center"/>
                </w:tcPr>
                <w:p>
                  <w:pPr>
                    <w:snapToGrid w:val="0"/>
                    <w:spacing w:line="240" w:lineRule="auto"/>
                    <w:ind w:firstLine="0" w:firstLineChars="0"/>
                    <w:jc w:val="center"/>
                    <w:rPr>
                      <w:rFonts w:eastAsiaTheme="minorEastAsia"/>
                      <w:b/>
                      <w:bCs/>
                    </w:rPr>
                  </w:pPr>
                  <w:r>
                    <w:rPr>
                      <w:rFonts w:eastAsiaTheme="minorEastAsia"/>
                      <w:b/>
                      <w:sz w:val="21"/>
                      <w:szCs w:val="21"/>
                    </w:rPr>
                    <w:t>序号</w:t>
                  </w:r>
                </w:p>
              </w:tc>
              <w:tc>
                <w:tcPr>
                  <w:tcW w:w="1935" w:type="dxa"/>
                  <w:vMerge w:val="restart"/>
                  <w:vAlign w:val="center"/>
                </w:tcPr>
                <w:p>
                  <w:pPr>
                    <w:snapToGrid w:val="0"/>
                    <w:spacing w:line="240" w:lineRule="auto"/>
                    <w:ind w:firstLine="0" w:firstLineChars="0"/>
                    <w:jc w:val="center"/>
                    <w:rPr>
                      <w:rFonts w:eastAsiaTheme="minorEastAsia"/>
                      <w:b/>
                      <w:bCs/>
                    </w:rPr>
                  </w:pPr>
                  <w:r>
                    <w:rPr>
                      <w:rFonts w:eastAsiaTheme="minorEastAsia"/>
                      <w:b/>
                      <w:sz w:val="21"/>
                      <w:szCs w:val="21"/>
                    </w:rPr>
                    <w:t>机械名称</w:t>
                  </w:r>
                </w:p>
              </w:tc>
              <w:tc>
                <w:tcPr>
                  <w:tcW w:w="870" w:type="dxa"/>
                  <w:vMerge w:val="restart"/>
                  <w:vAlign w:val="center"/>
                </w:tcPr>
                <w:p>
                  <w:pPr>
                    <w:spacing w:line="240" w:lineRule="auto"/>
                    <w:ind w:firstLine="0" w:firstLineChars="0"/>
                    <w:jc w:val="center"/>
                    <w:rPr>
                      <w:rFonts w:eastAsiaTheme="minorEastAsia"/>
                      <w:b/>
                      <w:bCs/>
                    </w:rPr>
                  </w:pPr>
                  <w:r>
                    <w:rPr>
                      <w:b/>
                      <w:bCs/>
                      <w:sz w:val="21"/>
                      <w:szCs w:val="21"/>
                    </w:rPr>
                    <w:t>数量</w:t>
                  </w:r>
                </w:p>
              </w:tc>
              <w:tc>
                <w:tcPr>
                  <w:tcW w:w="1485" w:type="dxa"/>
                  <w:vMerge w:val="restart"/>
                  <w:vAlign w:val="center"/>
                </w:tcPr>
                <w:p>
                  <w:pPr>
                    <w:snapToGrid w:val="0"/>
                    <w:spacing w:line="240" w:lineRule="auto"/>
                    <w:ind w:firstLine="0" w:firstLineChars="0"/>
                    <w:jc w:val="center"/>
                    <w:rPr>
                      <w:rFonts w:eastAsiaTheme="minorEastAsia"/>
                      <w:b/>
                      <w:bCs/>
                    </w:rPr>
                  </w:pPr>
                  <w:r>
                    <w:rPr>
                      <w:rFonts w:eastAsiaTheme="minorEastAsia"/>
                      <w:b/>
                      <w:sz w:val="21"/>
                      <w:szCs w:val="21"/>
                    </w:rPr>
                    <w:t>单台设备噪声源强（dB(A)）</w:t>
                  </w:r>
                </w:p>
              </w:tc>
              <w:tc>
                <w:tcPr>
                  <w:tcW w:w="3359" w:type="dxa"/>
                  <w:gridSpan w:val="4"/>
                  <w:vAlign w:val="center"/>
                </w:tcPr>
                <w:p>
                  <w:pPr>
                    <w:snapToGrid w:val="0"/>
                    <w:spacing w:line="240" w:lineRule="auto"/>
                    <w:ind w:firstLine="0" w:firstLineChars="0"/>
                    <w:jc w:val="center"/>
                    <w:rPr>
                      <w:rFonts w:eastAsiaTheme="minorEastAsia"/>
                      <w:b/>
                      <w:bCs/>
                    </w:rPr>
                  </w:pPr>
                  <w:r>
                    <w:rPr>
                      <w:rFonts w:eastAsiaTheme="minorEastAsia"/>
                      <w:b/>
                      <w:sz w:val="21"/>
                      <w:szCs w:val="21"/>
                    </w:rPr>
                    <w:t>到厂界的距离（m）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57" w:type="dxa"/>
                  <w:vMerge w:val="continue"/>
                  <w:vAlign w:val="center"/>
                </w:tcPr>
                <w:p>
                  <w:pPr>
                    <w:snapToGrid w:val="0"/>
                    <w:spacing w:line="240" w:lineRule="auto"/>
                    <w:ind w:firstLine="0" w:firstLineChars="0"/>
                    <w:jc w:val="center"/>
                    <w:rPr>
                      <w:rFonts w:eastAsiaTheme="minorEastAsia"/>
                      <w:b/>
                      <w:bCs/>
                    </w:rPr>
                  </w:pPr>
                </w:p>
              </w:tc>
              <w:tc>
                <w:tcPr>
                  <w:tcW w:w="1935" w:type="dxa"/>
                  <w:vMerge w:val="continue"/>
                  <w:vAlign w:val="center"/>
                </w:tcPr>
                <w:p>
                  <w:pPr>
                    <w:snapToGrid w:val="0"/>
                    <w:spacing w:line="240" w:lineRule="auto"/>
                    <w:ind w:firstLine="0" w:firstLineChars="0"/>
                    <w:jc w:val="center"/>
                    <w:rPr>
                      <w:rFonts w:eastAsiaTheme="minorEastAsia"/>
                      <w:b/>
                      <w:bCs/>
                    </w:rPr>
                  </w:pPr>
                </w:p>
              </w:tc>
              <w:tc>
                <w:tcPr>
                  <w:tcW w:w="870" w:type="dxa"/>
                  <w:vMerge w:val="continue"/>
                  <w:vAlign w:val="center"/>
                </w:tcPr>
                <w:p>
                  <w:pPr>
                    <w:spacing w:line="240" w:lineRule="auto"/>
                    <w:ind w:firstLine="0" w:firstLineChars="0"/>
                    <w:jc w:val="center"/>
                    <w:rPr>
                      <w:rFonts w:eastAsiaTheme="minorEastAsia"/>
                      <w:b/>
                      <w:bCs/>
                    </w:rPr>
                  </w:pPr>
                </w:p>
              </w:tc>
              <w:tc>
                <w:tcPr>
                  <w:tcW w:w="1485" w:type="dxa"/>
                  <w:vMerge w:val="continue"/>
                  <w:vAlign w:val="center"/>
                </w:tcPr>
                <w:p>
                  <w:pPr>
                    <w:snapToGrid w:val="0"/>
                    <w:spacing w:line="240" w:lineRule="auto"/>
                    <w:ind w:firstLine="0" w:firstLineChars="0"/>
                    <w:jc w:val="center"/>
                    <w:rPr>
                      <w:rFonts w:eastAsiaTheme="minorEastAsia"/>
                      <w:b/>
                      <w:bCs/>
                    </w:rPr>
                  </w:pPr>
                </w:p>
              </w:tc>
              <w:tc>
                <w:tcPr>
                  <w:tcW w:w="840" w:type="dxa"/>
                  <w:vAlign w:val="center"/>
                </w:tcPr>
                <w:p>
                  <w:pPr>
                    <w:snapToGrid w:val="0"/>
                    <w:spacing w:line="240" w:lineRule="auto"/>
                    <w:ind w:firstLine="0" w:firstLineChars="0"/>
                    <w:jc w:val="center"/>
                    <w:rPr>
                      <w:rFonts w:eastAsiaTheme="minorEastAsia"/>
                      <w:b/>
                      <w:bCs/>
                    </w:rPr>
                  </w:pPr>
                  <w:r>
                    <w:rPr>
                      <w:rFonts w:eastAsiaTheme="minorEastAsia"/>
                      <w:b/>
                      <w:sz w:val="21"/>
                      <w:szCs w:val="21"/>
                    </w:rPr>
                    <w:t>东</w:t>
                  </w:r>
                </w:p>
              </w:tc>
              <w:tc>
                <w:tcPr>
                  <w:tcW w:w="915" w:type="dxa"/>
                  <w:vAlign w:val="center"/>
                </w:tcPr>
                <w:p>
                  <w:pPr>
                    <w:snapToGrid w:val="0"/>
                    <w:spacing w:line="240" w:lineRule="auto"/>
                    <w:ind w:firstLine="0" w:firstLineChars="0"/>
                    <w:jc w:val="center"/>
                    <w:rPr>
                      <w:rFonts w:eastAsiaTheme="minorEastAsia"/>
                      <w:b/>
                      <w:bCs/>
                    </w:rPr>
                  </w:pPr>
                  <w:r>
                    <w:rPr>
                      <w:rFonts w:eastAsiaTheme="minorEastAsia"/>
                      <w:b/>
                      <w:sz w:val="21"/>
                      <w:szCs w:val="21"/>
                    </w:rPr>
                    <w:t>南</w:t>
                  </w:r>
                </w:p>
              </w:tc>
              <w:tc>
                <w:tcPr>
                  <w:tcW w:w="879" w:type="dxa"/>
                  <w:vAlign w:val="center"/>
                </w:tcPr>
                <w:p>
                  <w:pPr>
                    <w:snapToGrid w:val="0"/>
                    <w:spacing w:line="240" w:lineRule="auto"/>
                    <w:ind w:firstLine="0" w:firstLineChars="0"/>
                    <w:jc w:val="center"/>
                    <w:rPr>
                      <w:rFonts w:eastAsiaTheme="minorEastAsia"/>
                      <w:b/>
                      <w:bCs/>
                    </w:rPr>
                  </w:pPr>
                  <w:r>
                    <w:rPr>
                      <w:rFonts w:eastAsiaTheme="minorEastAsia"/>
                      <w:b/>
                      <w:sz w:val="21"/>
                      <w:szCs w:val="21"/>
                    </w:rPr>
                    <w:t>西</w:t>
                  </w:r>
                </w:p>
              </w:tc>
              <w:tc>
                <w:tcPr>
                  <w:tcW w:w="725" w:type="dxa"/>
                  <w:vAlign w:val="center"/>
                </w:tcPr>
                <w:p>
                  <w:pPr>
                    <w:snapToGrid w:val="0"/>
                    <w:spacing w:line="240" w:lineRule="auto"/>
                    <w:ind w:firstLine="0" w:firstLineChars="0"/>
                    <w:jc w:val="center"/>
                    <w:rPr>
                      <w:rFonts w:eastAsiaTheme="minorEastAsia"/>
                      <w:b/>
                      <w:bCs/>
                    </w:rPr>
                  </w:pPr>
                  <w:r>
                    <w:rPr>
                      <w:rFonts w:eastAsiaTheme="minorEastAsia"/>
                      <w:b/>
                      <w:sz w:val="21"/>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57" w:type="dxa"/>
                  <w:vAlign w:val="center"/>
                </w:tcPr>
                <w:p>
                  <w:pPr>
                    <w:pStyle w:val="3"/>
                    <w:spacing w:line="240" w:lineRule="auto"/>
                    <w:ind w:firstLine="0" w:firstLineChars="0"/>
                    <w:jc w:val="center"/>
                    <w:rPr>
                      <w:rFonts w:eastAsiaTheme="minorEastAsia"/>
                      <w:b/>
                      <w:bCs/>
                    </w:rPr>
                  </w:pPr>
                  <w:r>
                    <w:rPr>
                      <w:rFonts w:eastAsiaTheme="minorEastAsia"/>
                      <w:sz w:val="21"/>
                      <w:szCs w:val="21"/>
                    </w:rPr>
                    <w:t>1</w:t>
                  </w:r>
                </w:p>
              </w:tc>
              <w:tc>
                <w:tcPr>
                  <w:tcW w:w="1935" w:type="dxa"/>
                  <w:vAlign w:val="center"/>
                </w:tcPr>
                <w:p>
                  <w:pPr>
                    <w:pStyle w:val="3"/>
                    <w:spacing w:line="240" w:lineRule="auto"/>
                    <w:ind w:firstLine="0" w:firstLineChars="0"/>
                    <w:jc w:val="center"/>
                    <w:rPr>
                      <w:rFonts w:eastAsiaTheme="minorEastAsia"/>
                      <w:b/>
                      <w:bCs/>
                    </w:rPr>
                  </w:pPr>
                  <w:r>
                    <w:rPr>
                      <w:rFonts w:hint="eastAsia" w:eastAsiaTheme="minorEastAsia"/>
                      <w:sz w:val="21"/>
                      <w:szCs w:val="21"/>
                    </w:rPr>
                    <w:t>破碎</w:t>
                  </w:r>
                  <w:r>
                    <w:rPr>
                      <w:rFonts w:eastAsiaTheme="minorEastAsia"/>
                      <w:sz w:val="21"/>
                      <w:szCs w:val="21"/>
                    </w:rPr>
                    <w:t>机</w:t>
                  </w:r>
                </w:p>
              </w:tc>
              <w:tc>
                <w:tcPr>
                  <w:tcW w:w="870" w:type="dxa"/>
                  <w:vAlign w:val="center"/>
                </w:tcPr>
                <w:p>
                  <w:pPr>
                    <w:pStyle w:val="3"/>
                    <w:spacing w:line="240" w:lineRule="auto"/>
                    <w:ind w:firstLine="0" w:firstLineChars="0"/>
                    <w:jc w:val="center"/>
                    <w:rPr>
                      <w:rFonts w:eastAsiaTheme="minorEastAsia"/>
                      <w:b/>
                      <w:bCs/>
                    </w:rPr>
                  </w:pPr>
                  <w:r>
                    <w:rPr>
                      <w:rFonts w:hint="eastAsia" w:eastAsiaTheme="minorEastAsia"/>
                      <w:sz w:val="21"/>
                      <w:szCs w:val="21"/>
                    </w:rPr>
                    <w:t>1</w:t>
                  </w:r>
                </w:p>
              </w:tc>
              <w:tc>
                <w:tcPr>
                  <w:tcW w:w="1485" w:type="dxa"/>
                  <w:vAlign w:val="center"/>
                </w:tcPr>
                <w:p>
                  <w:pPr>
                    <w:pStyle w:val="3"/>
                    <w:spacing w:line="240" w:lineRule="auto"/>
                    <w:ind w:firstLine="0" w:firstLineChars="0"/>
                    <w:jc w:val="center"/>
                    <w:rPr>
                      <w:rFonts w:eastAsiaTheme="minorEastAsia"/>
                      <w:b/>
                      <w:bCs/>
                    </w:rPr>
                  </w:pPr>
                  <w:r>
                    <w:rPr>
                      <w:rFonts w:hint="eastAsia" w:eastAsiaTheme="minorEastAsia"/>
                      <w:sz w:val="21"/>
                      <w:szCs w:val="21"/>
                    </w:rPr>
                    <w:t>90</w:t>
                  </w:r>
                </w:p>
              </w:tc>
              <w:tc>
                <w:tcPr>
                  <w:tcW w:w="840" w:type="dxa"/>
                  <w:vAlign w:val="center"/>
                </w:tcPr>
                <w:p>
                  <w:pPr>
                    <w:pStyle w:val="3"/>
                    <w:spacing w:line="240" w:lineRule="auto"/>
                    <w:ind w:firstLine="0" w:firstLineChars="0"/>
                    <w:jc w:val="center"/>
                    <w:rPr>
                      <w:rFonts w:eastAsiaTheme="minorEastAsia"/>
                    </w:rPr>
                  </w:pPr>
                  <w:r>
                    <w:rPr>
                      <w:rFonts w:hint="eastAsia" w:eastAsiaTheme="minorEastAsia"/>
                    </w:rPr>
                    <w:t>15</w:t>
                  </w:r>
                </w:p>
              </w:tc>
              <w:tc>
                <w:tcPr>
                  <w:tcW w:w="915" w:type="dxa"/>
                  <w:vAlign w:val="center"/>
                </w:tcPr>
                <w:p>
                  <w:pPr>
                    <w:pStyle w:val="3"/>
                    <w:spacing w:line="240" w:lineRule="auto"/>
                    <w:ind w:firstLine="0" w:firstLineChars="0"/>
                    <w:jc w:val="center"/>
                    <w:rPr>
                      <w:rFonts w:eastAsiaTheme="minorEastAsia"/>
                    </w:rPr>
                  </w:pPr>
                  <w:r>
                    <w:rPr>
                      <w:rFonts w:hint="eastAsia" w:eastAsiaTheme="minorEastAsia"/>
                    </w:rPr>
                    <w:t>16</w:t>
                  </w:r>
                </w:p>
              </w:tc>
              <w:tc>
                <w:tcPr>
                  <w:tcW w:w="879" w:type="dxa"/>
                  <w:vAlign w:val="center"/>
                </w:tcPr>
                <w:p>
                  <w:pPr>
                    <w:pStyle w:val="3"/>
                    <w:spacing w:line="240" w:lineRule="auto"/>
                    <w:ind w:firstLine="0" w:firstLineChars="0"/>
                    <w:jc w:val="center"/>
                    <w:rPr>
                      <w:rFonts w:eastAsiaTheme="minorEastAsia"/>
                    </w:rPr>
                  </w:pPr>
                  <w:r>
                    <w:rPr>
                      <w:rFonts w:hint="eastAsia" w:eastAsiaTheme="minorEastAsia"/>
                    </w:rPr>
                    <w:t>140</w:t>
                  </w:r>
                </w:p>
              </w:tc>
              <w:tc>
                <w:tcPr>
                  <w:tcW w:w="725" w:type="dxa"/>
                  <w:vAlign w:val="center"/>
                </w:tcPr>
                <w:p>
                  <w:pPr>
                    <w:pStyle w:val="3"/>
                    <w:spacing w:line="240" w:lineRule="auto"/>
                    <w:ind w:firstLine="0" w:firstLineChars="0"/>
                    <w:jc w:val="center"/>
                    <w:rPr>
                      <w:rFonts w:eastAsiaTheme="minorEastAsia"/>
                    </w:rPr>
                  </w:pPr>
                  <w:r>
                    <w:rPr>
                      <w:rFonts w:hint="eastAsia" w:eastAsiaTheme="minorEastAsi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57" w:type="dxa"/>
                  <w:vAlign w:val="center"/>
                </w:tcPr>
                <w:p>
                  <w:pPr>
                    <w:pStyle w:val="3"/>
                    <w:spacing w:line="240" w:lineRule="auto"/>
                    <w:ind w:firstLine="0" w:firstLineChars="0"/>
                    <w:jc w:val="center"/>
                    <w:rPr>
                      <w:rFonts w:eastAsiaTheme="minorEastAsia"/>
                      <w:b/>
                      <w:bCs/>
                    </w:rPr>
                  </w:pPr>
                  <w:r>
                    <w:rPr>
                      <w:rFonts w:eastAsiaTheme="minorEastAsia"/>
                      <w:sz w:val="21"/>
                      <w:szCs w:val="21"/>
                    </w:rPr>
                    <w:t>2</w:t>
                  </w:r>
                </w:p>
              </w:tc>
              <w:tc>
                <w:tcPr>
                  <w:tcW w:w="1935" w:type="dxa"/>
                  <w:vAlign w:val="center"/>
                </w:tcPr>
                <w:p>
                  <w:pPr>
                    <w:pStyle w:val="3"/>
                    <w:spacing w:line="240" w:lineRule="auto"/>
                    <w:ind w:firstLine="0" w:firstLineChars="0"/>
                    <w:jc w:val="center"/>
                    <w:rPr>
                      <w:rFonts w:eastAsiaTheme="minorEastAsia"/>
                      <w:b/>
                      <w:bCs/>
                    </w:rPr>
                  </w:pPr>
                  <w:r>
                    <w:rPr>
                      <w:rFonts w:hint="eastAsia" w:eastAsiaTheme="minorEastAsia"/>
                      <w:sz w:val="21"/>
                      <w:szCs w:val="21"/>
                    </w:rPr>
                    <w:t>打砂</w:t>
                  </w:r>
                  <w:r>
                    <w:rPr>
                      <w:rFonts w:eastAsiaTheme="minorEastAsia"/>
                      <w:sz w:val="21"/>
                      <w:szCs w:val="21"/>
                    </w:rPr>
                    <w:t>机</w:t>
                  </w:r>
                </w:p>
              </w:tc>
              <w:tc>
                <w:tcPr>
                  <w:tcW w:w="870" w:type="dxa"/>
                  <w:vAlign w:val="center"/>
                </w:tcPr>
                <w:p>
                  <w:pPr>
                    <w:pStyle w:val="3"/>
                    <w:spacing w:line="240" w:lineRule="auto"/>
                    <w:ind w:firstLine="0" w:firstLineChars="0"/>
                    <w:jc w:val="center"/>
                    <w:rPr>
                      <w:rFonts w:eastAsiaTheme="minorEastAsia"/>
                      <w:b/>
                      <w:bCs/>
                    </w:rPr>
                  </w:pPr>
                  <w:r>
                    <w:rPr>
                      <w:rFonts w:hint="eastAsia" w:eastAsiaTheme="minorEastAsia"/>
                      <w:sz w:val="21"/>
                      <w:szCs w:val="21"/>
                    </w:rPr>
                    <w:t>1</w:t>
                  </w:r>
                </w:p>
              </w:tc>
              <w:tc>
                <w:tcPr>
                  <w:tcW w:w="1485" w:type="dxa"/>
                  <w:vAlign w:val="center"/>
                </w:tcPr>
                <w:p>
                  <w:pPr>
                    <w:pStyle w:val="3"/>
                    <w:spacing w:line="240" w:lineRule="auto"/>
                    <w:ind w:firstLine="0" w:firstLineChars="0"/>
                    <w:jc w:val="center"/>
                    <w:rPr>
                      <w:rFonts w:eastAsiaTheme="minorEastAsia"/>
                      <w:b/>
                      <w:bCs/>
                    </w:rPr>
                  </w:pPr>
                  <w:r>
                    <w:rPr>
                      <w:rFonts w:hint="eastAsia" w:eastAsiaTheme="minorEastAsia"/>
                      <w:sz w:val="21"/>
                      <w:szCs w:val="21"/>
                    </w:rPr>
                    <w:t>90</w:t>
                  </w:r>
                </w:p>
              </w:tc>
              <w:tc>
                <w:tcPr>
                  <w:tcW w:w="840" w:type="dxa"/>
                  <w:vAlign w:val="center"/>
                </w:tcPr>
                <w:p>
                  <w:pPr>
                    <w:pStyle w:val="3"/>
                    <w:spacing w:line="240" w:lineRule="auto"/>
                    <w:ind w:firstLine="0" w:firstLineChars="0"/>
                    <w:jc w:val="center"/>
                    <w:rPr>
                      <w:rFonts w:eastAsiaTheme="minorEastAsia"/>
                    </w:rPr>
                  </w:pPr>
                  <w:r>
                    <w:rPr>
                      <w:rFonts w:hint="eastAsia" w:eastAsiaTheme="minorEastAsia"/>
                    </w:rPr>
                    <w:t>16</w:t>
                  </w:r>
                </w:p>
              </w:tc>
              <w:tc>
                <w:tcPr>
                  <w:tcW w:w="915" w:type="dxa"/>
                  <w:vAlign w:val="center"/>
                </w:tcPr>
                <w:p>
                  <w:pPr>
                    <w:pStyle w:val="3"/>
                    <w:spacing w:line="240" w:lineRule="auto"/>
                    <w:ind w:firstLine="0" w:firstLineChars="0"/>
                    <w:jc w:val="center"/>
                    <w:rPr>
                      <w:rFonts w:eastAsiaTheme="minorEastAsia"/>
                    </w:rPr>
                  </w:pPr>
                  <w:r>
                    <w:rPr>
                      <w:rFonts w:hint="eastAsia" w:eastAsiaTheme="minorEastAsia"/>
                    </w:rPr>
                    <w:t>14</w:t>
                  </w:r>
                </w:p>
              </w:tc>
              <w:tc>
                <w:tcPr>
                  <w:tcW w:w="879" w:type="dxa"/>
                  <w:vAlign w:val="center"/>
                </w:tcPr>
                <w:p>
                  <w:pPr>
                    <w:pStyle w:val="3"/>
                    <w:spacing w:line="240" w:lineRule="auto"/>
                    <w:ind w:firstLine="0" w:firstLineChars="0"/>
                    <w:jc w:val="center"/>
                    <w:rPr>
                      <w:rFonts w:eastAsiaTheme="minorEastAsia"/>
                    </w:rPr>
                  </w:pPr>
                  <w:r>
                    <w:rPr>
                      <w:rFonts w:hint="eastAsia" w:eastAsiaTheme="minorEastAsia"/>
                    </w:rPr>
                    <w:t>138</w:t>
                  </w:r>
                </w:p>
              </w:tc>
              <w:tc>
                <w:tcPr>
                  <w:tcW w:w="725" w:type="dxa"/>
                  <w:vAlign w:val="center"/>
                </w:tcPr>
                <w:p>
                  <w:pPr>
                    <w:pStyle w:val="3"/>
                    <w:spacing w:line="240" w:lineRule="auto"/>
                    <w:ind w:firstLine="0" w:firstLineChars="0"/>
                    <w:jc w:val="center"/>
                    <w:rPr>
                      <w:rFonts w:eastAsiaTheme="minorEastAsia"/>
                    </w:rPr>
                  </w:pPr>
                  <w:r>
                    <w:rPr>
                      <w:rFonts w:hint="eastAsia" w:eastAsiaTheme="min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57" w:type="dxa"/>
                  <w:vAlign w:val="center"/>
                </w:tcPr>
                <w:p>
                  <w:pPr>
                    <w:pStyle w:val="3"/>
                    <w:spacing w:line="240" w:lineRule="auto"/>
                    <w:ind w:firstLine="0" w:firstLineChars="0"/>
                    <w:jc w:val="center"/>
                    <w:rPr>
                      <w:rFonts w:eastAsiaTheme="minorEastAsia"/>
                      <w:b/>
                      <w:bCs/>
                    </w:rPr>
                  </w:pPr>
                  <w:r>
                    <w:rPr>
                      <w:sz w:val="21"/>
                      <w:szCs w:val="21"/>
                    </w:rPr>
                    <w:t>3</w:t>
                  </w:r>
                </w:p>
              </w:tc>
              <w:tc>
                <w:tcPr>
                  <w:tcW w:w="1935" w:type="dxa"/>
                  <w:vAlign w:val="center"/>
                </w:tcPr>
                <w:p>
                  <w:pPr>
                    <w:pStyle w:val="3"/>
                    <w:spacing w:line="240" w:lineRule="auto"/>
                    <w:ind w:firstLine="0" w:firstLineChars="0"/>
                    <w:jc w:val="center"/>
                    <w:rPr>
                      <w:rFonts w:eastAsiaTheme="minorEastAsia"/>
                      <w:b/>
                      <w:bCs/>
                    </w:rPr>
                  </w:pPr>
                  <w:r>
                    <w:rPr>
                      <w:rFonts w:hint="eastAsia"/>
                      <w:sz w:val="21"/>
                      <w:szCs w:val="21"/>
                    </w:rPr>
                    <w:t>皮带</w:t>
                  </w:r>
                  <w:r>
                    <w:rPr>
                      <w:sz w:val="21"/>
                      <w:szCs w:val="21"/>
                    </w:rPr>
                    <w:t>输送机</w:t>
                  </w:r>
                </w:p>
              </w:tc>
              <w:tc>
                <w:tcPr>
                  <w:tcW w:w="870" w:type="dxa"/>
                  <w:vAlign w:val="center"/>
                </w:tcPr>
                <w:p>
                  <w:pPr>
                    <w:pStyle w:val="3"/>
                    <w:spacing w:line="240" w:lineRule="auto"/>
                    <w:ind w:firstLine="0" w:firstLineChars="0"/>
                    <w:jc w:val="center"/>
                    <w:rPr>
                      <w:rFonts w:eastAsiaTheme="minorEastAsia"/>
                      <w:b/>
                      <w:bCs/>
                    </w:rPr>
                  </w:pPr>
                  <w:r>
                    <w:rPr>
                      <w:rFonts w:hint="eastAsia" w:eastAsiaTheme="minorEastAsia"/>
                      <w:sz w:val="21"/>
                      <w:szCs w:val="21"/>
                    </w:rPr>
                    <w:t>1</w:t>
                  </w:r>
                </w:p>
              </w:tc>
              <w:tc>
                <w:tcPr>
                  <w:tcW w:w="1485" w:type="dxa"/>
                  <w:vAlign w:val="center"/>
                </w:tcPr>
                <w:p>
                  <w:pPr>
                    <w:pStyle w:val="3"/>
                    <w:spacing w:line="240" w:lineRule="auto"/>
                    <w:ind w:firstLine="0" w:firstLineChars="0"/>
                    <w:jc w:val="center"/>
                    <w:rPr>
                      <w:rFonts w:eastAsiaTheme="minorEastAsia"/>
                      <w:b/>
                      <w:bCs/>
                    </w:rPr>
                  </w:pPr>
                  <w:r>
                    <w:rPr>
                      <w:rFonts w:hint="eastAsia" w:eastAsiaTheme="minorEastAsia"/>
                      <w:sz w:val="21"/>
                      <w:szCs w:val="21"/>
                    </w:rPr>
                    <w:t>85</w:t>
                  </w:r>
                </w:p>
              </w:tc>
              <w:tc>
                <w:tcPr>
                  <w:tcW w:w="840" w:type="dxa"/>
                  <w:vAlign w:val="center"/>
                </w:tcPr>
                <w:p>
                  <w:pPr>
                    <w:pStyle w:val="3"/>
                    <w:spacing w:line="240" w:lineRule="auto"/>
                    <w:ind w:firstLine="0" w:firstLineChars="0"/>
                    <w:jc w:val="center"/>
                    <w:rPr>
                      <w:rFonts w:eastAsiaTheme="minorEastAsia"/>
                    </w:rPr>
                  </w:pPr>
                  <w:r>
                    <w:rPr>
                      <w:rFonts w:hint="eastAsia" w:eastAsiaTheme="minorEastAsia"/>
                    </w:rPr>
                    <w:t>17</w:t>
                  </w:r>
                </w:p>
              </w:tc>
              <w:tc>
                <w:tcPr>
                  <w:tcW w:w="915" w:type="dxa"/>
                  <w:vAlign w:val="center"/>
                </w:tcPr>
                <w:p>
                  <w:pPr>
                    <w:pStyle w:val="3"/>
                    <w:spacing w:line="240" w:lineRule="auto"/>
                    <w:ind w:firstLine="0" w:firstLineChars="0"/>
                    <w:jc w:val="center"/>
                    <w:rPr>
                      <w:rFonts w:eastAsiaTheme="minorEastAsia"/>
                    </w:rPr>
                  </w:pPr>
                  <w:r>
                    <w:rPr>
                      <w:rFonts w:hint="eastAsia" w:eastAsiaTheme="minorEastAsia"/>
                    </w:rPr>
                    <w:t>15</w:t>
                  </w:r>
                </w:p>
              </w:tc>
              <w:tc>
                <w:tcPr>
                  <w:tcW w:w="879" w:type="dxa"/>
                  <w:vAlign w:val="center"/>
                </w:tcPr>
                <w:p>
                  <w:pPr>
                    <w:pStyle w:val="3"/>
                    <w:spacing w:line="240" w:lineRule="auto"/>
                    <w:ind w:firstLine="0" w:firstLineChars="0"/>
                    <w:jc w:val="center"/>
                    <w:rPr>
                      <w:rFonts w:eastAsiaTheme="minorEastAsia"/>
                    </w:rPr>
                  </w:pPr>
                  <w:r>
                    <w:rPr>
                      <w:rFonts w:hint="eastAsia" w:eastAsiaTheme="minorEastAsia"/>
                    </w:rPr>
                    <w:t>141</w:t>
                  </w:r>
                </w:p>
              </w:tc>
              <w:tc>
                <w:tcPr>
                  <w:tcW w:w="725" w:type="dxa"/>
                  <w:vAlign w:val="center"/>
                </w:tcPr>
                <w:p>
                  <w:pPr>
                    <w:pStyle w:val="3"/>
                    <w:spacing w:line="240" w:lineRule="auto"/>
                    <w:ind w:firstLine="0" w:firstLineChars="0"/>
                    <w:jc w:val="center"/>
                    <w:rPr>
                      <w:rFonts w:eastAsiaTheme="minorEastAsia"/>
                    </w:rPr>
                  </w:pPr>
                  <w:r>
                    <w:rPr>
                      <w:rFonts w:hint="eastAsia" w:eastAsiaTheme="minorEastAsia"/>
                    </w:rPr>
                    <w:t>35</w:t>
                  </w:r>
                </w:p>
              </w:tc>
            </w:tr>
          </w:tbl>
          <w:p>
            <w:pPr>
              <w:tabs>
                <w:tab w:val="left" w:pos="611"/>
              </w:tabs>
              <w:snapToGrid w:val="0"/>
              <w:spacing w:before="156" w:beforeLines="50"/>
              <w:ind w:firstLine="480"/>
              <w:rPr>
                <w:color w:val="000000" w:themeColor="text1"/>
              </w:rPr>
            </w:pPr>
            <w:r>
              <w:rPr>
                <w:color w:val="000000" w:themeColor="text1"/>
              </w:rPr>
              <w:t>本项目</w:t>
            </w:r>
            <w:r>
              <w:rPr>
                <w:rFonts w:hint="eastAsia"/>
                <w:color w:val="000000" w:themeColor="text1"/>
              </w:rPr>
              <w:t>区内各产噪设备噪声至</w:t>
            </w:r>
            <w:r>
              <w:rPr>
                <w:color w:val="000000" w:themeColor="text1"/>
              </w:rPr>
              <w:t>厂界噪声</w:t>
            </w:r>
            <w:r>
              <w:rPr>
                <w:rFonts w:hint="eastAsia"/>
                <w:color w:val="000000" w:themeColor="text1"/>
              </w:rPr>
              <w:t>排放贡献值预测</w:t>
            </w:r>
            <w:r>
              <w:rPr>
                <w:color w:val="000000" w:themeColor="text1"/>
              </w:rPr>
              <w:t>结果见表</w:t>
            </w:r>
            <w:r>
              <w:rPr>
                <w:rFonts w:hint="eastAsia"/>
                <w:color w:val="000000" w:themeColor="text1"/>
              </w:rPr>
              <w:t>7</w:t>
            </w:r>
            <w:r>
              <w:rPr>
                <w:color w:val="000000" w:themeColor="text1"/>
              </w:rPr>
              <w:t>-</w:t>
            </w:r>
            <w:r>
              <w:rPr>
                <w:rFonts w:hint="eastAsia"/>
                <w:color w:val="000000" w:themeColor="text1"/>
              </w:rPr>
              <w:t>1</w:t>
            </w:r>
            <w:r>
              <w:rPr>
                <w:rFonts w:hint="eastAsia"/>
                <w:color w:val="000000" w:themeColor="text1"/>
                <w:lang w:val="en-US" w:eastAsia="zh-CN"/>
              </w:rPr>
              <w:t>2</w:t>
            </w:r>
            <w:r>
              <w:rPr>
                <w:color w:val="000000" w:themeColor="text1"/>
              </w:rPr>
              <w:t>。</w:t>
            </w:r>
          </w:p>
          <w:p>
            <w:pPr>
              <w:snapToGrid w:val="0"/>
              <w:ind w:firstLine="482"/>
              <w:jc w:val="center"/>
              <w:rPr>
                <w:b/>
                <w:color w:val="000000" w:themeColor="text1"/>
                <w:szCs w:val="21"/>
              </w:rPr>
            </w:pPr>
            <w:r>
              <w:rPr>
                <w:rFonts w:hint="eastAsia"/>
                <w:b/>
                <w:color w:val="000000" w:themeColor="text1"/>
                <w:szCs w:val="21"/>
              </w:rPr>
              <w:t>表7-1</w:t>
            </w:r>
            <w:r>
              <w:rPr>
                <w:rFonts w:hint="eastAsia"/>
                <w:b/>
                <w:color w:val="000000" w:themeColor="text1"/>
                <w:szCs w:val="21"/>
                <w:lang w:val="en-US" w:eastAsia="zh-CN"/>
              </w:rPr>
              <w:t>2</w:t>
            </w:r>
            <w:r>
              <w:rPr>
                <w:rFonts w:hint="eastAsia"/>
                <w:b/>
                <w:color w:val="000000" w:themeColor="text1"/>
                <w:szCs w:val="21"/>
              </w:rPr>
              <w:t xml:space="preserve">   项目厂界噪声贡献值预测结果一览表</w:t>
            </w:r>
          </w:p>
          <w:tbl>
            <w:tblPr>
              <w:tblStyle w:val="23"/>
              <w:tblW w:w="8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134"/>
              <w:gridCol w:w="1134"/>
              <w:gridCol w:w="993"/>
              <w:gridCol w:w="992"/>
              <w:gridCol w:w="992"/>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Pr>
                <w:p>
                  <w:pPr>
                    <w:snapToGrid w:val="0"/>
                    <w:spacing w:line="240" w:lineRule="auto"/>
                    <w:ind w:firstLine="0" w:firstLineChars="0"/>
                    <w:jc w:val="center"/>
                    <w:rPr>
                      <w:b/>
                      <w:color w:val="000000" w:themeColor="text1"/>
                      <w:sz w:val="21"/>
                      <w:szCs w:val="21"/>
                    </w:rPr>
                  </w:pPr>
                  <w:r>
                    <w:rPr>
                      <w:b/>
                      <w:color w:val="000000" w:themeColor="text1"/>
                      <w:sz w:val="21"/>
                      <w:szCs w:val="21"/>
                    </w:rPr>
                    <w:t>噪声源</w:t>
                  </w:r>
                </w:p>
              </w:tc>
              <w:tc>
                <w:tcPr>
                  <w:tcW w:w="1134" w:type="dxa"/>
                  <w:vMerge w:val="restart"/>
                </w:tcPr>
                <w:p>
                  <w:pPr>
                    <w:spacing w:line="240" w:lineRule="auto"/>
                    <w:ind w:firstLine="0" w:firstLineChars="0"/>
                    <w:jc w:val="center"/>
                    <w:rPr>
                      <w:b/>
                      <w:color w:val="000000" w:themeColor="text1"/>
                      <w:sz w:val="21"/>
                      <w:szCs w:val="21"/>
                    </w:rPr>
                  </w:pPr>
                  <w:r>
                    <w:rPr>
                      <w:b/>
                      <w:color w:val="000000" w:themeColor="text1"/>
                      <w:sz w:val="21"/>
                      <w:szCs w:val="21"/>
                    </w:rPr>
                    <w:t>源强</w:t>
                  </w:r>
                </w:p>
                <w:p>
                  <w:pPr>
                    <w:spacing w:line="240" w:lineRule="auto"/>
                    <w:ind w:firstLine="0" w:firstLineChars="0"/>
                    <w:jc w:val="center"/>
                    <w:rPr>
                      <w:b/>
                      <w:color w:val="000000" w:themeColor="text1"/>
                      <w:sz w:val="21"/>
                      <w:szCs w:val="21"/>
                    </w:rPr>
                  </w:pPr>
                  <w:r>
                    <w:rPr>
                      <w:b/>
                      <w:color w:val="000000" w:themeColor="text1"/>
                      <w:sz w:val="21"/>
                      <w:szCs w:val="21"/>
                    </w:rPr>
                    <w:t>dB（A）</w:t>
                  </w:r>
                </w:p>
              </w:tc>
              <w:tc>
                <w:tcPr>
                  <w:tcW w:w="1134" w:type="dxa"/>
                  <w:vMerge w:val="restart"/>
                </w:tcPr>
                <w:p>
                  <w:pPr>
                    <w:spacing w:line="240" w:lineRule="auto"/>
                    <w:ind w:firstLine="0" w:firstLineChars="0"/>
                    <w:jc w:val="center"/>
                    <w:rPr>
                      <w:b/>
                      <w:color w:val="000000" w:themeColor="text1"/>
                      <w:sz w:val="21"/>
                      <w:szCs w:val="21"/>
                    </w:rPr>
                  </w:pPr>
                  <w:r>
                    <w:rPr>
                      <w:b/>
                      <w:color w:val="000000" w:themeColor="text1"/>
                      <w:sz w:val="21"/>
                      <w:szCs w:val="21"/>
                    </w:rPr>
                    <w:t>减噪后源强dB（A）</w:t>
                  </w:r>
                </w:p>
              </w:tc>
              <w:tc>
                <w:tcPr>
                  <w:tcW w:w="4088" w:type="dxa"/>
                  <w:gridSpan w:val="4"/>
                </w:tcPr>
                <w:p>
                  <w:pPr>
                    <w:spacing w:line="240" w:lineRule="auto"/>
                    <w:ind w:firstLine="0" w:firstLineChars="0"/>
                    <w:jc w:val="center"/>
                    <w:rPr>
                      <w:b/>
                      <w:color w:val="000000" w:themeColor="text1"/>
                      <w:sz w:val="21"/>
                      <w:szCs w:val="21"/>
                    </w:rPr>
                  </w:pPr>
                  <w:r>
                    <w:rPr>
                      <w:b/>
                      <w:color w:val="000000" w:themeColor="text1"/>
                      <w:sz w:val="21"/>
                      <w:szCs w:val="21"/>
                    </w:rPr>
                    <w:t>预测点噪声贡献值dB（A）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Pr>
                <w:p>
                  <w:pPr>
                    <w:snapToGrid w:val="0"/>
                    <w:spacing w:line="240" w:lineRule="auto"/>
                    <w:ind w:firstLine="0" w:firstLineChars="0"/>
                    <w:jc w:val="center"/>
                    <w:rPr>
                      <w:b/>
                      <w:color w:val="000000" w:themeColor="text1"/>
                      <w:sz w:val="21"/>
                      <w:szCs w:val="21"/>
                    </w:rPr>
                  </w:pPr>
                </w:p>
              </w:tc>
              <w:tc>
                <w:tcPr>
                  <w:tcW w:w="1134" w:type="dxa"/>
                  <w:vMerge w:val="continue"/>
                </w:tcPr>
                <w:p>
                  <w:pPr>
                    <w:spacing w:line="240" w:lineRule="auto"/>
                    <w:ind w:firstLine="0" w:firstLineChars="0"/>
                    <w:jc w:val="center"/>
                    <w:rPr>
                      <w:b/>
                      <w:color w:val="000000" w:themeColor="text1"/>
                      <w:sz w:val="21"/>
                      <w:szCs w:val="21"/>
                    </w:rPr>
                  </w:pPr>
                </w:p>
              </w:tc>
              <w:tc>
                <w:tcPr>
                  <w:tcW w:w="1134" w:type="dxa"/>
                  <w:vMerge w:val="continue"/>
                </w:tcPr>
                <w:p>
                  <w:pPr>
                    <w:spacing w:line="240" w:lineRule="auto"/>
                    <w:ind w:firstLine="0" w:firstLineChars="0"/>
                    <w:jc w:val="center"/>
                    <w:rPr>
                      <w:b/>
                      <w:color w:val="000000" w:themeColor="text1"/>
                      <w:sz w:val="21"/>
                      <w:szCs w:val="21"/>
                    </w:rPr>
                  </w:pPr>
                </w:p>
              </w:tc>
              <w:tc>
                <w:tcPr>
                  <w:tcW w:w="993" w:type="dxa"/>
                </w:tcPr>
                <w:p>
                  <w:pPr>
                    <w:spacing w:line="240" w:lineRule="auto"/>
                    <w:ind w:firstLine="0" w:firstLineChars="0"/>
                    <w:jc w:val="center"/>
                    <w:rPr>
                      <w:b/>
                      <w:color w:val="000000" w:themeColor="text1"/>
                      <w:sz w:val="21"/>
                      <w:szCs w:val="21"/>
                    </w:rPr>
                  </w:pPr>
                  <w:r>
                    <w:rPr>
                      <w:b/>
                      <w:color w:val="000000" w:themeColor="text1"/>
                      <w:sz w:val="21"/>
                      <w:szCs w:val="21"/>
                    </w:rPr>
                    <w:t>东厂界</w:t>
                  </w:r>
                </w:p>
              </w:tc>
              <w:tc>
                <w:tcPr>
                  <w:tcW w:w="992" w:type="dxa"/>
                </w:tcPr>
                <w:p>
                  <w:pPr>
                    <w:spacing w:line="240" w:lineRule="auto"/>
                    <w:ind w:firstLine="0" w:firstLineChars="0"/>
                    <w:jc w:val="center"/>
                    <w:rPr>
                      <w:b/>
                      <w:color w:val="000000" w:themeColor="text1"/>
                      <w:sz w:val="21"/>
                      <w:szCs w:val="21"/>
                    </w:rPr>
                  </w:pPr>
                  <w:r>
                    <w:rPr>
                      <w:b/>
                      <w:color w:val="000000" w:themeColor="text1"/>
                      <w:sz w:val="21"/>
                      <w:szCs w:val="21"/>
                    </w:rPr>
                    <w:t>南厂界</w:t>
                  </w:r>
                </w:p>
              </w:tc>
              <w:tc>
                <w:tcPr>
                  <w:tcW w:w="992" w:type="dxa"/>
                </w:tcPr>
                <w:p>
                  <w:pPr>
                    <w:spacing w:line="240" w:lineRule="auto"/>
                    <w:ind w:firstLine="0" w:firstLineChars="0"/>
                    <w:jc w:val="center"/>
                    <w:rPr>
                      <w:b/>
                      <w:color w:val="000000" w:themeColor="text1"/>
                      <w:sz w:val="21"/>
                      <w:szCs w:val="21"/>
                    </w:rPr>
                  </w:pPr>
                  <w:r>
                    <w:rPr>
                      <w:b/>
                      <w:color w:val="000000" w:themeColor="text1"/>
                      <w:sz w:val="21"/>
                      <w:szCs w:val="21"/>
                    </w:rPr>
                    <w:t>西厂界</w:t>
                  </w:r>
                </w:p>
              </w:tc>
              <w:tc>
                <w:tcPr>
                  <w:tcW w:w="1111" w:type="dxa"/>
                </w:tcPr>
                <w:p>
                  <w:pPr>
                    <w:spacing w:line="240" w:lineRule="auto"/>
                    <w:ind w:firstLine="0" w:firstLineChars="0"/>
                    <w:jc w:val="center"/>
                    <w:rPr>
                      <w:b/>
                      <w:color w:val="000000" w:themeColor="text1"/>
                      <w:sz w:val="21"/>
                      <w:szCs w:val="21"/>
                    </w:rPr>
                  </w:pPr>
                  <w:r>
                    <w:rPr>
                      <w:b/>
                      <w:color w:val="000000" w:themeColor="text1"/>
                      <w:sz w:val="21"/>
                      <w:szCs w:val="21"/>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3"/>
                    <w:spacing w:line="240" w:lineRule="auto"/>
                    <w:ind w:firstLine="0" w:firstLineChars="0"/>
                    <w:jc w:val="center"/>
                    <w:rPr>
                      <w:color w:val="000000" w:themeColor="text1"/>
                      <w:sz w:val="21"/>
                      <w:szCs w:val="21"/>
                    </w:rPr>
                  </w:pPr>
                  <w:r>
                    <w:rPr>
                      <w:rFonts w:eastAsiaTheme="minorEastAsia"/>
                      <w:sz w:val="21"/>
                      <w:szCs w:val="21"/>
                    </w:rPr>
                    <w:t>破碎机</w:t>
                  </w:r>
                </w:p>
              </w:tc>
              <w:tc>
                <w:tcPr>
                  <w:tcW w:w="1134" w:type="dxa"/>
                  <w:vAlign w:val="center"/>
                </w:tcPr>
                <w:p>
                  <w:pPr>
                    <w:spacing w:line="240" w:lineRule="auto"/>
                    <w:ind w:firstLine="0" w:firstLineChars="0"/>
                    <w:jc w:val="center"/>
                    <w:rPr>
                      <w:color w:val="000000" w:themeColor="text1"/>
                      <w:sz w:val="21"/>
                      <w:szCs w:val="21"/>
                    </w:rPr>
                  </w:pPr>
                  <w:r>
                    <w:rPr>
                      <w:color w:val="000000" w:themeColor="text1"/>
                      <w:sz w:val="21"/>
                      <w:szCs w:val="21"/>
                    </w:rPr>
                    <w:t>90</w:t>
                  </w:r>
                </w:p>
              </w:tc>
              <w:tc>
                <w:tcPr>
                  <w:tcW w:w="1134"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75</w:t>
                  </w:r>
                </w:p>
              </w:tc>
              <w:tc>
                <w:tcPr>
                  <w:tcW w:w="993" w:type="dxa"/>
                  <w:vAlign w:val="center"/>
                </w:tcPr>
                <w:p>
                  <w:pPr>
                    <w:widowControl/>
                    <w:ind w:firstLine="0" w:firstLineChars="0"/>
                    <w:jc w:val="center"/>
                    <w:textAlignment w:val="center"/>
                    <w:rPr>
                      <w:color w:val="000000" w:themeColor="text1"/>
                      <w:sz w:val="21"/>
                      <w:szCs w:val="21"/>
                    </w:rPr>
                  </w:pPr>
                  <w:r>
                    <w:rPr>
                      <w:color w:val="000000"/>
                      <w:kern w:val="0"/>
                      <w:sz w:val="21"/>
                      <w:szCs w:val="21"/>
                    </w:rPr>
                    <w:t>51.48</w:t>
                  </w:r>
                </w:p>
              </w:tc>
              <w:tc>
                <w:tcPr>
                  <w:tcW w:w="992" w:type="dxa"/>
                  <w:vAlign w:val="center"/>
                </w:tcPr>
                <w:p>
                  <w:pPr>
                    <w:widowControl/>
                    <w:ind w:firstLine="0" w:firstLineChars="0"/>
                    <w:jc w:val="center"/>
                    <w:textAlignment w:val="center"/>
                    <w:rPr>
                      <w:color w:val="000000" w:themeColor="text1"/>
                      <w:sz w:val="21"/>
                      <w:szCs w:val="21"/>
                    </w:rPr>
                  </w:pPr>
                  <w:r>
                    <w:rPr>
                      <w:color w:val="000000"/>
                      <w:kern w:val="0"/>
                      <w:sz w:val="21"/>
                      <w:szCs w:val="21"/>
                    </w:rPr>
                    <w:t>50.92</w:t>
                  </w:r>
                </w:p>
              </w:tc>
              <w:tc>
                <w:tcPr>
                  <w:tcW w:w="992" w:type="dxa"/>
                  <w:vAlign w:val="center"/>
                </w:tcPr>
                <w:p>
                  <w:pPr>
                    <w:widowControl/>
                    <w:ind w:firstLine="0" w:firstLineChars="0"/>
                    <w:jc w:val="center"/>
                    <w:textAlignment w:val="center"/>
                    <w:rPr>
                      <w:color w:val="000000" w:themeColor="text1"/>
                      <w:sz w:val="21"/>
                      <w:szCs w:val="21"/>
                    </w:rPr>
                  </w:pPr>
                  <w:r>
                    <w:rPr>
                      <w:color w:val="000000"/>
                      <w:kern w:val="0"/>
                      <w:sz w:val="21"/>
                      <w:szCs w:val="21"/>
                    </w:rPr>
                    <w:t>32.08</w:t>
                  </w:r>
                </w:p>
              </w:tc>
              <w:tc>
                <w:tcPr>
                  <w:tcW w:w="1111" w:type="dxa"/>
                  <w:vAlign w:val="center"/>
                </w:tcPr>
                <w:p>
                  <w:pPr>
                    <w:widowControl/>
                    <w:ind w:firstLine="0" w:firstLineChars="0"/>
                    <w:jc w:val="center"/>
                    <w:textAlignment w:val="center"/>
                    <w:rPr>
                      <w:color w:val="000000" w:themeColor="text1"/>
                      <w:sz w:val="21"/>
                      <w:szCs w:val="21"/>
                    </w:rPr>
                  </w:pPr>
                  <w:r>
                    <w:rPr>
                      <w:color w:val="000000"/>
                      <w:kern w:val="0"/>
                      <w:sz w:val="21"/>
                      <w:szCs w:val="21"/>
                    </w:rPr>
                    <w:t>44.63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01" w:type="dxa"/>
                  <w:vAlign w:val="center"/>
                </w:tcPr>
                <w:p>
                  <w:pPr>
                    <w:pStyle w:val="3"/>
                    <w:spacing w:line="240" w:lineRule="auto"/>
                    <w:ind w:firstLine="0" w:firstLineChars="0"/>
                    <w:jc w:val="center"/>
                    <w:rPr>
                      <w:color w:val="000000" w:themeColor="text1"/>
                      <w:sz w:val="21"/>
                      <w:szCs w:val="21"/>
                    </w:rPr>
                  </w:pPr>
                  <w:r>
                    <w:rPr>
                      <w:rFonts w:eastAsiaTheme="minorEastAsia"/>
                      <w:sz w:val="21"/>
                      <w:szCs w:val="21"/>
                    </w:rPr>
                    <w:t>打砂机</w:t>
                  </w:r>
                </w:p>
              </w:tc>
              <w:tc>
                <w:tcPr>
                  <w:tcW w:w="1134" w:type="dxa"/>
                  <w:vAlign w:val="center"/>
                </w:tcPr>
                <w:p>
                  <w:pPr>
                    <w:spacing w:line="240" w:lineRule="auto"/>
                    <w:ind w:firstLine="0" w:firstLineChars="0"/>
                    <w:jc w:val="center"/>
                    <w:rPr>
                      <w:color w:val="000000" w:themeColor="text1"/>
                      <w:sz w:val="21"/>
                      <w:szCs w:val="21"/>
                    </w:rPr>
                  </w:pPr>
                  <w:r>
                    <w:rPr>
                      <w:color w:val="000000" w:themeColor="text1"/>
                      <w:sz w:val="21"/>
                      <w:szCs w:val="21"/>
                    </w:rPr>
                    <w:t>90</w:t>
                  </w:r>
                </w:p>
              </w:tc>
              <w:tc>
                <w:tcPr>
                  <w:tcW w:w="1134"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75</w:t>
                  </w:r>
                </w:p>
              </w:tc>
              <w:tc>
                <w:tcPr>
                  <w:tcW w:w="993" w:type="dxa"/>
                  <w:vAlign w:val="center"/>
                </w:tcPr>
                <w:p>
                  <w:pPr>
                    <w:widowControl/>
                    <w:ind w:firstLine="0" w:firstLineChars="0"/>
                    <w:jc w:val="center"/>
                    <w:textAlignment w:val="center"/>
                    <w:rPr>
                      <w:color w:val="000000" w:themeColor="text1"/>
                      <w:sz w:val="21"/>
                      <w:szCs w:val="21"/>
                    </w:rPr>
                  </w:pPr>
                  <w:r>
                    <w:rPr>
                      <w:color w:val="000000"/>
                      <w:kern w:val="0"/>
                      <w:sz w:val="21"/>
                      <w:szCs w:val="21"/>
                    </w:rPr>
                    <w:t>50.92</w:t>
                  </w:r>
                </w:p>
              </w:tc>
              <w:tc>
                <w:tcPr>
                  <w:tcW w:w="992" w:type="dxa"/>
                  <w:vAlign w:val="center"/>
                </w:tcPr>
                <w:p>
                  <w:pPr>
                    <w:widowControl/>
                    <w:ind w:firstLine="0" w:firstLineChars="0"/>
                    <w:jc w:val="center"/>
                    <w:textAlignment w:val="center"/>
                    <w:rPr>
                      <w:color w:val="000000" w:themeColor="text1"/>
                      <w:sz w:val="21"/>
                      <w:szCs w:val="21"/>
                    </w:rPr>
                  </w:pPr>
                  <w:r>
                    <w:rPr>
                      <w:color w:val="000000"/>
                      <w:kern w:val="0"/>
                      <w:sz w:val="21"/>
                      <w:szCs w:val="21"/>
                    </w:rPr>
                    <w:t>52.08</w:t>
                  </w:r>
                </w:p>
              </w:tc>
              <w:tc>
                <w:tcPr>
                  <w:tcW w:w="992" w:type="dxa"/>
                  <w:vAlign w:val="center"/>
                </w:tcPr>
                <w:p>
                  <w:pPr>
                    <w:widowControl/>
                    <w:ind w:firstLine="0" w:firstLineChars="0"/>
                    <w:jc w:val="center"/>
                    <w:textAlignment w:val="center"/>
                    <w:rPr>
                      <w:color w:val="000000" w:themeColor="text1"/>
                      <w:sz w:val="21"/>
                      <w:szCs w:val="21"/>
                    </w:rPr>
                  </w:pPr>
                  <w:r>
                    <w:rPr>
                      <w:color w:val="000000"/>
                      <w:kern w:val="0"/>
                      <w:sz w:val="21"/>
                      <w:szCs w:val="21"/>
                    </w:rPr>
                    <w:t>32.20</w:t>
                  </w:r>
                </w:p>
              </w:tc>
              <w:tc>
                <w:tcPr>
                  <w:tcW w:w="1111" w:type="dxa"/>
                  <w:vAlign w:val="center"/>
                </w:tcPr>
                <w:p>
                  <w:pPr>
                    <w:widowControl/>
                    <w:ind w:firstLine="0" w:firstLineChars="0"/>
                    <w:jc w:val="center"/>
                    <w:textAlignment w:val="center"/>
                    <w:rPr>
                      <w:color w:val="000000" w:themeColor="text1"/>
                      <w:sz w:val="21"/>
                      <w:szCs w:val="21"/>
                    </w:rPr>
                  </w:pPr>
                  <w:r>
                    <w:rPr>
                      <w:color w:val="000000"/>
                      <w:kern w:val="0"/>
                      <w:sz w:val="21"/>
                      <w:szCs w:val="21"/>
                    </w:rPr>
                    <w:t>42.96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701" w:type="dxa"/>
                  <w:vAlign w:val="center"/>
                </w:tcPr>
                <w:p>
                  <w:pPr>
                    <w:pStyle w:val="3"/>
                    <w:spacing w:line="240" w:lineRule="auto"/>
                    <w:ind w:firstLine="0" w:firstLineChars="0"/>
                    <w:jc w:val="center"/>
                    <w:rPr>
                      <w:color w:val="000000" w:themeColor="text1"/>
                      <w:sz w:val="21"/>
                      <w:szCs w:val="21"/>
                    </w:rPr>
                  </w:pPr>
                  <w:r>
                    <w:rPr>
                      <w:sz w:val="21"/>
                      <w:szCs w:val="21"/>
                    </w:rPr>
                    <w:t>皮带输送机</w:t>
                  </w:r>
                </w:p>
              </w:tc>
              <w:tc>
                <w:tcPr>
                  <w:tcW w:w="1134" w:type="dxa"/>
                  <w:vAlign w:val="center"/>
                </w:tcPr>
                <w:p>
                  <w:pPr>
                    <w:spacing w:line="240" w:lineRule="auto"/>
                    <w:ind w:firstLine="0" w:firstLineChars="0"/>
                    <w:jc w:val="center"/>
                    <w:rPr>
                      <w:color w:val="000000" w:themeColor="text1"/>
                      <w:sz w:val="21"/>
                      <w:szCs w:val="21"/>
                    </w:rPr>
                  </w:pPr>
                  <w:r>
                    <w:rPr>
                      <w:color w:val="000000" w:themeColor="text1"/>
                      <w:sz w:val="21"/>
                      <w:szCs w:val="21"/>
                    </w:rPr>
                    <w:t>85</w:t>
                  </w:r>
                </w:p>
              </w:tc>
              <w:tc>
                <w:tcPr>
                  <w:tcW w:w="1134"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70</w:t>
                  </w:r>
                </w:p>
              </w:tc>
              <w:tc>
                <w:tcPr>
                  <w:tcW w:w="993" w:type="dxa"/>
                  <w:vAlign w:val="center"/>
                </w:tcPr>
                <w:p>
                  <w:pPr>
                    <w:widowControl/>
                    <w:ind w:firstLine="0" w:firstLineChars="0"/>
                    <w:jc w:val="center"/>
                    <w:textAlignment w:val="center"/>
                    <w:rPr>
                      <w:color w:val="000000" w:themeColor="text1"/>
                      <w:sz w:val="21"/>
                      <w:szCs w:val="21"/>
                    </w:rPr>
                  </w:pPr>
                  <w:r>
                    <w:rPr>
                      <w:color w:val="000000"/>
                      <w:kern w:val="0"/>
                      <w:sz w:val="21"/>
                      <w:szCs w:val="21"/>
                    </w:rPr>
                    <w:t>45.39</w:t>
                  </w:r>
                </w:p>
              </w:tc>
              <w:tc>
                <w:tcPr>
                  <w:tcW w:w="992" w:type="dxa"/>
                  <w:vAlign w:val="center"/>
                </w:tcPr>
                <w:p>
                  <w:pPr>
                    <w:widowControl/>
                    <w:ind w:firstLine="0" w:firstLineChars="0"/>
                    <w:jc w:val="center"/>
                    <w:textAlignment w:val="center"/>
                    <w:rPr>
                      <w:color w:val="000000" w:themeColor="text1"/>
                      <w:sz w:val="21"/>
                      <w:szCs w:val="21"/>
                    </w:rPr>
                  </w:pPr>
                  <w:r>
                    <w:rPr>
                      <w:color w:val="000000"/>
                      <w:kern w:val="0"/>
                      <w:sz w:val="21"/>
                      <w:szCs w:val="21"/>
                    </w:rPr>
                    <w:t>46.48</w:t>
                  </w:r>
                </w:p>
              </w:tc>
              <w:tc>
                <w:tcPr>
                  <w:tcW w:w="992" w:type="dxa"/>
                  <w:vAlign w:val="center"/>
                </w:tcPr>
                <w:p>
                  <w:pPr>
                    <w:widowControl/>
                    <w:ind w:firstLine="0" w:firstLineChars="0"/>
                    <w:jc w:val="center"/>
                    <w:textAlignment w:val="center"/>
                    <w:rPr>
                      <w:color w:val="000000" w:themeColor="text1"/>
                      <w:sz w:val="21"/>
                      <w:szCs w:val="21"/>
                    </w:rPr>
                  </w:pPr>
                  <w:r>
                    <w:rPr>
                      <w:color w:val="000000"/>
                      <w:kern w:val="0"/>
                      <w:sz w:val="21"/>
                      <w:szCs w:val="21"/>
                    </w:rPr>
                    <w:t>27.02</w:t>
                  </w:r>
                </w:p>
              </w:tc>
              <w:tc>
                <w:tcPr>
                  <w:tcW w:w="1111" w:type="dxa"/>
                  <w:vAlign w:val="center"/>
                </w:tcPr>
                <w:p>
                  <w:pPr>
                    <w:widowControl/>
                    <w:ind w:firstLine="0" w:firstLineChars="0"/>
                    <w:jc w:val="center"/>
                    <w:textAlignment w:val="center"/>
                    <w:rPr>
                      <w:color w:val="000000" w:themeColor="text1"/>
                      <w:sz w:val="21"/>
                      <w:szCs w:val="21"/>
                    </w:rPr>
                  </w:pPr>
                  <w:r>
                    <w:rPr>
                      <w:color w:val="000000"/>
                      <w:kern w:val="0"/>
                      <w:sz w:val="21"/>
                      <w:szCs w:val="21"/>
                    </w:rPr>
                    <w:t>39.12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3"/>
                  <w:vAlign w:val="center"/>
                </w:tcPr>
                <w:p>
                  <w:pPr>
                    <w:pStyle w:val="3"/>
                    <w:spacing w:line="240" w:lineRule="auto"/>
                    <w:ind w:firstLine="0" w:firstLineChars="0"/>
                    <w:jc w:val="center"/>
                    <w:rPr>
                      <w:color w:val="000000" w:themeColor="text1"/>
                      <w:sz w:val="21"/>
                      <w:szCs w:val="21"/>
                    </w:rPr>
                  </w:pPr>
                  <w:r>
                    <w:rPr>
                      <w:bCs/>
                      <w:sz w:val="21"/>
                      <w:szCs w:val="21"/>
                    </w:rPr>
                    <w:t>贡献值（多台设备叠加后）</w:t>
                  </w:r>
                </w:p>
              </w:tc>
              <w:tc>
                <w:tcPr>
                  <w:tcW w:w="993" w:type="dxa"/>
                  <w:vAlign w:val="center"/>
                </w:tcPr>
                <w:p>
                  <w:pPr>
                    <w:widowControl/>
                    <w:ind w:firstLine="0" w:firstLineChars="0"/>
                    <w:jc w:val="center"/>
                    <w:textAlignment w:val="center"/>
                    <w:rPr>
                      <w:color w:val="000000" w:themeColor="text1"/>
                      <w:sz w:val="21"/>
                      <w:szCs w:val="21"/>
                    </w:rPr>
                  </w:pPr>
                  <w:r>
                    <w:rPr>
                      <w:rFonts w:hint="eastAsia"/>
                      <w:kern w:val="0"/>
                      <w:sz w:val="21"/>
                      <w:szCs w:val="21"/>
                    </w:rPr>
                    <w:t>54</w:t>
                  </w:r>
                  <w:r>
                    <w:rPr>
                      <w:kern w:val="0"/>
                      <w:sz w:val="21"/>
                      <w:szCs w:val="21"/>
                    </w:rPr>
                    <w:t>.75</w:t>
                  </w:r>
                </w:p>
              </w:tc>
              <w:tc>
                <w:tcPr>
                  <w:tcW w:w="992" w:type="dxa"/>
                  <w:vAlign w:val="center"/>
                </w:tcPr>
                <w:p>
                  <w:pPr>
                    <w:widowControl/>
                    <w:ind w:firstLine="0" w:firstLineChars="0"/>
                    <w:jc w:val="center"/>
                    <w:textAlignment w:val="center"/>
                    <w:rPr>
                      <w:color w:val="000000" w:themeColor="text1"/>
                      <w:sz w:val="21"/>
                      <w:szCs w:val="21"/>
                    </w:rPr>
                  </w:pPr>
                  <w:r>
                    <w:rPr>
                      <w:rFonts w:hint="eastAsia"/>
                      <w:kern w:val="0"/>
                      <w:sz w:val="21"/>
                      <w:szCs w:val="21"/>
                    </w:rPr>
                    <w:t>55.18</w:t>
                  </w:r>
                </w:p>
              </w:tc>
              <w:tc>
                <w:tcPr>
                  <w:tcW w:w="992" w:type="dxa"/>
                  <w:vAlign w:val="center"/>
                </w:tcPr>
                <w:p>
                  <w:pPr>
                    <w:widowControl/>
                    <w:ind w:firstLine="0" w:firstLineChars="0"/>
                    <w:jc w:val="center"/>
                    <w:textAlignment w:val="center"/>
                    <w:rPr>
                      <w:color w:val="000000" w:themeColor="text1"/>
                      <w:sz w:val="21"/>
                      <w:szCs w:val="21"/>
                    </w:rPr>
                  </w:pPr>
                  <w:r>
                    <w:rPr>
                      <w:rFonts w:hint="eastAsia"/>
                      <w:kern w:val="0"/>
                      <w:sz w:val="21"/>
                      <w:szCs w:val="21"/>
                    </w:rPr>
                    <w:t>35.77</w:t>
                  </w:r>
                </w:p>
              </w:tc>
              <w:tc>
                <w:tcPr>
                  <w:tcW w:w="1111" w:type="dxa"/>
                  <w:vAlign w:val="center"/>
                </w:tcPr>
                <w:p>
                  <w:pPr>
                    <w:widowControl/>
                    <w:ind w:firstLine="0" w:firstLineChars="0"/>
                    <w:jc w:val="center"/>
                    <w:textAlignment w:val="center"/>
                    <w:rPr>
                      <w:color w:val="000000" w:themeColor="text1"/>
                      <w:sz w:val="21"/>
                      <w:szCs w:val="21"/>
                    </w:rPr>
                  </w:pPr>
                  <w:r>
                    <w:rPr>
                      <w:rFonts w:hint="eastAsia"/>
                      <w:kern w:val="0"/>
                      <w:sz w:val="21"/>
                      <w:szCs w:val="21"/>
                    </w:rPr>
                    <w:t>47.56</w:t>
                  </w:r>
                </w:p>
              </w:tc>
            </w:tr>
          </w:tbl>
          <w:p>
            <w:pPr>
              <w:autoSpaceDE w:val="0"/>
              <w:autoSpaceDN w:val="0"/>
              <w:snapToGrid w:val="0"/>
              <w:spacing w:before="156" w:beforeLines="50"/>
              <w:ind w:firstLine="480"/>
              <w:rPr>
                <w:color w:val="000000" w:themeColor="text1"/>
              </w:rPr>
            </w:pPr>
            <w:r>
              <w:rPr>
                <w:color w:val="000000" w:themeColor="text1"/>
              </w:rPr>
              <w:t>根据表7-1</w:t>
            </w:r>
            <w:r>
              <w:rPr>
                <w:rFonts w:hint="eastAsia"/>
                <w:color w:val="000000" w:themeColor="text1"/>
                <w:lang w:val="en-US" w:eastAsia="zh-CN"/>
              </w:rPr>
              <w:t>2，</w:t>
            </w:r>
            <w:r>
              <w:rPr>
                <w:color w:val="000000" w:themeColor="text1"/>
              </w:rPr>
              <w:t>预测结果可知，项目运营期产生的噪声在通过合理布局主要产噪设备的位置、采取安装减震垫等措施后，经过车间墙体隔声、距离衰减，昼间厂界噪声贡献值</w:t>
            </w:r>
            <w:r>
              <w:rPr>
                <w:rFonts w:hint="eastAsia"/>
                <w:color w:val="000000" w:themeColor="text1"/>
              </w:rPr>
              <w:t>35.77</w:t>
            </w:r>
            <w:r>
              <w:rPr>
                <w:color w:val="000000" w:themeColor="text1"/>
              </w:rPr>
              <w:t>~</w:t>
            </w:r>
            <w:r>
              <w:rPr>
                <w:rFonts w:hint="eastAsia"/>
                <w:color w:val="000000" w:themeColor="text1"/>
              </w:rPr>
              <w:t>55.18</w:t>
            </w:r>
            <w:r>
              <w:rPr>
                <w:color w:val="000000" w:themeColor="text1"/>
              </w:rPr>
              <w:t>dB(A)之间，</w:t>
            </w:r>
            <w:r>
              <w:rPr>
                <w:rFonts w:hint="eastAsia"/>
                <w:color w:val="000000" w:themeColor="text1"/>
              </w:rPr>
              <w:t>项目</w:t>
            </w:r>
            <w:r>
              <w:rPr>
                <w:rFonts w:hint="eastAsia"/>
                <w:szCs w:val="32"/>
              </w:rPr>
              <w:t>仅昼间生产，夜间不生产，故</w:t>
            </w:r>
            <w:r>
              <w:rPr>
                <w:color w:val="000000" w:themeColor="text1"/>
              </w:rPr>
              <w:t>项目厂界噪声昼间能达到《工业企业厂界环境噪声排放标准》（GB12348-2008）2类区标准，即昼间≤60dB(A) ，对周围环境影响小。</w:t>
            </w:r>
          </w:p>
          <w:p>
            <w:pPr>
              <w:autoSpaceDE w:val="0"/>
              <w:autoSpaceDN w:val="0"/>
              <w:snapToGrid w:val="0"/>
              <w:ind w:firstLine="482"/>
              <w:rPr>
                <w:b/>
                <w:color w:val="000000" w:themeColor="text1"/>
              </w:rPr>
            </w:pPr>
            <w:r>
              <w:rPr>
                <w:rFonts w:hint="eastAsia"/>
                <w:b/>
                <w:color w:val="000000" w:themeColor="text1"/>
              </w:rPr>
              <w:t>（5）噪声对关心点的影响</w:t>
            </w:r>
          </w:p>
          <w:p>
            <w:pPr>
              <w:autoSpaceDE w:val="0"/>
              <w:autoSpaceDN w:val="0"/>
              <w:snapToGrid w:val="0"/>
              <w:ind w:firstLine="480"/>
              <w:rPr>
                <w:color w:val="000000" w:themeColor="text1"/>
              </w:rPr>
            </w:pPr>
            <w:r>
              <w:rPr>
                <w:rFonts w:hint="eastAsia"/>
                <w:color w:val="000000" w:themeColor="text1"/>
              </w:rPr>
              <w:t>根据附图3可知，距离项目最近的敏感点为西北侧的麦冲村，距离项目区275m，结合表7-</w:t>
            </w:r>
            <w:r>
              <w:rPr>
                <w:rFonts w:hint="eastAsia"/>
                <w:color w:val="000000" w:themeColor="text1"/>
                <w:lang w:val="en-US" w:eastAsia="zh-CN"/>
              </w:rPr>
              <w:t>12</w:t>
            </w:r>
            <w:r>
              <w:rPr>
                <w:rFonts w:hint="eastAsia"/>
                <w:color w:val="000000" w:themeColor="text1"/>
              </w:rPr>
              <w:t>预测结果可知，噪声经距离衰减后，对居民点的影响可忽略。</w:t>
            </w:r>
          </w:p>
          <w:p>
            <w:pPr>
              <w:adjustRightInd w:val="0"/>
              <w:snapToGrid w:val="0"/>
              <w:ind w:firstLine="482"/>
              <w:rPr>
                <w:b/>
                <w:color w:val="000000" w:themeColor="text1"/>
              </w:rPr>
            </w:pPr>
            <w:r>
              <w:rPr>
                <w:rFonts w:hint="eastAsia"/>
                <w:b/>
                <w:color w:val="000000" w:themeColor="text1"/>
              </w:rPr>
              <w:t>5</w:t>
            </w:r>
            <w:r>
              <w:rPr>
                <w:b/>
                <w:color w:val="000000" w:themeColor="text1"/>
              </w:rPr>
              <w:t>、固体废物影响分析</w:t>
            </w:r>
          </w:p>
          <w:p>
            <w:pPr>
              <w:snapToGrid w:val="0"/>
              <w:ind w:firstLine="482"/>
              <w:rPr>
                <w:color w:val="000000" w:themeColor="text1"/>
              </w:rPr>
            </w:pPr>
            <w:r>
              <w:rPr>
                <w:rFonts w:hint="eastAsia"/>
                <w:color w:val="000000" w:themeColor="text1"/>
              </w:rPr>
              <w:t>根据工程分析，本项目运营期产生的固废主要为</w:t>
            </w:r>
            <w:r>
              <w:rPr>
                <w:rFonts w:hint="eastAsia"/>
              </w:rPr>
              <w:t>除尘器收集的粉尘</w:t>
            </w:r>
            <w:r>
              <w:rPr>
                <w:rFonts w:hint="eastAsia"/>
                <w:color w:val="000000" w:themeColor="text1"/>
              </w:rPr>
              <w:t>、废机油</w:t>
            </w:r>
            <w:r>
              <w:rPr>
                <w:rFonts w:hint="eastAsia"/>
                <w:color w:val="000000" w:themeColor="text1"/>
                <w:lang w:eastAsia="zh-CN"/>
              </w:rPr>
              <w:t>、</w:t>
            </w:r>
            <w:r>
              <w:rPr>
                <w:rFonts w:hint="eastAsia"/>
                <w:b w:val="0"/>
                <w:bCs/>
                <w:color w:val="000000" w:themeColor="text1"/>
              </w:rPr>
              <w:t>含油抹布及手套</w:t>
            </w:r>
            <w:r>
              <w:rPr>
                <w:rFonts w:hint="eastAsia"/>
                <w:color w:val="000000" w:themeColor="text1"/>
              </w:rPr>
              <w:t>。</w:t>
            </w:r>
          </w:p>
          <w:p>
            <w:pPr>
              <w:numPr>
                <w:ilvl w:val="0"/>
                <w:numId w:val="5"/>
              </w:numPr>
              <w:snapToGrid w:val="0"/>
              <w:ind w:firstLine="482"/>
              <w:rPr>
                <w:b/>
                <w:bCs/>
              </w:rPr>
            </w:pPr>
            <w:r>
              <w:rPr>
                <w:rFonts w:hint="eastAsia"/>
                <w:b/>
                <w:bCs/>
              </w:rPr>
              <w:t>除尘器收集</w:t>
            </w:r>
            <w:r>
              <w:rPr>
                <w:rFonts w:hint="eastAsia"/>
                <w:b/>
                <w:bCs/>
                <w:lang w:eastAsia="zh-CN"/>
              </w:rPr>
              <w:t>粉尘</w:t>
            </w:r>
            <w:r>
              <w:rPr>
                <w:rFonts w:hint="eastAsia"/>
                <w:b/>
                <w:bCs/>
              </w:rPr>
              <w:t>及</w:t>
            </w:r>
            <w:r>
              <w:rPr>
                <w:rFonts w:hint="eastAsia"/>
                <w:b/>
                <w:bCs/>
                <w:lang w:eastAsia="zh-CN"/>
              </w:rPr>
              <w:t>破碎车间</w:t>
            </w:r>
            <w:r>
              <w:rPr>
                <w:rFonts w:hint="eastAsia"/>
                <w:b/>
                <w:bCs/>
              </w:rPr>
              <w:t>自然沉降粉尘</w:t>
            </w:r>
          </w:p>
          <w:p>
            <w:pPr>
              <w:ind w:firstLine="480"/>
              <w:rPr>
                <w:color w:val="000000" w:themeColor="text1"/>
              </w:rPr>
            </w:pPr>
            <w:r>
              <w:rPr>
                <w:rFonts w:hint="eastAsia"/>
              </w:rPr>
              <w:t>除尘器收集的粉尘产生量为0.7344t/a，</w:t>
            </w:r>
            <w:r>
              <w:rPr>
                <w:rFonts w:hint="eastAsia"/>
                <w:lang w:eastAsia="zh-CN"/>
              </w:rPr>
              <w:t>破碎车间沉降粉尘</w:t>
            </w:r>
            <w:r>
              <w:rPr>
                <w:rFonts w:hint="eastAsia"/>
              </w:rPr>
              <w:t>产生量为1.116t/a，共1.8504t/a，收集后</w:t>
            </w:r>
            <w:r>
              <w:rPr>
                <w:rFonts w:hint="eastAsia"/>
                <w:color w:val="000000" w:themeColor="text1"/>
                <w:lang w:eastAsia="zh-CN"/>
              </w:rPr>
              <w:t>作为成品售卖</w:t>
            </w:r>
            <w:r>
              <w:rPr>
                <w:rFonts w:hint="eastAsia"/>
                <w:color w:val="000000" w:themeColor="text1"/>
              </w:rPr>
              <w:t>。</w:t>
            </w:r>
          </w:p>
          <w:p>
            <w:pPr>
              <w:numPr>
                <w:ilvl w:val="0"/>
                <w:numId w:val="0"/>
              </w:numPr>
              <w:snapToGrid w:val="0"/>
              <w:ind w:firstLine="480" w:firstLineChars="200"/>
              <w:rPr>
                <w:rFonts w:hint="default" w:eastAsia="宋体"/>
                <w:b w:val="0"/>
                <w:bCs/>
                <w:color w:val="auto"/>
                <w:lang w:val="en-US" w:eastAsia="zh-CN"/>
              </w:rPr>
            </w:pPr>
            <w:r>
              <w:rPr>
                <w:rFonts w:hint="eastAsia"/>
                <w:b w:val="0"/>
                <w:bCs/>
                <w:color w:val="auto"/>
                <w:lang w:eastAsia="zh-CN"/>
              </w:rPr>
              <w:t>根据布袋收尘器设置可知，布袋除尘器处理粉尘的粒径范围为</w:t>
            </w:r>
            <w:r>
              <w:rPr>
                <w:rFonts w:hint="eastAsia"/>
                <w:b w:val="0"/>
                <w:bCs/>
                <w:color w:val="auto"/>
                <w:lang w:val="en-US" w:eastAsia="zh-CN"/>
              </w:rPr>
              <w:t>0.1um-100um，小于项目成品标准粒径≤0.5mm，故布袋除尘器收集的粉尘可作为成品售卖；破碎车间自然沉降粉尘经收集后再次进入打砂机，经打砂机处理后作为成品售卖。故</w:t>
            </w:r>
            <w:r>
              <w:rPr>
                <w:rFonts w:hint="eastAsia"/>
                <w:b w:val="0"/>
                <w:bCs/>
                <w:color w:val="auto"/>
              </w:rPr>
              <w:t>除尘器收集</w:t>
            </w:r>
            <w:r>
              <w:rPr>
                <w:rFonts w:hint="eastAsia"/>
                <w:b w:val="0"/>
                <w:bCs/>
                <w:color w:val="auto"/>
                <w:lang w:eastAsia="zh-CN"/>
              </w:rPr>
              <w:t>粉尘</w:t>
            </w:r>
            <w:r>
              <w:rPr>
                <w:rFonts w:hint="eastAsia"/>
                <w:b w:val="0"/>
                <w:bCs/>
                <w:color w:val="auto"/>
              </w:rPr>
              <w:t>及</w:t>
            </w:r>
            <w:r>
              <w:rPr>
                <w:rFonts w:hint="eastAsia"/>
                <w:b w:val="0"/>
                <w:bCs/>
                <w:color w:val="auto"/>
                <w:lang w:eastAsia="zh-CN"/>
              </w:rPr>
              <w:t>破碎车间</w:t>
            </w:r>
            <w:r>
              <w:rPr>
                <w:rFonts w:hint="eastAsia"/>
                <w:b w:val="0"/>
                <w:bCs/>
                <w:color w:val="auto"/>
              </w:rPr>
              <w:t>自然沉降粉尘</w:t>
            </w:r>
            <w:r>
              <w:rPr>
                <w:rFonts w:hint="eastAsia"/>
                <w:b w:val="0"/>
                <w:bCs/>
                <w:color w:val="auto"/>
                <w:lang w:eastAsia="zh-CN"/>
              </w:rPr>
              <w:t>作为成品售卖是可行的。</w:t>
            </w:r>
          </w:p>
          <w:p>
            <w:pPr>
              <w:tabs>
                <w:tab w:val="left" w:pos="5368"/>
              </w:tabs>
              <w:snapToGrid w:val="0"/>
              <w:spacing w:line="360" w:lineRule="auto"/>
              <w:ind w:firstLine="482" w:firstLineChars="200"/>
              <w:rPr>
                <w:b/>
                <w:color w:val="000000" w:themeColor="text1"/>
                <w:sz w:val="24"/>
              </w:rPr>
            </w:pPr>
            <w:r>
              <w:rPr>
                <w:rFonts w:hint="eastAsia"/>
                <w:b/>
                <w:color w:val="000000" w:themeColor="text1"/>
                <w:sz w:val="24"/>
              </w:rPr>
              <w:t>（</w:t>
            </w:r>
            <w:r>
              <w:rPr>
                <w:rFonts w:hint="eastAsia"/>
                <w:b/>
                <w:color w:val="000000" w:themeColor="text1"/>
                <w:sz w:val="24"/>
                <w:lang w:val="en-US" w:eastAsia="zh-CN"/>
              </w:rPr>
              <w:t>2</w:t>
            </w:r>
            <w:r>
              <w:rPr>
                <w:rFonts w:hint="eastAsia"/>
                <w:b/>
                <w:color w:val="000000" w:themeColor="text1"/>
                <w:sz w:val="24"/>
              </w:rPr>
              <w:t>）隔油池浮油</w:t>
            </w:r>
          </w:p>
          <w:p>
            <w:pPr>
              <w:snapToGrid w:val="0"/>
              <w:spacing w:line="360" w:lineRule="auto"/>
              <w:ind w:firstLine="480" w:firstLineChars="200"/>
              <w:rPr>
                <w:color w:val="000000" w:themeColor="text1"/>
                <w:sz w:val="24"/>
              </w:rPr>
            </w:pPr>
            <w:r>
              <w:rPr>
                <w:rFonts w:hint="eastAsia"/>
                <w:color w:val="000000" w:themeColor="text1"/>
                <w:sz w:val="24"/>
              </w:rPr>
              <w:t>本项目食堂废水隔油池浮油产生量约为0.1kg/d，0.03t/a。浮油须委托有资质的单位进行处理。</w:t>
            </w:r>
          </w:p>
          <w:p>
            <w:pPr>
              <w:snapToGrid w:val="0"/>
              <w:spacing w:line="360" w:lineRule="auto"/>
              <w:ind w:firstLine="480"/>
              <w:rPr>
                <w:b/>
                <w:color w:val="000000" w:themeColor="text1"/>
                <w:sz w:val="24"/>
              </w:rPr>
            </w:pPr>
            <w:r>
              <w:rPr>
                <w:rFonts w:hint="eastAsia"/>
                <w:b/>
                <w:color w:val="000000" w:themeColor="text1"/>
                <w:sz w:val="24"/>
              </w:rPr>
              <w:t>（</w:t>
            </w:r>
            <w:r>
              <w:rPr>
                <w:rFonts w:hint="eastAsia"/>
                <w:b/>
                <w:color w:val="000000" w:themeColor="text1"/>
                <w:sz w:val="24"/>
                <w:lang w:val="en-US" w:eastAsia="zh-CN"/>
              </w:rPr>
              <w:t>3</w:t>
            </w:r>
            <w:r>
              <w:rPr>
                <w:rFonts w:hint="eastAsia"/>
                <w:b/>
                <w:color w:val="000000" w:themeColor="text1"/>
                <w:sz w:val="24"/>
              </w:rPr>
              <w:t>）食堂泔水</w:t>
            </w:r>
          </w:p>
          <w:p>
            <w:pPr>
              <w:tabs>
                <w:tab w:val="left" w:pos="5368"/>
              </w:tabs>
              <w:snapToGrid w:val="0"/>
              <w:spacing w:line="360" w:lineRule="auto"/>
              <w:ind w:firstLine="480" w:firstLineChars="200"/>
              <w:rPr>
                <w:color w:val="000000" w:themeColor="text1"/>
                <w:sz w:val="24"/>
              </w:rPr>
            </w:pPr>
            <w:r>
              <w:rPr>
                <w:rFonts w:hint="eastAsia"/>
                <w:color w:val="000000" w:themeColor="text1"/>
                <w:sz w:val="24"/>
              </w:rPr>
              <w:t>项目食堂泔水产生量约为</w:t>
            </w:r>
            <w:r>
              <w:rPr>
                <w:rFonts w:hint="eastAsia"/>
                <w:color w:val="000000" w:themeColor="text1"/>
                <w:sz w:val="24"/>
                <w:lang w:val="en-US" w:eastAsia="zh-CN"/>
              </w:rPr>
              <w:t>2</w:t>
            </w:r>
            <w:r>
              <w:rPr>
                <w:rFonts w:hint="eastAsia"/>
                <w:color w:val="000000" w:themeColor="text1"/>
                <w:sz w:val="24"/>
              </w:rPr>
              <w:t>kg/d，</w:t>
            </w:r>
            <w:r>
              <w:rPr>
                <w:rFonts w:hint="eastAsia"/>
                <w:color w:val="000000" w:themeColor="text1"/>
                <w:sz w:val="24"/>
                <w:lang w:val="en-US" w:eastAsia="zh-CN"/>
              </w:rPr>
              <w:t>0.6</w:t>
            </w:r>
            <w:r>
              <w:rPr>
                <w:rFonts w:hint="eastAsia"/>
                <w:color w:val="000000" w:themeColor="text1"/>
                <w:sz w:val="24"/>
              </w:rPr>
              <w:t>t/a。食堂泔水经</w:t>
            </w:r>
            <w:r>
              <w:rPr>
                <w:rFonts w:hint="eastAsia"/>
                <w:color w:val="000000" w:themeColor="text1"/>
                <w:sz w:val="24"/>
                <w:lang w:val="en-US" w:eastAsia="zh-CN"/>
              </w:rPr>
              <w:t>2</w:t>
            </w:r>
            <w:r>
              <w:rPr>
                <w:rFonts w:hint="eastAsia"/>
                <w:color w:val="000000" w:themeColor="text1"/>
                <w:sz w:val="24"/>
              </w:rPr>
              <w:t>个容积为50L的泔水桶收集后，</w:t>
            </w:r>
            <w:r>
              <w:rPr>
                <w:rFonts w:hint="eastAsia"/>
                <w:color w:val="000000" w:themeColor="text1"/>
                <w:sz w:val="24"/>
                <w:lang w:eastAsia="zh-CN"/>
              </w:rPr>
              <w:t>由周围农户定期清运作为饲料</w:t>
            </w:r>
            <w:r>
              <w:rPr>
                <w:rFonts w:hint="eastAsia"/>
                <w:color w:val="000000" w:themeColor="text1"/>
                <w:sz w:val="24"/>
              </w:rPr>
              <w:t>。</w:t>
            </w:r>
          </w:p>
          <w:p>
            <w:pPr>
              <w:snapToGrid w:val="0"/>
              <w:spacing w:line="360" w:lineRule="auto"/>
              <w:ind w:firstLine="480"/>
              <w:rPr>
                <w:b/>
                <w:color w:val="000000" w:themeColor="text1"/>
                <w:sz w:val="24"/>
              </w:rPr>
            </w:pPr>
            <w:r>
              <w:rPr>
                <w:rFonts w:hint="eastAsia"/>
                <w:b/>
                <w:color w:val="000000" w:themeColor="text1"/>
                <w:sz w:val="24"/>
              </w:rPr>
              <w:t>（</w:t>
            </w:r>
            <w:r>
              <w:rPr>
                <w:rFonts w:hint="eastAsia"/>
                <w:b/>
                <w:color w:val="000000" w:themeColor="text1"/>
                <w:sz w:val="24"/>
                <w:lang w:val="en-US" w:eastAsia="zh-CN"/>
              </w:rPr>
              <w:t>4</w:t>
            </w:r>
            <w:r>
              <w:rPr>
                <w:rFonts w:hint="eastAsia"/>
                <w:b/>
                <w:color w:val="000000" w:themeColor="text1"/>
                <w:sz w:val="24"/>
              </w:rPr>
              <w:t>）生活垃圾</w:t>
            </w:r>
          </w:p>
          <w:p>
            <w:pPr>
              <w:snapToGrid w:val="0"/>
              <w:spacing w:line="360" w:lineRule="auto"/>
              <w:ind w:firstLine="480"/>
              <w:rPr>
                <w:color w:val="000000" w:themeColor="text1"/>
                <w:sz w:val="24"/>
              </w:rPr>
            </w:pPr>
            <w:r>
              <w:rPr>
                <w:rFonts w:hint="eastAsia"/>
                <w:color w:val="000000" w:themeColor="text1"/>
                <w:sz w:val="24"/>
              </w:rPr>
              <w:t>项目员工生活垃圾产生量为11.5kg/d（3.45t/a）。生活垃圾经厂区内的垃圾桶收集后，定期清运至周边村庄指定的垃圾堆存点。</w:t>
            </w:r>
          </w:p>
          <w:p>
            <w:pPr>
              <w:tabs>
                <w:tab w:val="left" w:pos="5368"/>
              </w:tabs>
              <w:snapToGrid w:val="0"/>
              <w:ind w:firstLine="482"/>
              <w:rPr>
                <w:b/>
                <w:color w:val="000000" w:themeColor="text1"/>
              </w:rPr>
            </w:pPr>
            <w:r>
              <w:rPr>
                <w:rFonts w:hint="eastAsia"/>
                <w:b/>
                <w:color w:val="000000" w:themeColor="text1"/>
              </w:rPr>
              <w:t>（</w:t>
            </w:r>
            <w:r>
              <w:rPr>
                <w:rFonts w:hint="eastAsia"/>
                <w:b/>
                <w:color w:val="000000" w:themeColor="text1"/>
                <w:lang w:val="en-US" w:eastAsia="zh-CN"/>
              </w:rPr>
              <w:t>5</w:t>
            </w:r>
            <w:r>
              <w:rPr>
                <w:rFonts w:hint="eastAsia"/>
                <w:b/>
                <w:color w:val="000000" w:themeColor="text1"/>
              </w:rPr>
              <w:t>）废机油</w:t>
            </w:r>
          </w:p>
          <w:p>
            <w:pPr>
              <w:snapToGrid w:val="0"/>
              <w:ind w:firstLine="480"/>
              <w:rPr>
                <w:color w:val="000000" w:themeColor="text1"/>
              </w:rPr>
            </w:pPr>
            <w:r>
              <w:rPr>
                <w:color w:val="000000" w:themeColor="text1"/>
              </w:rPr>
              <w:t>项目生产过程中</w:t>
            </w:r>
            <w:r>
              <w:rPr>
                <w:rFonts w:hint="eastAsia"/>
                <w:color w:val="000000" w:themeColor="text1"/>
              </w:rPr>
              <w:t>养护维修机械设备时</w:t>
            </w:r>
            <w:r>
              <w:rPr>
                <w:color w:val="000000" w:themeColor="text1"/>
              </w:rPr>
              <w:t>会产生少量废机油</w:t>
            </w:r>
            <w:r>
              <w:rPr>
                <w:rFonts w:hint="eastAsia"/>
                <w:color w:val="000000" w:themeColor="text1"/>
              </w:rPr>
              <w:t>，属危险废物，产生量约为0.05t/a。废机油每2个月清运一次，项目区内废机油的最大储存量为0.02t，废机油经1个容积为50L的废机油桶</w:t>
            </w:r>
            <w:r>
              <w:rPr>
                <w:color w:val="000000" w:themeColor="text1"/>
              </w:rPr>
              <w:t>收集后</w:t>
            </w:r>
            <w:r>
              <w:rPr>
                <w:rFonts w:hint="eastAsia"/>
                <w:color w:val="000000" w:themeColor="text1"/>
              </w:rPr>
              <w:t>，暂存新建危废暂存间，并委托有资质单位清运处置</w:t>
            </w:r>
            <w:r>
              <w:rPr>
                <w:color w:val="000000" w:themeColor="text1"/>
              </w:rPr>
              <w:t>。</w:t>
            </w:r>
          </w:p>
          <w:p>
            <w:pPr>
              <w:snapToGrid w:val="0"/>
              <w:ind w:firstLine="482"/>
              <w:rPr>
                <w:b/>
                <w:color w:val="000000" w:themeColor="text1"/>
              </w:rPr>
            </w:pPr>
            <w:r>
              <w:rPr>
                <w:rFonts w:hint="eastAsia"/>
                <w:b/>
                <w:color w:val="000000" w:themeColor="text1"/>
              </w:rPr>
              <w:t>（</w:t>
            </w:r>
            <w:r>
              <w:rPr>
                <w:rFonts w:hint="eastAsia"/>
                <w:b/>
                <w:color w:val="000000" w:themeColor="text1"/>
                <w:lang w:val="en-US" w:eastAsia="zh-CN"/>
              </w:rPr>
              <w:t>6</w:t>
            </w:r>
            <w:r>
              <w:rPr>
                <w:rFonts w:hint="eastAsia"/>
                <w:b/>
                <w:color w:val="000000" w:themeColor="text1"/>
              </w:rPr>
              <w:t>）含油抹布及手套</w:t>
            </w:r>
          </w:p>
          <w:p>
            <w:pPr>
              <w:snapToGrid w:val="0"/>
              <w:ind w:firstLine="480"/>
              <w:rPr>
                <w:color w:val="000000" w:themeColor="text1"/>
              </w:rPr>
            </w:pPr>
            <w:r>
              <w:rPr>
                <w:rFonts w:hint="eastAsia"/>
                <w:color w:val="000000" w:themeColor="text1"/>
              </w:rPr>
              <w:t>设备养护维修过程中会产生含油手套、含油纱布等废物，产生量约0.01t/a，可与生活垃圾一起进行处理，全过程不按危险废物管理。</w:t>
            </w:r>
          </w:p>
          <w:p>
            <w:pPr>
              <w:autoSpaceDE w:val="0"/>
              <w:autoSpaceDN w:val="0"/>
              <w:snapToGrid w:val="0"/>
              <w:ind w:firstLine="480"/>
              <w:rPr>
                <w:color w:val="000000" w:themeColor="text1"/>
              </w:rPr>
            </w:pPr>
            <w:r>
              <w:rPr>
                <w:rFonts w:hint="eastAsia"/>
                <w:color w:val="000000" w:themeColor="text1"/>
              </w:rPr>
              <w:t>本项目产生的废机油属危险废物。危险固废必须严格按照 GB18597-2001《危险废物贮存污染控制标准》及其修改单的要求进行贮存。危废暂存间除防渗措施外，还应具备防扩散、防雨淋、防流失的措施。危险废物暂存间应设置危险废物识别标志，并上锁，钥匙由专人进行管理。根据《危险废物转移联单管理办法》的有关规定，企业应委托具有资质的专业单位处置危险废物。为便于项目建成后运行管理，公司应与有危险废物处置资质的单位签订处置合同或协议，危险废物的清运建立转移联单登记，记录危险废物数量、废物属性、转移时间、去向等，保证将生产中产生的危险废物得到安全、经济的处理处置，最大限制地降低其对环境的影响。</w:t>
            </w:r>
          </w:p>
          <w:p>
            <w:pPr>
              <w:adjustRightInd w:val="0"/>
              <w:snapToGrid w:val="0"/>
              <w:ind w:firstLine="480"/>
              <w:rPr>
                <w:bCs/>
                <w:color w:val="000000" w:themeColor="text1"/>
              </w:rPr>
            </w:pPr>
            <w:r>
              <w:rPr>
                <w:rFonts w:hint="eastAsia"/>
                <w:bCs/>
                <w:color w:val="000000" w:themeColor="text1"/>
              </w:rPr>
              <w:t>综上，项目运营期产生的固体废物均得到合理处置，对周围环境影响小。</w:t>
            </w:r>
          </w:p>
          <w:p>
            <w:pPr>
              <w:adjustRightInd w:val="0"/>
              <w:snapToGrid w:val="0"/>
              <w:ind w:firstLine="482"/>
              <w:rPr>
                <w:b/>
                <w:color w:val="000000" w:themeColor="text1"/>
              </w:rPr>
            </w:pPr>
            <w:r>
              <w:rPr>
                <w:rFonts w:hint="eastAsia"/>
                <w:b/>
                <w:color w:val="000000" w:themeColor="text1"/>
              </w:rPr>
              <w:t>6</w:t>
            </w:r>
            <w:r>
              <w:rPr>
                <w:b/>
                <w:color w:val="000000" w:themeColor="text1"/>
              </w:rPr>
              <w:t>、</w:t>
            </w:r>
            <w:r>
              <w:rPr>
                <w:rFonts w:hint="eastAsia"/>
                <w:b/>
                <w:color w:val="000000" w:themeColor="text1"/>
              </w:rPr>
              <w:t>土壤环境</w:t>
            </w:r>
            <w:r>
              <w:rPr>
                <w:b/>
                <w:color w:val="000000" w:themeColor="text1"/>
              </w:rPr>
              <w:t>影响分析</w:t>
            </w:r>
          </w:p>
          <w:p>
            <w:pPr>
              <w:adjustRightInd w:val="0"/>
              <w:snapToGrid w:val="0"/>
              <w:ind w:firstLine="480"/>
              <w:rPr>
                <w:color w:val="000000" w:themeColor="text1"/>
              </w:rPr>
            </w:pPr>
            <w:r>
              <w:rPr>
                <w:rFonts w:hint="eastAsia"/>
                <w:color w:val="000000" w:themeColor="text1"/>
              </w:rPr>
              <w:t>根据HJ964-2018《环境影响评价技术导则 土壤环境（试行）》，本项目为石材加工企业，属“导则”附录A“表A.1土壤环境影响评价项目类别”中的制造业-金属冶炼和压延加工及非金属矿物制品-其他，为</w:t>
            </w:r>
            <w:r>
              <w:rPr>
                <w:rFonts w:hint="eastAsia" w:ascii="宋体" w:hAnsi="宋体" w:cs="宋体"/>
                <w:color w:val="000000" w:themeColor="text1"/>
              </w:rPr>
              <w:t>Ⅲ</w:t>
            </w:r>
            <w:r>
              <w:rPr>
                <w:rFonts w:hint="eastAsia"/>
                <w:color w:val="000000" w:themeColor="text1"/>
              </w:rPr>
              <w:t>类项目。项目属污染影响型项目。污染影响型土壤环境评价等级判断依据见表7-1</w:t>
            </w:r>
            <w:r>
              <w:rPr>
                <w:rFonts w:hint="eastAsia"/>
                <w:color w:val="000000" w:themeColor="text1"/>
                <w:lang w:val="en-US" w:eastAsia="zh-CN"/>
              </w:rPr>
              <w:t>3</w:t>
            </w:r>
            <w:r>
              <w:rPr>
                <w:rFonts w:hint="eastAsia"/>
                <w:color w:val="000000" w:themeColor="text1"/>
              </w:rPr>
              <w:t>、表7-1</w:t>
            </w:r>
            <w:r>
              <w:rPr>
                <w:rFonts w:hint="eastAsia"/>
                <w:color w:val="000000" w:themeColor="text1"/>
                <w:lang w:val="en-US" w:eastAsia="zh-CN"/>
              </w:rPr>
              <w:t>4</w:t>
            </w:r>
            <w:r>
              <w:rPr>
                <w:rFonts w:hint="eastAsia"/>
                <w:color w:val="000000" w:themeColor="text1"/>
              </w:rPr>
              <w:t>。</w:t>
            </w:r>
          </w:p>
          <w:p>
            <w:pPr>
              <w:snapToGrid w:val="0"/>
              <w:ind w:firstLine="0" w:firstLineChars="0"/>
              <w:jc w:val="center"/>
              <w:rPr>
                <w:b/>
                <w:color w:val="000000" w:themeColor="text1"/>
                <w:szCs w:val="21"/>
              </w:rPr>
            </w:pPr>
            <w:r>
              <w:rPr>
                <w:rFonts w:hint="eastAsia"/>
                <w:b/>
                <w:color w:val="000000" w:themeColor="text1"/>
                <w:szCs w:val="21"/>
              </w:rPr>
              <w:t>表7-1</w:t>
            </w:r>
            <w:r>
              <w:rPr>
                <w:rFonts w:hint="eastAsia"/>
                <w:b/>
                <w:color w:val="000000" w:themeColor="text1"/>
                <w:szCs w:val="21"/>
                <w:lang w:val="en-US" w:eastAsia="zh-CN"/>
              </w:rPr>
              <w:t>3</w:t>
            </w:r>
            <w:r>
              <w:rPr>
                <w:rFonts w:hint="eastAsia"/>
                <w:b/>
                <w:color w:val="000000" w:themeColor="text1"/>
                <w:szCs w:val="21"/>
              </w:rPr>
              <w:t xml:space="preserve">  污染影响型污染程度分级表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240" w:lineRule="auto"/>
                    <w:ind w:firstLine="0" w:firstLineChars="0"/>
                    <w:jc w:val="center"/>
                    <w:rPr>
                      <w:b/>
                      <w:color w:val="000000" w:themeColor="text1"/>
                      <w:sz w:val="21"/>
                      <w:szCs w:val="21"/>
                    </w:rPr>
                  </w:pPr>
                  <w:r>
                    <w:rPr>
                      <w:rFonts w:hint="eastAsia"/>
                      <w:b/>
                      <w:color w:val="000000" w:themeColor="text1"/>
                      <w:sz w:val="21"/>
                      <w:szCs w:val="21"/>
                    </w:rPr>
                    <w:t>敏感程度</w:t>
                  </w:r>
                </w:p>
              </w:tc>
              <w:tc>
                <w:tcPr>
                  <w:tcW w:w="7874" w:type="dxa"/>
                  <w:shd w:val="clear" w:color="auto" w:fill="auto"/>
                </w:tcPr>
                <w:p>
                  <w:pPr>
                    <w:spacing w:line="240" w:lineRule="auto"/>
                    <w:ind w:firstLine="0" w:firstLineChars="0"/>
                    <w:jc w:val="center"/>
                    <w:rPr>
                      <w:b/>
                      <w:color w:val="000000" w:themeColor="text1"/>
                      <w:sz w:val="21"/>
                      <w:szCs w:val="21"/>
                    </w:rPr>
                  </w:pPr>
                  <w:r>
                    <w:rPr>
                      <w:rFonts w:hint="eastAsia"/>
                      <w:b/>
                      <w:color w:val="000000" w:themeColor="text1"/>
                      <w:sz w:val="21"/>
                      <w:szCs w:val="21"/>
                    </w:rPr>
                    <w:t>判断依据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before="156" w:beforeLines="50" w:line="240" w:lineRule="auto"/>
                    <w:ind w:firstLine="0" w:firstLineChars="0"/>
                    <w:jc w:val="center"/>
                    <w:rPr>
                      <w:color w:val="000000" w:themeColor="text1"/>
                      <w:sz w:val="21"/>
                      <w:szCs w:val="21"/>
                    </w:rPr>
                  </w:pPr>
                  <w:r>
                    <w:rPr>
                      <w:rFonts w:hint="eastAsia"/>
                      <w:color w:val="000000" w:themeColor="text1"/>
                      <w:sz w:val="21"/>
                      <w:szCs w:val="21"/>
                    </w:rPr>
                    <w:t>敏感</w:t>
                  </w:r>
                </w:p>
              </w:tc>
              <w:tc>
                <w:tcPr>
                  <w:tcW w:w="7874" w:type="dxa"/>
                  <w:shd w:val="clear" w:color="auto" w:fill="auto"/>
                </w:tcPr>
                <w:p>
                  <w:pPr>
                    <w:spacing w:line="240" w:lineRule="auto"/>
                    <w:ind w:firstLine="0" w:firstLineChars="0"/>
                    <w:rPr>
                      <w:color w:val="000000" w:themeColor="text1"/>
                      <w:sz w:val="21"/>
                      <w:szCs w:val="21"/>
                    </w:rPr>
                  </w:pPr>
                  <w:r>
                    <w:rPr>
                      <w:rFonts w:hint="eastAsia"/>
                      <w:color w:val="000000" w:themeColor="text1"/>
                      <w:sz w:val="21"/>
                      <w:szCs w:val="21"/>
                    </w:rPr>
                    <w:t>建设项目周边存在耕地、园地、牧草地、饮用水源地或居民区、学校、医院、疗养院、养老院等土壤环境敏感目标的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较敏感</w:t>
                  </w:r>
                </w:p>
              </w:tc>
              <w:tc>
                <w:tcPr>
                  <w:tcW w:w="7874" w:type="dxa"/>
                  <w:shd w:val="clear" w:color="auto" w:fill="auto"/>
                </w:tcPr>
                <w:p>
                  <w:pPr>
                    <w:spacing w:line="240" w:lineRule="auto"/>
                    <w:ind w:firstLine="0" w:firstLineChars="0"/>
                    <w:rPr>
                      <w:color w:val="000000" w:themeColor="text1"/>
                      <w:sz w:val="21"/>
                      <w:szCs w:val="21"/>
                    </w:rPr>
                  </w:pPr>
                  <w:r>
                    <w:rPr>
                      <w:rFonts w:hint="eastAsia"/>
                      <w:color w:val="000000" w:themeColor="text1"/>
                      <w:sz w:val="21"/>
                      <w:szCs w:val="21"/>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不敏感</w:t>
                  </w:r>
                </w:p>
              </w:tc>
              <w:tc>
                <w:tcPr>
                  <w:tcW w:w="7874" w:type="dxa"/>
                  <w:shd w:val="clear" w:color="auto" w:fill="auto"/>
                </w:tcPr>
                <w:p>
                  <w:pPr>
                    <w:spacing w:line="240" w:lineRule="auto"/>
                    <w:ind w:firstLine="0" w:firstLineChars="0"/>
                    <w:rPr>
                      <w:color w:val="000000" w:themeColor="text1"/>
                      <w:sz w:val="21"/>
                      <w:szCs w:val="21"/>
                    </w:rPr>
                  </w:pPr>
                  <w:r>
                    <w:rPr>
                      <w:rFonts w:hint="eastAsia"/>
                      <w:color w:val="000000" w:themeColor="text1"/>
                      <w:sz w:val="21"/>
                      <w:szCs w:val="21"/>
                    </w:rPr>
                    <w:t>其他情况</w:t>
                  </w:r>
                </w:p>
              </w:tc>
            </w:tr>
          </w:tbl>
          <w:p>
            <w:pPr>
              <w:snapToGrid w:val="0"/>
              <w:ind w:firstLine="482"/>
              <w:jc w:val="center"/>
              <w:rPr>
                <w:b/>
                <w:color w:val="000000" w:themeColor="text1"/>
                <w:szCs w:val="21"/>
              </w:rPr>
            </w:pPr>
            <w:r>
              <w:rPr>
                <w:rFonts w:hint="eastAsia"/>
                <w:b/>
                <w:color w:val="000000" w:themeColor="text1"/>
                <w:szCs w:val="21"/>
              </w:rPr>
              <w:t>表7-1</w:t>
            </w:r>
            <w:r>
              <w:rPr>
                <w:rFonts w:hint="eastAsia"/>
                <w:b/>
                <w:color w:val="000000" w:themeColor="text1"/>
                <w:szCs w:val="21"/>
                <w:lang w:val="en-US" w:eastAsia="zh-CN"/>
              </w:rPr>
              <w:t>4</w:t>
            </w:r>
            <w:r>
              <w:rPr>
                <w:rFonts w:hint="eastAsia"/>
                <w:b/>
                <w:color w:val="000000" w:themeColor="text1"/>
                <w:szCs w:val="21"/>
              </w:rPr>
              <w:t xml:space="preserve">  污染影响型评价工作等级划分表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693"/>
              <w:gridCol w:w="694"/>
              <w:gridCol w:w="695"/>
              <w:gridCol w:w="694"/>
              <w:gridCol w:w="695"/>
              <w:gridCol w:w="695"/>
              <w:gridCol w:w="694"/>
              <w:gridCol w:w="69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6" w:type="dxa"/>
                  <w:vMerge w:val="restart"/>
                  <w:shd w:val="clear" w:color="auto" w:fill="auto"/>
                </w:tcPr>
                <w:p>
                  <w:pPr>
                    <w:spacing w:line="240" w:lineRule="auto"/>
                    <w:ind w:firstLine="0" w:firstLineChars="0"/>
                    <w:jc w:val="center"/>
                    <w:rPr>
                      <w:b/>
                      <w:color w:val="000000" w:themeColor="text1"/>
                      <w:sz w:val="21"/>
                      <w:szCs w:val="21"/>
                    </w:rPr>
                  </w:pPr>
                  <w:r>
                    <w:rPr>
                      <w:b/>
                      <w:color w:val="000000" w:themeColor="text1"/>
                      <w:sz w:val="21"/>
                      <w:szCs w:val="21"/>
                    </w:rPr>
                    <w:pict>
                      <v:shape id="AutoShape 16" o:spid="_x0000_s1026" o:spt="32" type="#_x0000_t32" style="position:absolute;left:0pt;margin-left:18.95pt;margin-top:1.05pt;height:57pt;width:78.8pt;z-index:251657216;mso-width-relative:page;mso-height-relative:page;" filled="f" coordsize="21600,21600" o:gfxdata="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u3vr9YAAAAIAQAADwAAAAAA&#10;AAABACAAAAAiAAAAZHJzL2Rvd25yZXYueG1sUEsBAhQAFAAAAAgAh07iQOJvCSPcAQAAuAMAAA4A&#10;AAAAAAAAAQAgAAAAJQEAAGRycy9lMm9Eb2MueG1sUEsFBgAAAAAGAAYAWQEAAHMFAAAAAA==&#10;">
                        <v:path arrowok="t"/>
                        <v:fill on="f" focussize="0,0"/>
                        <v:stroke weight="0.25pt"/>
                        <v:imagedata o:title=""/>
                        <o:lock v:ext="edit"/>
                      </v:shape>
                    </w:pict>
                  </w:r>
                  <w:r>
                    <w:rPr>
                      <w:rFonts w:hint="eastAsia"/>
                      <w:b/>
                      <w:color w:val="000000" w:themeColor="text1"/>
                      <w:sz w:val="21"/>
                      <w:szCs w:val="21"/>
                    </w:rPr>
                    <w:t xml:space="preserve">       占地规模</w:t>
                  </w:r>
                </w:p>
                <w:p>
                  <w:pPr>
                    <w:spacing w:line="240" w:lineRule="auto"/>
                    <w:ind w:firstLine="0" w:firstLineChars="0"/>
                    <w:rPr>
                      <w:b/>
                      <w:color w:val="000000" w:themeColor="text1"/>
                      <w:sz w:val="21"/>
                      <w:szCs w:val="21"/>
                    </w:rPr>
                  </w:pPr>
                  <w:r>
                    <w:rPr>
                      <w:b/>
                      <w:color w:val="000000" w:themeColor="text1"/>
                      <w:sz w:val="21"/>
                      <w:szCs w:val="21"/>
                    </w:rPr>
                    <w:pict>
                      <v:shape id="AutoShape 17" o:spid="_x0000_s1027" o:spt="32" type="#_x0000_t32" style="position:absolute;left:0pt;margin-left:-5pt;margin-top:12.95pt;height:33.4pt;width:102pt;z-index:251658240;mso-width-relative:page;mso-height-relative:page;" filled="f" coordsize="21600,21600" o:gfxdata="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Ex5I2AAAAAkBAAAPAAAA&#10;AAAAAAEAIAAAACIAAABkcnMvZG93bnJldi54bWxQSwECFAAUAAAACACHTuJAGZzPMtwBAAC4AwAA&#10;DgAAAAAAAAABACAAAAAnAQAAZHJzL2Uyb0RvYy54bWxQSwUGAAAAAAYABgBZAQAAdQUAAAAA&#10;">
                        <v:path arrowok="t"/>
                        <v:fill on="f" focussize="0,0"/>
                        <v:stroke weight="0.25pt"/>
                        <v:imagedata o:title=""/>
                        <o:lock v:ext="edit"/>
                      </v:shape>
                    </w:pict>
                  </w:r>
                  <w:r>
                    <w:rPr>
                      <w:rFonts w:hint="eastAsia"/>
                      <w:b/>
                      <w:color w:val="000000" w:themeColor="text1"/>
                      <w:sz w:val="21"/>
                      <w:szCs w:val="21"/>
                    </w:rPr>
                    <w:t>评价工作等级</w:t>
                  </w:r>
                </w:p>
                <w:p>
                  <w:pPr>
                    <w:spacing w:line="240" w:lineRule="auto"/>
                    <w:ind w:firstLine="0" w:firstLineChars="0"/>
                    <w:rPr>
                      <w:b/>
                      <w:color w:val="000000" w:themeColor="text1"/>
                      <w:sz w:val="21"/>
                      <w:szCs w:val="21"/>
                    </w:rPr>
                  </w:pPr>
                </w:p>
                <w:p>
                  <w:pPr>
                    <w:spacing w:line="240" w:lineRule="auto"/>
                    <w:ind w:firstLine="0" w:firstLineChars="0"/>
                    <w:rPr>
                      <w:b/>
                      <w:color w:val="000000" w:themeColor="text1"/>
                      <w:sz w:val="21"/>
                      <w:szCs w:val="21"/>
                    </w:rPr>
                  </w:pPr>
                  <w:r>
                    <w:rPr>
                      <w:rFonts w:hint="eastAsia"/>
                      <w:b/>
                      <w:color w:val="000000" w:themeColor="text1"/>
                      <w:sz w:val="21"/>
                      <w:szCs w:val="21"/>
                    </w:rPr>
                    <w:t>敏感程度</w:t>
                  </w:r>
                </w:p>
              </w:tc>
              <w:tc>
                <w:tcPr>
                  <w:tcW w:w="2082" w:type="dxa"/>
                  <w:gridSpan w:val="3"/>
                  <w:shd w:val="clear" w:color="auto" w:fill="auto"/>
                </w:tcPr>
                <w:p>
                  <w:pPr>
                    <w:spacing w:line="240" w:lineRule="auto"/>
                    <w:ind w:firstLine="0" w:firstLineChars="0"/>
                    <w:jc w:val="center"/>
                    <w:rPr>
                      <w:b/>
                      <w:color w:val="000000" w:themeColor="text1"/>
                      <w:sz w:val="21"/>
                      <w:szCs w:val="21"/>
                    </w:rPr>
                  </w:pPr>
                  <w:r>
                    <w:rPr>
                      <w:rFonts w:hint="eastAsia"/>
                      <w:b/>
                      <w:color w:val="000000" w:themeColor="text1"/>
                      <w:sz w:val="21"/>
                      <w:szCs w:val="21"/>
                    </w:rPr>
                    <w:t>I类</w:t>
                  </w:r>
                </w:p>
              </w:tc>
              <w:tc>
                <w:tcPr>
                  <w:tcW w:w="2084" w:type="dxa"/>
                  <w:gridSpan w:val="3"/>
                  <w:shd w:val="clear" w:color="auto" w:fill="auto"/>
                </w:tcPr>
                <w:p>
                  <w:pPr>
                    <w:spacing w:line="240" w:lineRule="auto"/>
                    <w:ind w:firstLine="0" w:firstLineChars="0"/>
                    <w:jc w:val="center"/>
                    <w:rPr>
                      <w:b/>
                      <w:color w:val="000000" w:themeColor="text1"/>
                      <w:sz w:val="21"/>
                      <w:szCs w:val="21"/>
                    </w:rPr>
                  </w:pPr>
                  <w:r>
                    <w:rPr>
                      <w:rFonts w:hint="eastAsia"/>
                      <w:b/>
                      <w:color w:val="000000" w:themeColor="text1"/>
                      <w:sz w:val="21"/>
                      <w:szCs w:val="21"/>
                    </w:rPr>
                    <w:t>II类</w:t>
                  </w:r>
                </w:p>
              </w:tc>
              <w:tc>
                <w:tcPr>
                  <w:tcW w:w="2084" w:type="dxa"/>
                  <w:gridSpan w:val="3"/>
                  <w:shd w:val="clear" w:color="auto" w:fill="auto"/>
                </w:tcPr>
                <w:p>
                  <w:pPr>
                    <w:spacing w:line="240" w:lineRule="auto"/>
                    <w:ind w:firstLine="0" w:firstLineChars="0"/>
                    <w:jc w:val="center"/>
                    <w:rPr>
                      <w:b/>
                      <w:color w:val="000000" w:themeColor="text1"/>
                      <w:sz w:val="21"/>
                      <w:szCs w:val="21"/>
                    </w:rPr>
                  </w:pPr>
                  <w:r>
                    <w:rPr>
                      <w:rFonts w:hint="eastAsia"/>
                      <w:b/>
                      <w:color w:val="000000" w:themeColor="text1"/>
                      <w:sz w:val="21"/>
                      <w:szCs w:val="21"/>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2046" w:type="dxa"/>
                  <w:vMerge w:val="continue"/>
                  <w:shd w:val="clear" w:color="auto" w:fill="auto"/>
                </w:tcPr>
                <w:p>
                  <w:pPr>
                    <w:spacing w:line="240" w:lineRule="auto"/>
                    <w:ind w:firstLine="0" w:firstLineChars="0"/>
                    <w:jc w:val="center"/>
                    <w:rPr>
                      <w:b/>
                      <w:color w:val="000000" w:themeColor="text1"/>
                      <w:sz w:val="21"/>
                      <w:szCs w:val="21"/>
                    </w:rPr>
                  </w:pPr>
                </w:p>
              </w:tc>
              <w:tc>
                <w:tcPr>
                  <w:tcW w:w="693" w:type="dxa"/>
                  <w:shd w:val="clear" w:color="auto" w:fill="auto"/>
                </w:tcPr>
                <w:p>
                  <w:pPr>
                    <w:spacing w:before="312" w:beforeLines="100" w:line="240" w:lineRule="auto"/>
                    <w:ind w:firstLine="0" w:firstLineChars="0"/>
                    <w:jc w:val="center"/>
                    <w:rPr>
                      <w:b/>
                      <w:color w:val="000000" w:themeColor="text1"/>
                      <w:sz w:val="21"/>
                      <w:szCs w:val="21"/>
                    </w:rPr>
                  </w:pPr>
                  <w:r>
                    <w:rPr>
                      <w:rFonts w:hint="eastAsia"/>
                      <w:b/>
                      <w:color w:val="000000" w:themeColor="text1"/>
                      <w:sz w:val="21"/>
                      <w:szCs w:val="21"/>
                    </w:rPr>
                    <w:t>大</w:t>
                  </w:r>
                </w:p>
              </w:tc>
              <w:tc>
                <w:tcPr>
                  <w:tcW w:w="694" w:type="dxa"/>
                  <w:shd w:val="clear" w:color="auto" w:fill="auto"/>
                </w:tcPr>
                <w:p>
                  <w:pPr>
                    <w:spacing w:before="312" w:beforeLines="100" w:line="240" w:lineRule="auto"/>
                    <w:ind w:firstLine="0" w:firstLineChars="0"/>
                    <w:jc w:val="center"/>
                    <w:rPr>
                      <w:b/>
                      <w:color w:val="000000" w:themeColor="text1"/>
                      <w:sz w:val="21"/>
                      <w:szCs w:val="21"/>
                    </w:rPr>
                  </w:pPr>
                  <w:r>
                    <w:rPr>
                      <w:rFonts w:hint="eastAsia"/>
                      <w:b/>
                      <w:color w:val="000000" w:themeColor="text1"/>
                      <w:sz w:val="21"/>
                      <w:szCs w:val="21"/>
                    </w:rPr>
                    <w:t>中</w:t>
                  </w:r>
                </w:p>
              </w:tc>
              <w:tc>
                <w:tcPr>
                  <w:tcW w:w="695" w:type="dxa"/>
                  <w:shd w:val="clear" w:color="auto" w:fill="auto"/>
                </w:tcPr>
                <w:p>
                  <w:pPr>
                    <w:spacing w:before="312" w:beforeLines="100" w:line="240" w:lineRule="auto"/>
                    <w:ind w:firstLine="0" w:firstLineChars="0"/>
                    <w:jc w:val="center"/>
                    <w:rPr>
                      <w:b/>
                      <w:color w:val="000000" w:themeColor="text1"/>
                      <w:sz w:val="21"/>
                      <w:szCs w:val="21"/>
                    </w:rPr>
                  </w:pPr>
                  <w:r>
                    <w:rPr>
                      <w:rFonts w:hint="eastAsia"/>
                      <w:b/>
                      <w:color w:val="000000" w:themeColor="text1"/>
                      <w:sz w:val="21"/>
                      <w:szCs w:val="21"/>
                    </w:rPr>
                    <w:t>小</w:t>
                  </w:r>
                </w:p>
              </w:tc>
              <w:tc>
                <w:tcPr>
                  <w:tcW w:w="694" w:type="dxa"/>
                  <w:shd w:val="clear" w:color="auto" w:fill="auto"/>
                </w:tcPr>
                <w:p>
                  <w:pPr>
                    <w:spacing w:before="312" w:beforeLines="100" w:line="240" w:lineRule="auto"/>
                    <w:ind w:firstLine="0" w:firstLineChars="0"/>
                    <w:jc w:val="center"/>
                    <w:rPr>
                      <w:b/>
                      <w:color w:val="000000" w:themeColor="text1"/>
                      <w:sz w:val="21"/>
                      <w:szCs w:val="21"/>
                    </w:rPr>
                  </w:pPr>
                  <w:r>
                    <w:rPr>
                      <w:rFonts w:hint="eastAsia"/>
                      <w:b/>
                      <w:color w:val="000000" w:themeColor="text1"/>
                      <w:sz w:val="21"/>
                      <w:szCs w:val="21"/>
                    </w:rPr>
                    <w:t>大</w:t>
                  </w:r>
                </w:p>
              </w:tc>
              <w:tc>
                <w:tcPr>
                  <w:tcW w:w="695" w:type="dxa"/>
                  <w:shd w:val="clear" w:color="auto" w:fill="auto"/>
                </w:tcPr>
                <w:p>
                  <w:pPr>
                    <w:spacing w:before="312" w:beforeLines="100" w:line="240" w:lineRule="auto"/>
                    <w:ind w:firstLine="0" w:firstLineChars="0"/>
                    <w:jc w:val="center"/>
                    <w:rPr>
                      <w:b/>
                      <w:color w:val="000000" w:themeColor="text1"/>
                      <w:sz w:val="21"/>
                      <w:szCs w:val="21"/>
                    </w:rPr>
                  </w:pPr>
                  <w:r>
                    <w:rPr>
                      <w:rFonts w:hint="eastAsia"/>
                      <w:b/>
                      <w:color w:val="000000" w:themeColor="text1"/>
                      <w:sz w:val="21"/>
                      <w:szCs w:val="21"/>
                    </w:rPr>
                    <w:t>中</w:t>
                  </w:r>
                </w:p>
              </w:tc>
              <w:tc>
                <w:tcPr>
                  <w:tcW w:w="695" w:type="dxa"/>
                  <w:shd w:val="clear" w:color="auto" w:fill="auto"/>
                </w:tcPr>
                <w:p>
                  <w:pPr>
                    <w:spacing w:before="312" w:beforeLines="100" w:line="240" w:lineRule="auto"/>
                    <w:ind w:firstLine="0" w:firstLineChars="0"/>
                    <w:jc w:val="center"/>
                    <w:rPr>
                      <w:b/>
                      <w:color w:val="000000" w:themeColor="text1"/>
                      <w:sz w:val="21"/>
                      <w:szCs w:val="21"/>
                    </w:rPr>
                  </w:pPr>
                  <w:r>
                    <w:rPr>
                      <w:rFonts w:hint="eastAsia"/>
                      <w:b/>
                      <w:color w:val="000000" w:themeColor="text1"/>
                      <w:sz w:val="21"/>
                      <w:szCs w:val="21"/>
                    </w:rPr>
                    <w:t>小</w:t>
                  </w:r>
                </w:p>
              </w:tc>
              <w:tc>
                <w:tcPr>
                  <w:tcW w:w="694" w:type="dxa"/>
                  <w:shd w:val="clear" w:color="auto" w:fill="auto"/>
                </w:tcPr>
                <w:p>
                  <w:pPr>
                    <w:spacing w:before="312" w:beforeLines="100" w:line="240" w:lineRule="auto"/>
                    <w:ind w:firstLine="0" w:firstLineChars="0"/>
                    <w:jc w:val="center"/>
                    <w:rPr>
                      <w:b/>
                      <w:color w:val="000000" w:themeColor="text1"/>
                      <w:sz w:val="21"/>
                      <w:szCs w:val="21"/>
                    </w:rPr>
                  </w:pPr>
                  <w:r>
                    <w:rPr>
                      <w:rFonts w:hint="eastAsia"/>
                      <w:b/>
                      <w:color w:val="000000" w:themeColor="text1"/>
                      <w:sz w:val="21"/>
                      <w:szCs w:val="21"/>
                    </w:rPr>
                    <w:t>大</w:t>
                  </w:r>
                </w:p>
              </w:tc>
              <w:tc>
                <w:tcPr>
                  <w:tcW w:w="695" w:type="dxa"/>
                  <w:shd w:val="clear" w:color="auto" w:fill="auto"/>
                </w:tcPr>
                <w:p>
                  <w:pPr>
                    <w:spacing w:before="312" w:beforeLines="100" w:line="240" w:lineRule="auto"/>
                    <w:ind w:firstLine="0" w:firstLineChars="0"/>
                    <w:jc w:val="center"/>
                    <w:rPr>
                      <w:b/>
                      <w:color w:val="000000" w:themeColor="text1"/>
                      <w:sz w:val="21"/>
                      <w:szCs w:val="21"/>
                    </w:rPr>
                  </w:pPr>
                  <w:r>
                    <w:rPr>
                      <w:rFonts w:hint="eastAsia"/>
                      <w:b/>
                      <w:color w:val="000000" w:themeColor="text1"/>
                      <w:sz w:val="21"/>
                      <w:szCs w:val="21"/>
                    </w:rPr>
                    <w:t>中</w:t>
                  </w:r>
                </w:p>
              </w:tc>
              <w:tc>
                <w:tcPr>
                  <w:tcW w:w="695" w:type="dxa"/>
                  <w:shd w:val="clear" w:color="auto" w:fill="auto"/>
                </w:tcPr>
                <w:p>
                  <w:pPr>
                    <w:spacing w:before="312" w:beforeLines="100" w:line="240" w:lineRule="auto"/>
                    <w:ind w:firstLine="0" w:firstLineChars="0"/>
                    <w:jc w:val="center"/>
                    <w:rPr>
                      <w:b/>
                      <w:color w:val="000000" w:themeColor="text1"/>
                      <w:sz w:val="21"/>
                      <w:szCs w:val="21"/>
                    </w:rPr>
                  </w:pPr>
                  <w:r>
                    <w:rPr>
                      <w:rFonts w:hint="eastAsia"/>
                      <w:b/>
                      <w:color w:val="000000" w:themeColor="text1"/>
                      <w:sz w:val="21"/>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6"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敏感</w:t>
                  </w:r>
                </w:p>
              </w:tc>
              <w:tc>
                <w:tcPr>
                  <w:tcW w:w="693"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一级</w:t>
                  </w:r>
                </w:p>
              </w:tc>
              <w:tc>
                <w:tcPr>
                  <w:tcW w:w="694"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一级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一级</w:t>
                  </w:r>
                </w:p>
              </w:tc>
              <w:tc>
                <w:tcPr>
                  <w:tcW w:w="694"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二级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二级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二级</w:t>
                  </w:r>
                </w:p>
              </w:tc>
              <w:tc>
                <w:tcPr>
                  <w:tcW w:w="694"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三级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三级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6"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较敏感</w:t>
                  </w:r>
                </w:p>
              </w:tc>
              <w:tc>
                <w:tcPr>
                  <w:tcW w:w="693"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一级</w:t>
                  </w:r>
                </w:p>
              </w:tc>
              <w:tc>
                <w:tcPr>
                  <w:tcW w:w="694"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一级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二级</w:t>
                  </w:r>
                </w:p>
              </w:tc>
              <w:tc>
                <w:tcPr>
                  <w:tcW w:w="694"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二级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二级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三级</w:t>
                  </w:r>
                </w:p>
              </w:tc>
              <w:tc>
                <w:tcPr>
                  <w:tcW w:w="694"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三级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三级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6"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不敏感</w:t>
                  </w:r>
                </w:p>
              </w:tc>
              <w:tc>
                <w:tcPr>
                  <w:tcW w:w="693"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一级</w:t>
                  </w:r>
                </w:p>
              </w:tc>
              <w:tc>
                <w:tcPr>
                  <w:tcW w:w="694"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二级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二级</w:t>
                  </w:r>
                </w:p>
              </w:tc>
              <w:tc>
                <w:tcPr>
                  <w:tcW w:w="694"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二级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三级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三级</w:t>
                  </w:r>
                </w:p>
              </w:tc>
              <w:tc>
                <w:tcPr>
                  <w:tcW w:w="694"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三级</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w:t>
                  </w:r>
                </w:p>
              </w:tc>
              <w:tc>
                <w:tcPr>
                  <w:tcW w:w="695" w:type="dxa"/>
                  <w:shd w:val="clear" w:color="auto" w:fill="auto"/>
                </w:tcPr>
                <w:p>
                  <w:pPr>
                    <w:spacing w:line="240" w:lineRule="auto"/>
                    <w:ind w:firstLine="0" w:firstLineChars="0"/>
                    <w:jc w:val="center"/>
                    <w:rPr>
                      <w:color w:val="000000" w:themeColor="text1"/>
                      <w:sz w:val="21"/>
                      <w:szCs w:val="21"/>
                    </w:rPr>
                  </w:pPr>
                  <w:r>
                    <w:rPr>
                      <w:rFonts w:hint="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10"/>
                  <w:shd w:val="clear" w:color="auto" w:fill="auto"/>
                </w:tcPr>
                <w:p>
                  <w:pPr>
                    <w:spacing w:line="240" w:lineRule="auto"/>
                    <w:ind w:firstLine="0" w:firstLineChars="0"/>
                    <w:jc w:val="left"/>
                    <w:rPr>
                      <w:color w:val="000000" w:themeColor="text1"/>
                      <w:sz w:val="21"/>
                      <w:szCs w:val="21"/>
                    </w:rPr>
                  </w:pPr>
                  <w:r>
                    <w:rPr>
                      <w:rFonts w:hint="eastAsia"/>
                      <w:color w:val="000000" w:themeColor="text1"/>
                      <w:sz w:val="21"/>
                      <w:szCs w:val="21"/>
                    </w:rPr>
                    <w:t>注：“-”表示可不开展土壤环境影响评价工作。</w:t>
                  </w:r>
                </w:p>
              </w:tc>
            </w:tr>
          </w:tbl>
          <w:p>
            <w:pPr>
              <w:adjustRightInd w:val="0"/>
              <w:snapToGrid w:val="0"/>
              <w:spacing w:before="156" w:beforeLines="50"/>
              <w:ind w:firstLine="480"/>
              <w:rPr>
                <w:color w:val="000000" w:themeColor="text1"/>
                <w:kern w:val="0"/>
              </w:rPr>
            </w:pPr>
            <w:r>
              <w:rPr>
                <w:rFonts w:hint="eastAsia"/>
                <w:color w:val="000000" w:themeColor="text1"/>
              </w:rPr>
              <w:t>根据工程分析，项目建成后工程占地均为永久占地，占地面积为</w:t>
            </w:r>
            <w:r>
              <w:rPr>
                <w:rFonts w:hint="eastAsia"/>
                <w:bCs/>
              </w:rPr>
              <w:t>2150</w:t>
            </w:r>
            <w:r>
              <w:rPr>
                <w:rFonts w:hint="eastAsia"/>
                <w:color w:val="000000" w:themeColor="text1"/>
              </w:rPr>
              <w:t>m</w:t>
            </w:r>
            <w:r>
              <w:rPr>
                <w:rFonts w:hint="eastAsia"/>
                <w:color w:val="000000" w:themeColor="text1"/>
                <w:vertAlign w:val="superscript"/>
              </w:rPr>
              <w:t>2</w:t>
            </w:r>
            <w:r>
              <w:rPr>
                <w:rFonts w:hint="eastAsia"/>
                <w:color w:val="000000" w:themeColor="text1"/>
              </w:rPr>
              <w:t>，占地规模小于5hm</w:t>
            </w:r>
            <w:r>
              <w:rPr>
                <w:rFonts w:hint="eastAsia"/>
                <w:color w:val="000000" w:themeColor="text1"/>
                <w:vertAlign w:val="superscript"/>
              </w:rPr>
              <w:t>2</w:t>
            </w:r>
            <w:r>
              <w:rPr>
                <w:rFonts w:hint="eastAsia"/>
                <w:color w:val="000000" w:themeColor="text1"/>
              </w:rPr>
              <w:t>，属小型。此外，项目区周边多为林地，石材厂用地为建设用地，周边土壤属于“不敏感”。因此，结合表7-1</w:t>
            </w:r>
            <w:r>
              <w:rPr>
                <w:rFonts w:hint="eastAsia"/>
                <w:color w:val="000000" w:themeColor="text1"/>
                <w:lang w:val="en-US" w:eastAsia="zh-CN"/>
              </w:rPr>
              <w:t>3</w:t>
            </w:r>
            <w:r>
              <w:rPr>
                <w:rFonts w:hint="eastAsia"/>
                <w:color w:val="000000" w:themeColor="text1"/>
              </w:rPr>
              <w:t>、表7-1</w:t>
            </w:r>
            <w:r>
              <w:rPr>
                <w:rFonts w:hint="eastAsia"/>
                <w:color w:val="000000" w:themeColor="text1"/>
                <w:lang w:val="en-US" w:eastAsia="zh-CN"/>
              </w:rPr>
              <w:t>4</w:t>
            </w:r>
            <w:r>
              <w:rPr>
                <w:rFonts w:hint="eastAsia"/>
                <w:color w:val="000000" w:themeColor="text1"/>
              </w:rPr>
              <w:t>分析，本项目</w:t>
            </w:r>
            <w:r>
              <w:rPr>
                <w:rFonts w:hint="eastAsia"/>
                <w:color w:val="000000" w:themeColor="text1"/>
                <w:kern w:val="0"/>
              </w:rPr>
              <w:t>不开展土壤环境影响评价。</w:t>
            </w:r>
          </w:p>
          <w:p>
            <w:pPr>
              <w:numPr>
                <w:ilvl w:val="0"/>
                <w:numId w:val="2"/>
              </w:numPr>
              <w:adjustRightInd w:val="0"/>
              <w:snapToGrid w:val="0"/>
              <w:ind w:left="0" w:leftChars="0" w:firstLine="482" w:firstLineChars="200"/>
              <w:rPr>
                <w:rFonts w:hint="eastAsia"/>
                <w:b/>
                <w:color w:val="000000" w:themeColor="text1"/>
                <w:lang w:val="en-US" w:eastAsia="zh-CN"/>
              </w:rPr>
            </w:pPr>
            <w:r>
              <w:rPr>
                <w:rFonts w:hint="eastAsia"/>
                <w:b/>
                <w:color w:val="000000" w:themeColor="text1"/>
                <w:lang w:val="en-US" w:eastAsia="zh-CN"/>
              </w:rPr>
              <w:t>生态环境影响分析</w:t>
            </w:r>
          </w:p>
          <w:p>
            <w:pPr>
              <w:pStyle w:val="3"/>
              <w:ind w:firstLine="480"/>
              <w:rPr>
                <w:rFonts w:hint="eastAsia"/>
                <w:b w:val="0"/>
                <w:bCs w:val="0"/>
                <w:color w:val="auto"/>
                <w:lang w:val="en-US" w:eastAsia="zh-CN"/>
              </w:rPr>
            </w:pPr>
            <w:r>
              <w:rPr>
                <w:rFonts w:hint="eastAsia"/>
                <w:b w:val="0"/>
                <w:bCs w:val="0"/>
                <w:color w:val="auto"/>
              </w:rPr>
              <w:t>根据HJ</w:t>
            </w:r>
            <w:r>
              <w:rPr>
                <w:rFonts w:hint="eastAsia"/>
                <w:b w:val="0"/>
                <w:bCs w:val="0"/>
                <w:color w:val="auto"/>
                <w:lang w:val="en-US" w:eastAsia="zh-CN"/>
              </w:rPr>
              <w:t>19</w:t>
            </w:r>
            <w:r>
              <w:rPr>
                <w:rFonts w:hint="eastAsia"/>
                <w:b w:val="0"/>
                <w:bCs w:val="0"/>
                <w:color w:val="auto"/>
              </w:rPr>
              <w:t>-20</w:t>
            </w:r>
            <w:r>
              <w:rPr>
                <w:rFonts w:hint="eastAsia"/>
                <w:b w:val="0"/>
                <w:bCs w:val="0"/>
                <w:color w:val="auto"/>
                <w:lang w:val="en-US" w:eastAsia="zh-CN"/>
              </w:rPr>
              <w:t>11</w:t>
            </w:r>
            <w:r>
              <w:rPr>
                <w:rFonts w:hint="eastAsia"/>
                <w:b w:val="0"/>
                <w:bCs w:val="0"/>
                <w:color w:val="auto"/>
              </w:rPr>
              <w:t xml:space="preserve">《环境影响评价技术导则 </w:t>
            </w:r>
            <w:r>
              <w:rPr>
                <w:rFonts w:hint="eastAsia"/>
                <w:b w:val="0"/>
                <w:bCs w:val="0"/>
                <w:color w:val="auto"/>
                <w:lang w:eastAsia="zh-CN"/>
              </w:rPr>
              <w:t>生态</w:t>
            </w:r>
            <w:r>
              <w:rPr>
                <w:rFonts w:hint="eastAsia"/>
                <w:b w:val="0"/>
                <w:bCs w:val="0"/>
                <w:color w:val="auto"/>
              </w:rPr>
              <w:t>环境》</w:t>
            </w:r>
            <w:r>
              <w:rPr>
                <w:rFonts w:hint="eastAsia"/>
                <w:b w:val="0"/>
                <w:bCs w:val="0"/>
                <w:color w:val="auto"/>
                <w:lang w:eastAsia="zh-CN"/>
              </w:rPr>
              <w:t>，项目不属于特殊生态敏感区和重要生态敏感区，属于一般区域，</w:t>
            </w:r>
            <w:r>
              <w:rPr>
                <w:rFonts w:hint="eastAsia"/>
                <w:color w:val="auto"/>
                <w:lang w:eastAsia="zh-CN"/>
              </w:rPr>
              <w:t>项目不新增占地，利用石材厂原有预留用地，预留用地</w:t>
            </w:r>
            <w:r>
              <w:rPr>
                <w:rFonts w:hint="eastAsia"/>
                <w:color w:val="auto"/>
              </w:rPr>
              <w:t>面积为2150m</w:t>
            </w:r>
            <w:r>
              <w:rPr>
                <w:rFonts w:hint="eastAsia"/>
                <w:color w:val="auto"/>
                <w:vertAlign w:val="superscript"/>
              </w:rPr>
              <w:t>2</w:t>
            </w:r>
            <w:r>
              <w:rPr>
                <w:rFonts w:hint="eastAsia"/>
                <w:color w:val="auto"/>
              </w:rPr>
              <w:t>，</w:t>
            </w:r>
            <w:r>
              <w:rPr>
                <w:rFonts w:hint="eastAsia"/>
                <w:b w:val="0"/>
                <w:bCs w:val="0"/>
                <w:color w:val="auto"/>
              </w:rPr>
              <w:t>占地规模小于</w:t>
            </w:r>
            <w:r>
              <w:rPr>
                <w:rFonts w:hint="eastAsia"/>
                <w:b w:val="0"/>
                <w:bCs w:val="0"/>
                <w:color w:val="auto"/>
                <w:lang w:val="en-US" w:eastAsia="zh-CN"/>
              </w:rPr>
              <w:t>2</w:t>
            </w:r>
            <w:r>
              <w:rPr>
                <w:rFonts w:hint="eastAsia"/>
                <w:b w:val="0"/>
                <w:bCs w:val="0"/>
                <w:color w:val="auto"/>
              </w:rPr>
              <w:t>hm</w:t>
            </w:r>
            <w:r>
              <w:rPr>
                <w:rFonts w:hint="eastAsia"/>
                <w:b w:val="0"/>
                <w:bCs w:val="0"/>
                <w:color w:val="auto"/>
                <w:vertAlign w:val="superscript"/>
              </w:rPr>
              <w:t>2</w:t>
            </w:r>
            <w:r>
              <w:rPr>
                <w:rFonts w:hint="eastAsia"/>
                <w:b w:val="0"/>
                <w:bCs w:val="0"/>
                <w:color w:val="auto"/>
                <w:lang w:eastAsia="zh-CN"/>
              </w:rPr>
              <w:t>。</w:t>
            </w:r>
            <w:r>
              <w:rPr>
                <w:rFonts w:hint="eastAsia"/>
                <w:b w:val="0"/>
                <w:bCs w:val="0"/>
                <w:color w:val="auto"/>
              </w:rPr>
              <w:t>污染影响型</w:t>
            </w:r>
            <w:r>
              <w:rPr>
                <w:rFonts w:hint="eastAsia"/>
                <w:b w:val="0"/>
                <w:bCs w:val="0"/>
                <w:color w:val="auto"/>
                <w:lang w:eastAsia="zh-CN"/>
              </w:rPr>
              <w:t>生态</w:t>
            </w:r>
            <w:r>
              <w:rPr>
                <w:rFonts w:hint="eastAsia"/>
                <w:b w:val="0"/>
                <w:bCs w:val="0"/>
                <w:color w:val="auto"/>
              </w:rPr>
              <w:t>环境评价等级判断依据见表7-1</w:t>
            </w:r>
            <w:r>
              <w:rPr>
                <w:rFonts w:hint="eastAsia"/>
                <w:b w:val="0"/>
                <w:bCs w:val="0"/>
                <w:color w:val="auto"/>
                <w:lang w:val="en-US" w:eastAsia="zh-CN"/>
              </w:rPr>
              <w:t>5。</w:t>
            </w:r>
          </w:p>
          <w:p>
            <w:pPr>
              <w:pStyle w:val="3"/>
              <w:ind w:firstLine="480"/>
              <w:jc w:val="center"/>
              <w:rPr>
                <w:rFonts w:hint="eastAsia"/>
                <w:b w:val="0"/>
                <w:bCs w:val="0"/>
                <w:color w:val="auto"/>
                <w:lang w:eastAsia="zh-CN"/>
              </w:rPr>
            </w:pPr>
            <w:r>
              <w:rPr>
                <w:rFonts w:hint="eastAsia"/>
                <w:b w:val="0"/>
                <w:bCs w:val="0"/>
                <w:color w:val="auto"/>
              </w:rPr>
              <w:t>表7-1</w:t>
            </w:r>
            <w:r>
              <w:rPr>
                <w:rFonts w:hint="eastAsia"/>
                <w:b w:val="0"/>
                <w:bCs w:val="0"/>
                <w:color w:val="auto"/>
                <w:lang w:val="en-US" w:eastAsia="zh-CN"/>
              </w:rPr>
              <w:t>5   生态影响评价工作等级划分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3"/>
              <w:gridCol w:w="207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影响区域生态敏感性</w:t>
                  </w:r>
                </w:p>
              </w:tc>
              <w:tc>
                <w:tcPr>
                  <w:tcW w:w="6222" w:type="dxa"/>
                  <w:gridSpan w:val="3"/>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工程占地（含水域）范围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p>
              </w:tc>
              <w:tc>
                <w:tcPr>
                  <w:tcW w:w="2073"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superscript"/>
                      <w:lang w:val="en-US" w:eastAsia="zh-CN"/>
                    </w:rPr>
                  </w:pPr>
                  <w:r>
                    <w:rPr>
                      <w:rFonts w:hint="eastAsia"/>
                      <w:b w:val="0"/>
                      <w:bCs w:val="0"/>
                      <w:color w:val="auto"/>
                      <w:sz w:val="21"/>
                      <w:szCs w:val="21"/>
                      <w:vertAlign w:val="baseline"/>
                      <w:lang w:eastAsia="zh-CN"/>
                    </w:rPr>
                    <w:t>面积≥</w:t>
                  </w:r>
                  <w:r>
                    <w:rPr>
                      <w:rFonts w:hint="eastAsia"/>
                      <w:b w:val="0"/>
                      <w:bCs w:val="0"/>
                      <w:color w:val="auto"/>
                      <w:sz w:val="21"/>
                      <w:szCs w:val="21"/>
                      <w:vertAlign w:val="baseline"/>
                      <w:lang w:val="en-US" w:eastAsia="zh-CN"/>
                    </w:rPr>
                    <w:t>20km</w:t>
                  </w:r>
                  <w:r>
                    <w:rPr>
                      <w:rFonts w:hint="eastAsia"/>
                      <w:b w:val="0"/>
                      <w:bCs w:val="0"/>
                      <w:color w:val="auto"/>
                      <w:sz w:val="21"/>
                      <w:szCs w:val="21"/>
                      <w:vertAlign w:val="superscript"/>
                      <w:lang w:val="en-US" w:eastAsia="zh-CN"/>
                    </w:rPr>
                    <w:t>2</w:t>
                  </w:r>
                </w:p>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或长度≥100km</w:t>
                  </w:r>
                </w:p>
              </w:tc>
              <w:tc>
                <w:tcPr>
                  <w:tcW w:w="2074"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eastAsia="zh-CN"/>
                    </w:rPr>
                    <w:t>面积</w:t>
                  </w:r>
                  <w:r>
                    <w:rPr>
                      <w:rFonts w:hint="eastAsia"/>
                      <w:b w:val="0"/>
                      <w:bCs w:val="0"/>
                      <w:color w:val="auto"/>
                      <w:sz w:val="21"/>
                      <w:szCs w:val="21"/>
                      <w:vertAlign w:val="baseline"/>
                      <w:lang w:val="en-US" w:eastAsia="zh-CN"/>
                    </w:rPr>
                    <w:t>2-20km</w:t>
                  </w:r>
                  <w:r>
                    <w:rPr>
                      <w:rFonts w:hint="eastAsia"/>
                      <w:b w:val="0"/>
                      <w:bCs w:val="0"/>
                      <w:color w:val="auto"/>
                      <w:sz w:val="21"/>
                      <w:szCs w:val="21"/>
                      <w:vertAlign w:val="superscript"/>
                      <w:lang w:val="en-US" w:eastAsia="zh-CN"/>
                    </w:rPr>
                    <w:t>2</w:t>
                  </w:r>
                </w:p>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val="en-US" w:eastAsia="zh-CN"/>
                    </w:rPr>
                    <w:t>或长度50-100km</w:t>
                  </w:r>
                </w:p>
              </w:tc>
              <w:tc>
                <w:tcPr>
                  <w:tcW w:w="2075"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eastAsia="zh-CN"/>
                    </w:rPr>
                    <w:t>面积≤</w:t>
                  </w:r>
                  <w:r>
                    <w:rPr>
                      <w:rFonts w:hint="eastAsia"/>
                      <w:b w:val="0"/>
                      <w:bCs w:val="0"/>
                      <w:color w:val="auto"/>
                      <w:sz w:val="21"/>
                      <w:szCs w:val="21"/>
                      <w:vertAlign w:val="baseline"/>
                      <w:lang w:val="en-US" w:eastAsia="zh-CN"/>
                    </w:rPr>
                    <w:t>20km</w:t>
                  </w:r>
                  <w:r>
                    <w:rPr>
                      <w:rFonts w:hint="eastAsia"/>
                      <w:b w:val="0"/>
                      <w:bCs w:val="0"/>
                      <w:color w:val="auto"/>
                      <w:sz w:val="21"/>
                      <w:szCs w:val="21"/>
                      <w:vertAlign w:val="superscript"/>
                      <w:lang w:val="en-US" w:eastAsia="zh-CN"/>
                    </w:rPr>
                    <w:t>2</w:t>
                  </w:r>
                </w:p>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val="en-US" w:eastAsia="zh-CN"/>
                    </w:rPr>
                    <w:t>或长度≤50km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特殊生态敏感区</w:t>
                  </w:r>
                </w:p>
              </w:tc>
              <w:tc>
                <w:tcPr>
                  <w:tcW w:w="2073"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一级</w:t>
                  </w:r>
                </w:p>
              </w:tc>
              <w:tc>
                <w:tcPr>
                  <w:tcW w:w="2074"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一级</w:t>
                  </w:r>
                </w:p>
              </w:tc>
              <w:tc>
                <w:tcPr>
                  <w:tcW w:w="2075"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重要生态敏感区</w:t>
                  </w:r>
                </w:p>
              </w:tc>
              <w:tc>
                <w:tcPr>
                  <w:tcW w:w="2073"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一级</w:t>
                  </w:r>
                </w:p>
              </w:tc>
              <w:tc>
                <w:tcPr>
                  <w:tcW w:w="2074"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二级</w:t>
                  </w:r>
                </w:p>
              </w:tc>
              <w:tc>
                <w:tcPr>
                  <w:tcW w:w="2075"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一般区域</w:t>
                  </w:r>
                </w:p>
              </w:tc>
              <w:tc>
                <w:tcPr>
                  <w:tcW w:w="2073"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二级</w:t>
                  </w:r>
                </w:p>
              </w:tc>
              <w:tc>
                <w:tcPr>
                  <w:tcW w:w="2074"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三级</w:t>
                  </w:r>
                </w:p>
              </w:tc>
              <w:tc>
                <w:tcPr>
                  <w:tcW w:w="2075" w:type="dxa"/>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eastAsia="zh-CN"/>
                    </w:rPr>
                  </w:pPr>
                  <w:r>
                    <w:rPr>
                      <w:rFonts w:hint="eastAsia"/>
                      <w:b w:val="0"/>
                      <w:bCs w:val="0"/>
                      <w:color w:val="auto"/>
                      <w:sz w:val="21"/>
                      <w:szCs w:val="21"/>
                      <w:vertAlign w:val="baseline"/>
                      <w:lang w:eastAsia="zh-CN"/>
                    </w:rPr>
                    <w:t>三级</w:t>
                  </w:r>
                </w:p>
              </w:tc>
            </w:tr>
          </w:tbl>
          <w:p>
            <w:pPr>
              <w:pStyle w:val="3"/>
              <w:ind w:firstLine="480"/>
              <w:rPr>
                <w:rFonts w:hint="eastAsia"/>
                <w:b w:val="0"/>
                <w:bCs w:val="0"/>
                <w:color w:val="auto"/>
                <w:lang w:val="en-US" w:eastAsia="zh-CN"/>
              </w:rPr>
            </w:pPr>
            <w:r>
              <w:rPr>
                <w:rFonts w:hint="eastAsia"/>
                <w:b w:val="0"/>
                <w:bCs w:val="0"/>
                <w:color w:val="auto"/>
                <w:lang w:eastAsia="zh-CN"/>
              </w:rPr>
              <w:t>由上表可知</w:t>
            </w:r>
            <w:r>
              <w:rPr>
                <w:rFonts w:hint="eastAsia"/>
                <w:b w:val="0"/>
                <w:bCs w:val="0"/>
                <w:color w:val="auto"/>
              </w:rPr>
              <w:t>，</w:t>
            </w:r>
            <w:r>
              <w:rPr>
                <w:rFonts w:hint="eastAsia"/>
                <w:b w:val="0"/>
                <w:bCs w:val="0"/>
                <w:color w:val="auto"/>
                <w:lang w:eastAsia="zh-CN"/>
              </w:rPr>
              <w:t>可知项目生态影响评价等级为</w:t>
            </w:r>
            <w:r>
              <w:rPr>
                <w:rFonts w:hint="eastAsia"/>
                <w:b w:val="0"/>
                <w:bCs w:val="0"/>
                <w:color w:val="auto"/>
                <w:lang w:val="en-US" w:eastAsia="zh-CN"/>
              </w:rPr>
              <w:t>三级，三级评价可充分借鉴已有资料进行说明。</w:t>
            </w:r>
          </w:p>
          <w:p>
            <w:pPr>
              <w:pStyle w:val="3"/>
              <w:bidi w:val="0"/>
              <w:rPr>
                <w:rFonts w:hint="eastAsia" w:hAnsi="宋体"/>
                <w:b w:val="0"/>
                <w:bCs w:val="0"/>
                <w:color w:val="auto"/>
                <w:lang w:eastAsia="zh-CN"/>
              </w:rPr>
            </w:pPr>
            <w:r>
              <w:rPr>
                <w:rFonts w:hint="eastAsia"/>
                <w:b w:val="0"/>
                <w:bCs w:val="0"/>
                <w:color w:val="auto"/>
                <w:highlight w:val="none"/>
                <w:lang w:eastAsia="zh-CN"/>
              </w:rPr>
              <w:t>根据现场踏勘及相关资料，</w:t>
            </w:r>
            <w:r>
              <w:rPr>
                <w:rFonts w:hint="eastAsia"/>
                <w:b w:val="0"/>
                <w:bCs w:val="0"/>
                <w:color w:val="auto"/>
                <w:highlight w:val="none"/>
              </w:rPr>
              <w:t>项目建设用地为石材厂的预留用地，</w:t>
            </w:r>
            <w:r>
              <w:rPr>
                <w:rFonts w:hint="eastAsia"/>
                <w:b w:val="0"/>
                <w:bCs w:val="0"/>
                <w:color w:val="auto"/>
                <w:highlight w:val="none"/>
                <w:lang w:eastAsia="zh-CN"/>
              </w:rPr>
              <w:t>不新增占地，</w:t>
            </w:r>
            <w:r>
              <w:rPr>
                <w:rFonts w:hint="eastAsia"/>
                <w:b w:val="0"/>
                <w:bCs w:val="0"/>
                <w:color w:val="auto"/>
                <w:highlight w:val="none"/>
              </w:rPr>
              <w:t>石</w:t>
            </w:r>
            <w:r>
              <w:rPr>
                <w:rFonts w:hint="eastAsia"/>
                <w:b w:val="0"/>
                <w:bCs w:val="0"/>
                <w:color w:val="auto"/>
              </w:rPr>
              <w:t>材厂已建成多年，所在区域受人为活动影响较为明显，区内没有野生动物栖息生存场所，区内野生动物的种类和数量均不丰富，多为常见种</w:t>
            </w:r>
            <w:r>
              <w:rPr>
                <w:rFonts w:hint="eastAsia" w:hAnsi="宋体"/>
                <w:b w:val="0"/>
                <w:bCs w:val="0"/>
                <w:color w:val="auto"/>
                <w:lang w:val="zh-CN"/>
              </w:rPr>
              <w:t>。</w:t>
            </w:r>
            <w:r>
              <w:rPr>
                <w:rFonts w:hint="eastAsia" w:hAnsi="宋体"/>
                <w:b w:val="0"/>
                <w:bCs w:val="0"/>
                <w:color w:val="auto"/>
              </w:rPr>
              <w:t>评价区未见有国家和省级重点保护野生动物分布，也未发现有狭域特有种分布</w:t>
            </w:r>
            <w:r>
              <w:rPr>
                <w:rFonts w:hint="eastAsia" w:hAnsi="宋体"/>
                <w:b w:val="0"/>
                <w:bCs w:val="0"/>
                <w:color w:val="auto"/>
                <w:lang w:eastAsia="zh-CN"/>
              </w:rPr>
              <w:t>。</w:t>
            </w:r>
          </w:p>
          <w:p>
            <w:pPr>
              <w:pStyle w:val="3"/>
              <w:bidi w:val="0"/>
              <w:rPr>
                <w:rFonts w:hint="eastAsia"/>
                <w:b w:val="0"/>
                <w:bCs w:val="0"/>
                <w:color w:val="auto"/>
                <w:lang w:val="en-US" w:eastAsia="zh-CN"/>
              </w:rPr>
            </w:pPr>
            <w:r>
              <w:rPr>
                <w:b w:val="0"/>
                <w:bCs w:val="0"/>
                <w:color w:val="auto"/>
              </w:rPr>
              <w:t>项目</w:t>
            </w:r>
            <w:r>
              <w:rPr>
                <w:rFonts w:hint="eastAsia"/>
                <w:b w:val="0"/>
                <w:bCs w:val="0"/>
                <w:color w:val="auto"/>
              </w:rPr>
              <w:t>主要生态影响集中在施工期，根据现场调查，项目施工期主要主要进行厂房厂区截排水沟及雨水收集池进行建设，</w:t>
            </w:r>
            <w:r>
              <w:rPr>
                <w:rFonts w:hint="eastAsia" w:hAnsi="宋体"/>
                <w:b w:val="0"/>
                <w:bCs w:val="0"/>
                <w:color w:val="auto"/>
              </w:rPr>
              <w:t>施工</w:t>
            </w:r>
            <w:r>
              <w:rPr>
                <w:rFonts w:hint="eastAsia" w:ascii="宋体" w:cs="宋体" w:hAnsiTheme="minorHAnsi"/>
                <w:b w:val="0"/>
                <w:bCs w:val="0"/>
                <w:color w:val="auto"/>
                <w:kern w:val="0"/>
              </w:rPr>
              <w:t>工程量较小，施工时间短，在落实好工程施工区域围挡、建筑物遮盖等措施的前提下，</w:t>
            </w:r>
            <w:r>
              <w:rPr>
                <w:rFonts w:hint="eastAsia"/>
                <w:b w:val="0"/>
                <w:bCs w:val="0"/>
                <w:color w:val="auto"/>
              </w:rPr>
              <w:t>项目施工期对周围生态环境影响小。</w:t>
            </w:r>
          </w:p>
          <w:p>
            <w:pPr>
              <w:adjustRightInd w:val="0"/>
              <w:snapToGrid w:val="0"/>
              <w:ind w:firstLine="482"/>
              <w:rPr>
                <w:b/>
                <w:color w:val="000000" w:themeColor="text1"/>
              </w:rPr>
            </w:pPr>
            <w:r>
              <w:rPr>
                <w:rFonts w:hint="eastAsia"/>
                <w:b/>
                <w:color w:val="000000" w:themeColor="text1"/>
              </w:rPr>
              <w:t>7、环境风险影响分析</w:t>
            </w:r>
          </w:p>
          <w:p>
            <w:pPr>
              <w:adjustRightInd w:val="0"/>
              <w:snapToGrid w:val="0"/>
              <w:ind w:firstLine="482"/>
              <w:rPr>
                <w:b/>
                <w:bCs/>
                <w:color w:val="000000" w:themeColor="text1"/>
              </w:rPr>
            </w:pPr>
            <w:r>
              <w:rPr>
                <w:rFonts w:hint="eastAsia"/>
                <w:b/>
                <w:bCs/>
                <w:color w:val="000000" w:themeColor="text1"/>
              </w:rPr>
              <w:t>（1）评价依据</w:t>
            </w:r>
          </w:p>
          <w:p>
            <w:pPr>
              <w:adjustRightInd w:val="0"/>
              <w:snapToGrid w:val="0"/>
              <w:ind w:firstLine="482"/>
              <w:rPr>
                <w:b/>
                <w:bCs/>
                <w:color w:val="000000" w:themeColor="text1"/>
              </w:rPr>
            </w:pPr>
            <w:r>
              <w:rPr>
                <w:rFonts w:hint="eastAsia"/>
                <w:b/>
                <w:bCs/>
                <w:color w:val="000000" w:themeColor="text1"/>
              </w:rPr>
              <w:t>①风险源调查</w:t>
            </w:r>
          </w:p>
          <w:p>
            <w:pPr>
              <w:adjustRightInd w:val="0"/>
              <w:snapToGrid w:val="0"/>
              <w:ind w:firstLine="480"/>
              <w:rPr>
                <w:bCs/>
                <w:color w:val="000000" w:themeColor="text1"/>
              </w:rPr>
            </w:pPr>
            <w:r>
              <w:rPr>
                <w:rFonts w:hint="eastAsia"/>
                <w:color w:val="000000" w:themeColor="text1"/>
              </w:rPr>
              <w:t>经查阅《建设项目环境风险评价技术导则》（HJ169-2018），该导则适用于“涉及有毒有害和易燃易爆危险物质生产、使用、储存（包括使用管线输运）的建设项目可能发生突发性事故（不包括人为破坏及自然灾害引发的事故）的环境风险评价”。因此，</w:t>
            </w:r>
            <w:r>
              <w:rPr>
                <w:bCs/>
                <w:color w:val="000000" w:themeColor="text1"/>
              </w:rPr>
              <w:t>本项目涉及的危险物质主要为废机油。废机油产生量约为</w:t>
            </w:r>
            <w:r>
              <w:rPr>
                <w:rFonts w:hint="eastAsia"/>
                <w:bCs/>
                <w:color w:val="000000" w:themeColor="text1"/>
              </w:rPr>
              <w:t>0.05</w:t>
            </w:r>
            <w:r>
              <w:rPr>
                <w:bCs/>
                <w:color w:val="000000" w:themeColor="text1"/>
              </w:rPr>
              <w:t>t/a，</w:t>
            </w:r>
            <w:r>
              <w:rPr>
                <w:rFonts w:hint="eastAsia"/>
                <w:bCs/>
                <w:color w:val="000000" w:themeColor="text1"/>
              </w:rPr>
              <w:t>废机油约2个月清运一次，最大暂存量约为0.02t。</w:t>
            </w:r>
          </w:p>
          <w:p>
            <w:pPr>
              <w:adjustRightInd w:val="0"/>
              <w:snapToGrid w:val="0"/>
              <w:ind w:firstLine="480"/>
              <w:rPr>
                <w:bCs/>
                <w:color w:val="000000" w:themeColor="text1"/>
              </w:rPr>
            </w:pPr>
            <w:r>
              <w:rPr>
                <w:rFonts w:hint="eastAsia"/>
                <w:bCs/>
                <w:color w:val="000000" w:themeColor="text1"/>
              </w:rPr>
              <w:t>废机油理化性质见表7-1</w:t>
            </w:r>
            <w:r>
              <w:rPr>
                <w:rFonts w:hint="eastAsia"/>
                <w:bCs/>
                <w:color w:val="000000" w:themeColor="text1"/>
                <w:lang w:val="en-US" w:eastAsia="zh-CN"/>
              </w:rPr>
              <w:t>5</w:t>
            </w:r>
            <w:r>
              <w:rPr>
                <w:rFonts w:hint="eastAsia"/>
                <w:bCs/>
                <w:color w:val="000000" w:themeColor="text1"/>
              </w:rPr>
              <w:t>。</w:t>
            </w:r>
          </w:p>
          <w:p>
            <w:pPr>
              <w:adjustRightInd w:val="0"/>
              <w:snapToGrid w:val="0"/>
              <w:spacing w:line="240" w:lineRule="auto"/>
              <w:ind w:firstLine="0" w:firstLineChars="0"/>
              <w:jc w:val="center"/>
              <w:rPr>
                <w:b/>
                <w:bCs/>
                <w:color w:val="000000" w:themeColor="text1"/>
              </w:rPr>
            </w:pPr>
            <w:r>
              <w:rPr>
                <w:rFonts w:hint="eastAsia"/>
                <w:b/>
                <w:bCs/>
                <w:color w:val="000000" w:themeColor="text1"/>
              </w:rPr>
              <w:t>表7-1</w:t>
            </w:r>
            <w:r>
              <w:rPr>
                <w:rFonts w:hint="eastAsia"/>
                <w:b/>
                <w:bCs/>
                <w:color w:val="000000" w:themeColor="text1"/>
                <w:lang w:val="en-US" w:eastAsia="zh-CN"/>
              </w:rPr>
              <w:t>5</w:t>
            </w:r>
            <w:r>
              <w:rPr>
                <w:rFonts w:hint="eastAsia"/>
                <w:b/>
                <w:bCs/>
                <w:color w:val="000000" w:themeColor="text1"/>
              </w:rPr>
              <w:t xml:space="preserve">   机油理性性质一览表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02"/>
              <w:gridCol w:w="347"/>
              <w:gridCol w:w="547"/>
              <w:gridCol w:w="767"/>
              <w:gridCol w:w="1009"/>
              <w:gridCol w:w="170"/>
              <w:gridCol w:w="902"/>
              <w:gridCol w:w="377"/>
              <w:gridCol w:w="610"/>
              <w:gridCol w:w="364"/>
              <w:gridCol w:w="437"/>
              <w:gridCol w:w="173"/>
              <w:gridCol w:w="149"/>
              <w:gridCol w:w="1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标</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识</w:t>
                  </w:r>
                </w:p>
              </w:tc>
              <w:tc>
                <w:tcPr>
                  <w:tcW w:w="66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中文名</w:t>
                  </w:r>
                </w:p>
              </w:tc>
              <w:tc>
                <w:tcPr>
                  <w:tcW w:w="540"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机油</w:t>
                  </w:r>
                </w:p>
              </w:tc>
              <w:tc>
                <w:tcPr>
                  <w:tcW w:w="4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英文名</w:t>
                  </w:r>
                </w:p>
              </w:tc>
              <w:tc>
                <w:tcPr>
                  <w:tcW w:w="1484"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lubricating oil </w:t>
                  </w:r>
                </w:p>
              </w:tc>
              <w:tc>
                <w:tcPr>
                  <w:tcW w:w="955"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危险货物编号</w:t>
                  </w:r>
                </w:p>
              </w:tc>
              <w:tc>
                <w:tcPr>
                  <w:tcW w:w="644"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c>
                <w:tcPr>
                  <w:tcW w:w="66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分子式</w:t>
                  </w:r>
                </w:p>
              </w:tc>
              <w:tc>
                <w:tcPr>
                  <w:tcW w:w="540"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c>
                <w:tcPr>
                  <w:tcW w:w="4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分子量</w:t>
                  </w:r>
                </w:p>
              </w:tc>
              <w:tc>
                <w:tcPr>
                  <w:tcW w:w="6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230～500</w:t>
                  </w:r>
                </w:p>
              </w:tc>
              <w:tc>
                <w:tcPr>
                  <w:tcW w:w="874"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UN编号</w:t>
                  </w:r>
                </w:p>
              </w:tc>
              <w:tc>
                <w:tcPr>
                  <w:tcW w:w="36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c>
                <w:tcPr>
                  <w:tcW w:w="588"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CAS编号</w:t>
                  </w:r>
                </w:p>
              </w:tc>
              <w:tc>
                <w:tcPr>
                  <w:tcW w:w="644"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66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危险类别</w:t>
                  </w:r>
                </w:p>
              </w:tc>
              <w:tc>
                <w:tcPr>
                  <w:tcW w:w="4085" w:type="pct"/>
                  <w:gridSpan w:val="14"/>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理</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化</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性</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质</w:t>
                  </w:r>
                </w:p>
              </w:tc>
              <w:tc>
                <w:tcPr>
                  <w:tcW w:w="66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性  状</w:t>
                  </w:r>
                </w:p>
              </w:tc>
              <w:tc>
                <w:tcPr>
                  <w:tcW w:w="4085" w:type="pct"/>
                  <w:gridSpan w:val="14"/>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rPr>
                      <w:color w:val="000000" w:themeColor="text1"/>
                      <w:kern w:val="0"/>
                      <w:sz w:val="21"/>
                      <w:szCs w:val="21"/>
                    </w:rPr>
                  </w:pPr>
                  <w:r>
                    <w:rPr>
                      <w:rFonts w:hint="eastAsia"/>
                      <w:color w:val="000000" w:themeColor="text1"/>
                      <w:kern w:val="0"/>
                      <w:sz w:val="21"/>
                      <w:szCs w:val="21"/>
                    </w:rPr>
                    <w:t>油状液体，淡黄色至褐色，无气味或略带异味。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熔  点（℃）</w:t>
                  </w:r>
                </w:p>
              </w:tc>
              <w:tc>
                <w:tcPr>
                  <w:tcW w:w="1401"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c>
                <w:tcPr>
                  <w:tcW w:w="1727" w:type="pct"/>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临界压力（Mpa）</w:t>
                  </w:r>
                </w:p>
              </w:tc>
              <w:tc>
                <w:tcPr>
                  <w:tcW w:w="747"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沸  点（℃）</w:t>
                  </w:r>
                </w:p>
              </w:tc>
              <w:tc>
                <w:tcPr>
                  <w:tcW w:w="1401"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c>
                <w:tcPr>
                  <w:tcW w:w="1727" w:type="pct"/>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相对密度（水＝1）</w:t>
                  </w:r>
                </w:p>
              </w:tc>
              <w:tc>
                <w:tcPr>
                  <w:tcW w:w="747"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饱和蒸汽压（kpa）</w:t>
                  </w:r>
                </w:p>
              </w:tc>
              <w:tc>
                <w:tcPr>
                  <w:tcW w:w="1401"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c>
                <w:tcPr>
                  <w:tcW w:w="1727" w:type="pct"/>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相对密度（空气＝1）</w:t>
                  </w:r>
                </w:p>
              </w:tc>
              <w:tc>
                <w:tcPr>
                  <w:tcW w:w="747"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临界温度（℃）</w:t>
                  </w:r>
                </w:p>
              </w:tc>
              <w:tc>
                <w:tcPr>
                  <w:tcW w:w="1401"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c>
                <w:tcPr>
                  <w:tcW w:w="1727" w:type="pct"/>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燃烧热（KJ·mol-1）</w:t>
                  </w:r>
                </w:p>
              </w:tc>
              <w:tc>
                <w:tcPr>
                  <w:tcW w:w="747"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溶  解  性</w:t>
                  </w:r>
                </w:p>
              </w:tc>
              <w:tc>
                <w:tcPr>
                  <w:tcW w:w="3875" w:type="pct"/>
                  <w:gridSpan w:val="13"/>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r>
                    <w:rPr>
                      <w:color w:val="000000" w:themeColor="text1"/>
                      <w:kern w:val="0"/>
                      <w:sz w:val="21"/>
                      <w:szCs w:val="21"/>
                    </w:rPr>
                    <w:t>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燃</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烧</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爆</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炸</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危</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险</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性</w:t>
                  </w: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燃  烧  性</w:t>
                  </w:r>
                </w:p>
              </w:tc>
              <w:tc>
                <w:tcPr>
                  <w:tcW w:w="1401"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可燃</w:t>
                  </w:r>
                </w:p>
              </w:tc>
              <w:tc>
                <w:tcPr>
                  <w:tcW w:w="1727" w:type="pct"/>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闪点（℃）</w:t>
                  </w:r>
                </w:p>
              </w:tc>
              <w:tc>
                <w:tcPr>
                  <w:tcW w:w="747"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爆炸极限（％）</w:t>
                  </w:r>
                </w:p>
              </w:tc>
              <w:tc>
                <w:tcPr>
                  <w:tcW w:w="1401"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无资料</w:t>
                  </w:r>
                </w:p>
              </w:tc>
              <w:tc>
                <w:tcPr>
                  <w:tcW w:w="1727" w:type="pct"/>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最小点火能（MJ）</w:t>
                  </w:r>
                </w:p>
              </w:tc>
              <w:tc>
                <w:tcPr>
                  <w:tcW w:w="747"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引燃温度（℃）</w:t>
                  </w:r>
                </w:p>
              </w:tc>
              <w:tc>
                <w:tcPr>
                  <w:tcW w:w="1401"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248</w:t>
                  </w:r>
                </w:p>
              </w:tc>
              <w:tc>
                <w:tcPr>
                  <w:tcW w:w="1727" w:type="pct"/>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最大爆炸压力（Mpa）</w:t>
                  </w:r>
                </w:p>
              </w:tc>
              <w:tc>
                <w:tcPr>
                  <w:tcW w:w="747"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危 险 特 性</w:t>
                  </w:r>
                </w:p>
              </w:tc>
              <w:tc>
                <w:tcPr>
                  <w:tcW w:w="3875" w:type="pct"/>
                  <w:gridSpan w:val="13"/>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灭 火 方 法</w:t>
                  </w:r>
                </w:p>
              </w:tc>
              <w:tc>
                <w:tcPr>
                  <w:tcW w:w="3875" w:type="pct"/>
                  <w:gridSpan w:val="13"/>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消防人员须佩戴防毒面具、穿全身消防服，在上风向灭火。尽可能将容器从火场移至空旷处。喷水保持火场容器冷却，直至灭火结束。处在火场中的容器若已变色或从安全泄压装置中产生声音，必须马上撤离。</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禁  忌  物</w:t>
                  </w:r>
                </w:p>
              </w:tc>
              <w:tc>
                <w:tcPr>
                  <w:tcW w:w="2865" w:type="pct"/>
                  <w:gridSpan w:val="8"/>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c>
                <w:tcPr>
                  <w:tcW w:w="540"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稳定性</w:t>
                  </w:r>
                </w:p>
              </w:tc>
              <w:tc>
                <w:tcPr>
                  <w:tcW w:w="47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燃 烧 产 物</w:t>
                  </w:r>
                </w:p>
              </w:tc>
              <w:tc>
                <w:tcPr>
                  <w:tcW w:w="2865" w:type="pct"/>
                  <w:gridSpan w:val="8"/>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color w:val="000000" w:themeColor="text1"/>
                      <w:kern w:val="0"/>
                      <w:sz w:val="21"/>
                      <w:szCs w:val="21"/>
                    </w:rPr>
                    <w:t>一氧化碳、二氧化碳</w:t>
                  </w:r>
                </w:p>
              </w:tc>
              <w:tc>
                <w:tcPr>
                  <w:tcW w:w="540"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聚合危害</w:t>
                  </w:r>
                </w:p>
              </w:tc>
              <w:tc>
                <w:tcPr>
                  <w:tcW w:w="47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毒性及健康危害</w:t>
                  </w:r>
                </w:p>
              </w:tc>
              <w:tc>
                <w:tcPr>
                  <w:tcW w:w="875"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急 性 毒 性</w:t>
                  </w:r>
                </w:p>
              </w:tc>
              <w:tc>
                <w:tcPr>
                  <w:tcW w:w="1505"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rPr>
                      <w:color w:val="000000" w:themeColor="text1"/>
                      <w:kern w:val="0"/>
                      <w:sz w:val="21"/>
                      <w:szCs w:val="21"/>
                    </w:rPr>
                  </w:pPr>
                  <w:r>
                    <w:rPr>
                      <w:rFonts w:hint="eastAsia"/>
                      <w:color w:val="000000" w:themeColor="text1"/>
                      <w:kern w:val="0"/>
                      <w:sz w:val="21"/>
                      <w:szCs w:val="21"/>
                    </w:rPr>
                    <w:t>LD50（mg/kg，大鼠经口）</w:t>
                  </w:r>
                </w:p>
              </w:tc>
              <w:tc>
                <w:tcPr>
                  <w:tcW w:w="544" w:type="pct"/>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无资料</w:t>
                  </w:r>
                </w:p>
              </w:tc>
              <w:tc>
                <w:tcPr>
                  <w:tcW w:w="1274" w:type="pct"/>
                  <w:gridSpan w:val="6"/>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LC50（mg/kg）</w:t>
                  </w:r>
                </w:p>
              </w:tc>
              <w:tc>
                <w:tcPr>
                  <w:tcW w:w="552"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健 康 危 害</w:t>
                  </w:r>
                </w:p>
              </w:tc>
              <w:tc>
                <w:tcPr>
                  <w:tcW w:w="2049" w:type="pct"/>
                  <w:gridSpan w:val="5"/>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车间卫生标准</w:t>
                  </w:r>
                </w:p>
              </w:tc>
              <w:tc>
                <w:tcPr>
                  <w:tcW w:w="1826" w:type="pct"/>
                  <w:gridSpan w:val="8"/>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 w:type="pct"/>
                  <w:vMerge w:val="continue"/>
                  <w:tcBorders>
                    <w:top w:val="single" w:color="auto" w:sz="6" w:space="0"/>
                    <w:left w:val="single" w:color="auto" w:sz="6" w:space="0"/>
                    <w:bottom w:val="single" w:color="auto" w:sz="6" w:space="0"/>
                    <w:right w:val="single" w:color="auto" w:sz="6" w:space="0"/>
                  </w:tcBorders>
                </w:tcPr>
                <w:p>
                  <w:pPr>
                    <w:adjustRightInd w:val="0"/>
                    <w:snapToGrid w:val="0"/>
                    <w:spacing w:line="240" w:lineRule="auto"/>
                    <w:ind w:firstLine="0" w:firstLineChars="0"/>
                    <w:jc w:val="center"/>
                    <w:rPr>
                      <w:color w:val="000000" w:themeColor="text1"/>
                      <w:kern w:val="0"/>
                      <w:sz w:val="21"/>
                      <w:szCs w:val="21"/>
                    </w:rPr>
                  </w:pPr>
                </w:p>
              </w:tc>
              <w:tc>
                <w:tcPr>
                  <w:tcW w:w="875"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p>
              </w:tc>
              <w:tc>
                <w:tcPr>
                  <w:tcW w:w="3875" w:type="pct"/>
                  <w:gridSpan w:val="13"/>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侵入途径：吸如、食入；</w:t>
                  </w:r>
                </w:p>
                <w:p>
                  <w:pPr>
                    <w:adjustRightInd w:val="0"/>
                    <w:snapToGrid w:val="0"/>
                    <w:spacing w:line="240" w:lineRule="auto"/>
                    <w:ind w:firstLine="0" w:firstLineChars="0"/>
                    <w:jc w:val="center"/>
                    <w:rPr>
                      <w:color w:val="000000" w:themeColor="text1"/>
                      <w:kern w:val="0"/>
                      <w:sz w:val="21"/>
                      <w:szCs w:val="21"/>
                    </w:rPr>
                  </w:pPr>
                  <w:r>
                    <w:rPr>
                      <w:rFonts w:hint="eastAsia"/>
                      <w:color w:val="000000" w:themeColor="text1"/>
                      <w:kern w:val="0"/>
                      <w:sz w:val="21"/>
                      <w:szCs w:val="21"/>
                    </w:rPr>
                    <w:t>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bl>
          <w:p>
            <w:pPr>
              <w:snapToGrid w:val="0"/>
              <w:spacing w:before="156" w:beforeLines="50"/>
              <w:ind w:firstLine="482"/>
              <w:rPr>
                <w:b/>
                <w:color w:val="000000" w:themeColor="text1"/>
              </w:rPr>
            </w:pPr>
            <w:r>
              <w:rPr>
                <w:rFonts w:hint="eastAsia"/>
                <w:b/>
                <w:color w:val="000000" w:themeColor="text1"/>
              </w:rPr>
              <w:t>②风险潜势初判</w:t>
            </w:r>
          </w:p>
          <w:p>
            <w:pPr>
              <w:snapToGrid w:val="0"/>
              <w:ind w:firstLine="482"/>
              <w:rPr>
                <w:b/>
                <w:color w:val="000000" w:themeColor="text1"/>
              </w:rPr>
            </w:pPr>
            <w:r>
              <w:rPr>
                <w:rFonts w:hint="eastAsia"/>
                <w:b/>
                <w:color w:val="000000" w:themeColor="text1"/>
              </w:rPr>
              <w:t>Q值的确定</w:t>
            </w:r>
          </w:p>
          <w:p>
            <w:pPr>
              <w:snapToGrid w:val="0"/>
              <w:ind w:firstLine="480"/>
              <w:rPr>
                <w:color w:val="000000" w:themeColor="text1"/>
              </w:rPr>
            </w:pPr>
            <w:r>
              <w:rPr>
                <w:rFonts w:hint="eastAsia"/>
                <w:color w:val="000000" w:themeColor="text1"/>
              </w:rPr>
              <w:t>根据导则附录C，Q值按下式计算：</w:t>
            </w:r>
          </w:p>
          <w:p>
            <w:pPr>
              <w:snapToGrid w:val="0"/>
              <w:ind w:firstLine="480"/>
              <w:jc w:val="center"/>
              <w:rPr>
                <w:color w:val="000000" w:themeColor="text1"/>
              </w:rPr>
            </w:pPr>
            <w:r>
              <w:rPr>
                <w:color w:val="000000" w:themeColor="text1"/>
              </w:rPr>
              <w:drawing>
                <wp:inline distT="0" distB="0" distL="0" distR="0">
                  <wp:extent cx="1967865" cy="556260"/>
                  <wp:effectExtent l="0" t="0" r="13335"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67865" cy="556260"/>
                          </a:xfrm>
                          <a:prstGeom prst="rect">
                            <a:avLst/>
                          </a:prstGeom>
                          <a:noFill/>
                          <a:ln>
                            <a:noFill/>
                          </a:ln>
                        </pic:spPr>
                      </pic:pic>
                    </a:graphicData>
                  </a:graphic>
                </wp:inline>
              </w:drawing>
            </w:r>
          </w:p>
          <w:p>
            <w:pPr>
              <w:snapToGrid w:val="0"/>
              <w:ind w:firstLine="480"/>
              <w:rPr>
                <w:color w:val="000000" w:themeColor="text1"/>
              </w:rPr>
            </w:pPr>
            <w:r>
              <w:rPr>
                <w:rFonts w:hint="eastAsia"/>
                <w:color w:val="000000" w:themeColor="text1"/>
              </w:rPr>
              <w:t>式中：q</w:t>
            </w:r>
            <w:r>
              <w:rPr>
                <w:rFonts w:hint="eastAsia"/>
                <w:color w:val="000000" w:themeColor="text1"/>
                <w:vertAlign w:val="subscript"/>
              </w:rPr>
              <w:t>1</w:t>
            </w:r>
            <w:r>
              <w:rPr>
                <w:rFonts w:hint="eastAsia"/>
                <w:color w:val="000000" w:themeColor="text1"/>
              </w:rPr>
              <w:t>、q</w:t>
            </w:r>
            <w:r>
              <w:rPr>
                <w:rFonts w:hint="eastAsia"/>
                <w:color w:val="000000" w:themeColor="text1"/>
                <w:vertAlign w:val="subscript"/>
              </w:rPr>
              <w:t>2</w:t>
            </w:r>
            <w:r>
              <w:rPr>
                <w:rFonts w:hint="eastAsia"/>
                <w:color w:val="000000" w:themeColor="text1"/>
              </w:rPr>
              <w:t>••••q</w:t>
            </w:r>
            <w:r>
              <w:rPr>
                <w:rFonts w:hint="eastAsia"/>
                <w:color w:val="000000" w:themeColor="text1"/>
                <w:vertAlign w:val="subscript"/>
              </w:rPr>
              <w:t>n</w:t>
            </w:r>
            <w:r>
              <w:rPr>
                <w:rFonts w:hint="eastAsia"/>
                <w:color w:val="000000" w:themeColor="text1"/>
              </w:rPr>
              <w:t>—每种危险物质最大存在总量（t）</w:t>
            </w:r>
          </w:p>
          <w:p>
            <w:pPr>
              <w:snapToGrid w:val="0"/>
              <w:ind w:firstLine="480"/>
              <w:rPr>
                <w:color w:val="000000" w:themeColor="text1"/>
              </w:rPr>
            </w:pPr>
            <w:r>
              <w:rPr>
                <w:rFonts w:hint="eastAsia"/>
                <w:color w:val="000000" w:themeColor="text1"/>
              </w:rPr>
              <w:t xml:space="preserve">      Q</w:t>
            </w:r>
            <w:r>
              <w:rPr>
                <w:rFonts w:hint="eastAsia"/>
                <w:color w:val="000000" w:themeColor="text1"/>
                <w:vertAlign w:val="subscript"/>
              </w:rPr>
              <w:t>1</w:t>
            </w:r>
            <w:r>
              <w:rPr>
                <w:rFonts w:hint="eastAsia"/>
                <w:color w:val="000000" w:themeColor="text1"/>
              </w:rPr>
              <w:t>、Q</w:t>
            </w:r>
            <w:r>
              <w:rPr>
                <w:rFonts w:hint="eastAsia"/>
                <w:color w:val="000000" w:themeColor="text1"/>
                <w:vertAlign w:val="subscript"/>
              </w:rPr>
              <w:t>2</w:t>
            </w:r>
            <w:r>
              <w:rPr>
                <w:rFonts w:hint="eastAsia"/>
                <w:color w:val="000000" w:themeColor="text1"/>
              </w:rPr>
              <w:t>••••Q</w:t>
            </w:r>
            <w:r>
              <w:rPr>
                <w:rFonts w:hint="eastAsia"/>
                <w:color w:val="000000" w:themeColor="text1"/>
                <w:vertAlign w:val="subscript"/>
              </w:rPr>
              <w:t>n</w:t>
            </w:r>
            <w:r>
              <w:rPr>
                <w:rFonts w:hint="eastAsia"/>
                <w:color w:val="000000" w:themeColor="text1"/>
              </w:rPr>
              <w:t>—每种物质的临界量（t）</w:t>
            </w:r>
          </w:p>
          <w:p>
            <w:pPr>
              <w:snapToGrid w:val="0"/>
              <w:ind w:firstLine="480"/>
              <w:rPr>
                <w:color w:val="000000" w:themeColor="text1"/>
              </w:rPr>
            </w:pPr>
            <w:r>
              <w:rPr>
                <w:rFonts w:hint="eastAsia"/>
                <w:color w:val="000000" w:themeColor="text1"/>
              </w:rPr>
              <w:t>当Q&lt;1时，该项目环境风险潜势划为Ⅰ</w:t>
            </w:r>
          </w:p>
          <w:p>
            <w:pPr>
              <w:snapToGrid w:val="0"/>
              <w:ind w:firstLine="480"/>
              <w:rPr>
                <w:color w:val="000000" w:themeColor="text1"/>
              </w:rPr>
            </w:pPr>
            <w:r>
              <w:rPr>
                <w:rFonts w:hint="eastAsia"/>
                <w:color w:val="000000" w:themeColor="text1"/>
              </w:rPr>
              <w:t>当Q</w:t>
            </w:r>
            <w:r>
              <w:rPr>
                <w:rFonts w:hint="eastAsia" w:ascii="宋体" w:hAnsi="宋体"/>
                <w:color w:val="000000" w:themeColor="text1"/>
              </w:rPr>
              <w:t>≥</w:t>
            </w:r>
            <w:r>
              <w:rPr>
                <w:rFonts w:hint="eastAsia"/>
                <w:color w:val="000000" w:themeColor="text1"/>
              </w:rPr>
              <w:t>1时，将Q值划分为：（1）1≤Q＜10；（2）10≤Q＜100；（3）Q≥100。</w:t>
            </w:r>
          </w:p>
          <w:p>
            <w:pPr>
              <w:snapToGrid w:val="0"/>
              <w:ind w:firstLine="480"/>
              <w:rPr>
                <w:color w:val="000000" w:themeColor="text1"/>
              </w:rPr>
            </w:pPr>
            <w:r>
              <w:rPr>
                <w:rFonts w:hint="eastAsia"/>
                <w:color w:val="000000" w:themeColor="text1"/>
              </w:rPr>
              <w:t>本项目废机油临界量参照“油类物质”，其Q值确定见表7-16。</w:t>
            </w:r>
          </w:p>
          <w:p>
            <w:pPr>
              <w:pStyle w:val="14"/>
              <w:ind w:firstLine="422"/>
              <w:jc w:val="center"/>
              <w:rPr>
                <w:rFonts w:ascii="Times New Roman" w:hAnsi="Times New Roman"/>
                <w:b/>
                <w:color w:val="000000" w:themeColor="text1"/>
                <w:sz w:val="21"/>
              </w:rPr>
            </w:pPr>
            <w:r>
              <w:rPr>
                <w:rFonts w:hint="eastAsia" w:ascii="Times New Roman" w:hAnsi="Times New Roman"/>
                <w:b/>
                <w:color w:val="000000" w:themeColor="text1"/>
                <w:sz w:val="21"/>
              </w:rPr>
              <w:t>表7-16    建设项目Q值确定表</w:t>
            </w:r>
          </w:p>
          <w:tbl>
            <w:tblPr>
              <w:tblStyle w:val="22"/>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408"/>
              <w:gridCol w:w="1279"/>
              <w:gridCol w:w="1534"/>
              <w:gridCol w:w="1279"/>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610" w:type="dxa"/>
                  <w:shd w:val="clear" w:color="auto" w:fill="auto"/>
                </w:tcPr>
                <w:p>
                  <w:pPr>
                    <w:pStyle w:val="38"/>
                    <w:spacing w:line="240" w:lineRule="auto"/>
                    <w:ind w:firstLine="0" w:firstLineChars="0"/>
                    <w:jc w:val="center"/>
                    <w:rPr>
                      <w:rFonts w:hAnsi="Times New Roman"/>
                      <w:b/>
                      <w:color w:val="000000" w:themeColor="text1"/>
                      <w:sz w:val="21"/>
                      <w:szCs w:val="21"/>
                    </w:rPr>
                  </w:pPr>
                  <w:r>
                    <w:rPr>
                      <w:rFonts w:hAnsi="Times New Roman"/>
                      <w:b/>
                      <w:color w:val="000000" w:themeColor="text1"/>
                      <w:sz w:val="21"/>
                      <w:szCs w:val="21"/>
                    </w:rPr>
                    <w:t>序号</w:t>
                  </w:r>
                </w:p>
              </w:tc>
              <w:tc>
                <w:tcPr>
                  <w:tcW w:w="1408" w:type="dxa"/>
                  <w:shd w:val="clear" w:color="auto" w:fill="auto"/>
                </w:tcPr>
                <w:p>
                  <w:pPr>
                    <w:pStyle w:val="38"/>
                    <w:spacing w:line="240" w:lineRule="auto"/>
                    <w:ind w:firstLine="0" w:firstLineChars="0"/>
                    <w:jc w:val="center"/>
                    <w:rPr>
                      <w:rFonts w:hAnsi="Times New Roman"/>
                      <w:b/>
                      <w:color w:val="000000" w:themeColor="text1"/>
                      <w:sz w:val="21"/>
                      <w:szCs w:val="21"/>
                    </w:rPr>
                  </w:pPr>
                  <w:r>
                    <w:rPr>
                      <w:rFonts w:hAnsi="Times New Roman"/>
                      <w:b/>
                      <w:color w:val="000000" w:themeColor="text1"/>
                      <w:sz w:val="21"/>
                      <w:szCs w:val="21"/>
                    </w:rPr>
                    <w:t>危险物质名称</w:t>
                  </w:r>
                </w:p>
              </w:tc>
              <w:tc>
                <w:tcPr>
                  <w:tcW w:w="1279" w:type="dxa"/>
                  <w:shd w:val="clear" w:color="auto" w:fill="auto"/>
                </w:tcPr>
                <w:p>
                  <w:pPr>
                    <w:pStyle w:val="38"/>
                    <w:spacing w:line="240" w:lineRule="auto"/>
                    <w:ind w:firstLine="0" w:firstLineChars="0"/>
                    <w:jc w:val="center"/>
                    <w:rPr>
                      <w:rFonts w:hAnsi="Times New Roman"/>
                      <w:b/>
                      <w:color w:val="000000" w:themeColor="text1"/>
                      <w:sz w:val="21"/>
                      <w:szCs w:val="21"/>
                    </w:rPr>
                  </w:pPr>
                  <w:r>
                    <w:rPr>
                      <w:rFonts w:hint="eastAsia" w:hAnsi="Times New Roman"/>
                      <w:b/>
                      <w:color w:val="000000" w:themeColor="text1"/>
                      <w:sz w:val="21"/>
                      <w:szCs w:val="21"/>
                    </w:rPr>
                    <w:t>CAS号</w:t>
                  </w:r>
                </w:p>
              </w:tc>
              <w:tc>
                <w:tcPr>
                  <w:tcW w:w="1534" w:type="dxa"/>
                  <w:shd w:val="clear" w:color="auto" w:fill="auto"/>
                </w:tcPr>
                <w:p>
                  <w:pPr>
                    <w:pStyle w:val="38"/>
                    <w:spacing w:line="240" w:lineRule="auto"/>
                    <w:ind w:firstLine="0" w:firstLineChars="0"/>
                    <w:jc w:val="center"/>
                    <w:rPr>
                      <w:rFonts w:hAnsi="Times New Roman"/>
                      <w:b/>
                      <w:color w:val="000000" w:themeColor="text1"/>
                      <w:sz w:val="21"/>
                      <w:szCs w:val="21"/>
                    </w:rPr>
                  </w:pPr>
                  <w:r>
                    <w:rPr>
                      <w:rFonts w:hAnsi="Times New Roman"/>
                      <w:b/>
                      <w:color w:val="000000" w:themeColor="text1"/>
                      <w:sz w:val="21"/>
                      <w:szCs w:val="21"/>
                    </w:rPr>
                    <w:t>最大存在总量</w:t>
                  </w:r>
                  <w:r>
                    <w:rPr>
                      <w:rFonts w:hint="eastAsia" w:hAnsi="Times New Roman"/>
                      <w:b/>
                      <w:color w:val="000000" w:themeColor="text1"/>
                      <w:sz w:val="21"/>
                      <w:szCs w:val="21"/>
                    </w:rPr>
                    <w:t>/t</w:t>
                  </w:r>
                </w:p>
              </w:tc>
              <w:tc>
                <w:tcPr>
                  <w:tcW w:w="1279" w:type="dxa"/>
                  <w:shd w:val="clear" w:color="auto" w:fill="auto"/>
                </w:tcPr>
                <w:p>
                  <w:pPr>
                    <w:pStyle w:val="38"/>
                    <w:spacing w:line="240" w:lineRule="auto"/>
                    <w:ind w:firstLine="0" w:firstLineChars="0"/>
                    <w:jc w:val="center"/>
                    <w:rPr>
                      <w:rFonts w:hAnsi="Times New Roman"/>
                      <w:b/>
                      <w:color w:val="000000" w:themeColor="text1"/>
                      <w:sz w:val="21"/>
                      <w:szCs w:val="21"/>
                    </w:rPr>
                  </w:pPr>
                  <w:r>
                    <w:rPr>
                      <w:rFonts w:hAnsi="Times New Roman"/>
                      <w:b/>
                      <w:color w:val="000000" w:themeColor="text1"/>
                      <w:sz w:val="21"/>
                      <w:szCs w:val="21"/>
                    </w:rPr>
                    <w:t>临界量</w:t>
                  </w:r>
                  <w:r>
                    <w:rPr>
                      <w:rFonts w:hint="eastAsia" w:hAnsi="Times New Roman"/>
                      <w:b/>
                      <w:color w:val="000000" w:themeColor="text1"/>
                      <w:sz w:val="21"/>
                      <w:szCs w:val="21"/>
                    </w:rPr>
                    <w:t>Qn/t</w:t>
                  </w:r>
                </w:p>
              </w:tc>
              <w:tc>
                <w:tcPr>
                  <w:tcW w:w="1827" w:type="dxa"/>
                  <w:shd w:val="clear" w:color="auto" w:fill="auto"/>
                </w:tcPr>
                <w:p>
                  <w:pPr>
                    <w:pStyle w:val="38"/>
                    <w:spacing w:line="240" w:lineRule="auto"/>
                    <w:ind w:firstLine="0" w:firstLineChars="0"/>
                    <w:jc w:val="center"/>
                    <w:rPr>
                      <w:rFonts w:hAnsi="Times New Roman"/>
                      <w:b/>
                      <w:color w:val="000000" w:themeColor="text1"/>
                      <w:sz w:val="21"/>
                      <w:szCs w:val="21"/>
                    </w:rPr>
                  </w:pPr>
                  <w:r>
                    <w:rPr>
                      <w:rFonts w:hint="eastAsia" w:hAnsi="Times New Roman"/>
                      <w:b/>
                      <w:color w:val="000000" w:themeColor="text1"/>
                      <w:sz w:val="21"/>
                      <w:szCs w:val="21"/>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10" w:type="dxa"/>
                  <w:shd w:val="clear" w:color="auto" w:fill="auto"/>
                </w:tcPr>
                <w:p>
                  <w:pPr>
                    <w:pStyle w:val="38"/>
                    <w:spacing w:line="240" w:lineRule="auto"/>
                    <w:ind w:firstLine="0" w:firstLineChars="0"/>
                    <w:jc w:val="center"/>
                    <w:rPr>
                      <w:rFonts w:hAnsi="Times New Roman"/>
                      <w:color w:val="000000" w:themeColor="text1"/>
                      <w:sz w:val="21"/>
                      <w:szCs w:val="21"/>
                    </w:rPr>
                  </w:pPr>
                  <w:r>
                    <w:rPr>
                      <w:rFonts w:hint="eastAsia" w:hAnsi="Times New Roman"/>
                      <w:color w:val="000000" w:themeColor="text1"/>
                      <w:sz w:val="21"/>
                      <w:szCs w:val="21"/>
                    </w:rPr>
                    <w:t>1</w:t>
                  </w:r>
                </w:p>
              </w:tc>
              <w:tc>
                <w:tcPr>
                  <w:tcW w:w="1408" w:type="dxa"/>
                  <w:shd w:val="clear" w:color="auto" w:fill="auto"/>
                </w:tcPr>
                <w:p>
                  <w:pPr>
                    <w:pStyle w:val="38"/>
                    <w:spacing w:line="240" w:lineRule="auto"/>
                    <w:ind w:firstLine="0" w:firstLineChars="0"/>
                    <w:jc w:val="center"/>
                    <w:rPr>
                      <w:rFonts w:hAnsi="Times New Roman"/>
                      <w:color w:val="000000" w:themeColor="text1"/>
                      <w:sz w:val="21"/>
                      <w:szCs w:val="21"/>
                    </w:rPr>
                  </w:pPr>
                  <w:r>
                    <w:rPr>
                      <w:rFonts w:hAnsi="Times New Roman"/>
                      <w:color w:val="000000" w:themeColor="text1"/>
                      <w:sz w:val="21"/>
                      <w:szCs w:val="21"/>
                    </w:rPr>
                    <w:t>废机油</w:t>
                  </w:r>
                </w:p>
              </w:tc>
              <w:tc>
                <w:tcPr>
                  <w:tcW w:w="1279" w:type="dxa"/>
                  <w:shd w:val="clear" w:color="auto" w:fill="auto"/>
                </w:tcPr>
                <w:p>
                  <w:pPr>
                    <w:pStyle w:val="38"/>
                    <w:spacing w:line="240" w:lineRule="auto"/>
                    <w:ind w:firstLine="0" w:firstLineChars="0"/>
                    <w:jc w:val="center"/>
                    <w:rPr>
                      <w:rFonts w:hAnsi="Times New Roman"/>
                      <w:color w:val="000000" w:themeColor="text1"/>
                      <w:sz w:val="21"/>
                      <w:szCs w:val="21"/>
                    </w:rPr>
                  </w:pPr>
                  <w:r>
                    <w:rPr>
                      <w:rFonts w:hint="eastAsia" w:hAnsi="Times New Roman"/>
                      <w:color w:val="000000" w:themeColor="text1"/>
                      <w:sz w:val="21"/>
                      <w:szCs w:val="21"/>
                    </w:rPr>
                    <w:t>68334-30-5</w:t>
                  </w:r>
                </w:p>
              </w:tc>
              <w:tc>
                <w:tcPr>
                  <w:tcW w:w="1534" w:type="dxa"/>
                  <w:shd w:val="clear" w:color="auto" w:fill="auto"/>
                </w:tcPr>
                <w:p>
                  <w:pPr>
                    <w:pStyle w:val="38"/>
                    <w:spacing w:line="240" w:lineRule="auto"/>
                    <w:ind w:firstLine="0" w:firstLineChars="0"/>
                    <w:jc w:val="center"/>
                    <w:rPr>
                      <w:rFonts w:hAnsi="Times New Roman"/>
                      <w:color w:val="000000" w:themeColor="text1"/>
                      <w:sz w:val="21"/>
                      <w:szCs w:val="21"/>
                    </w:rPr>
                  </w:pPr>
                  <w:r>
                    <w:rPr>
                      <w:rFonts w:hint="eastAsia" w:hAnsi="Times New Roman"/>
                      <w:color w:val="000000" w:themeColor="text1"/>
                      <w:sz w:val="21"/>
                      <w:szCs w:val="21"/>
                    </w:rPr>
                    <w:t>0.02</w:t>
                  </w:r>
                </w:p>
              </w:tc>
              <w:tc>
                <w:tcPr>
                  <w:tcW w:w="1279" w:type="dxa"/>
                  <w:shd w:val="clear" w:color="auto" w:fill="auto"/>
                </w:tcPr>
                <w:p>
                  <w:pPr>
                    <w:pStyle w:val="38"/>
                    <w:spacing w:line="240" w:lineRule="auto"/>
                    <w:ind w:firstLine="0" w:firstLineChars="0"/>
                    <w:jc w:val="center"/>
                    <w:rPr>
                      <w:rFonts w:hAnsi="Times New Roman"/>
                      <w:color w:val="000000" w:themeColor="text1"/>
                      <w:sz w:val="21"/>
                      <w:szCs w:val="21"/>
                    </w:rPr>
                  </w:pPr>
                  <w:r>
                    <w:rPr>
                      <w:rFonts w:hint="eastAsia" w:hAnsi="Times New Roman"/>
                      <w:color w:val="000000" w:themeColor="text1"/>
                      <w:sz w:val="21"/>
                      <w:szCs w:val="21"/>
                    </w:rPr>
                    <w:t>2500</w:t>
                  </w:r>
                </w:p>
              </w:tc>
              <w:tc>
                <w:tcPr>
                  <w:tcW w:w="1827" w:type="dxa"/>
                  <w:shd w:val="clear" w:color="auto" w:fill="auto"/>
                </w:tcPr>
                <w:p>
                  <w:pPr>
                    <w:pStyle w:val="38"/>
                    <w:spacing w:line="240" w:lineRule="auto"/>
                    <w:ind w:firstLine="0" w:firstLineChars="0"/>
                    <w:jc w:val="center"/>
                    <w:rPr>
                      <w:rFonts w:hAnsi="Times New Roman"/>
                      <w:color w:val="000000" w:themeColor="text1"/>
                      <w:sz w:val="21"/>
                      <w:szCs w:val="21"/>
                    </w:rPr>
                  </w:pPr>
                  <w:r>
                    <w:rPr>
                      <w:rFonts w:hint="eastAsia" w:hAnsi="Times New Roman"/>
                      <w:color w:val="000000" w:themeColor="text1"/>
                      <w:sz w:val="21"/>
                      <w:szCs w:val="21"/>
                    </w:rPr>
                    <w:t>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110" w:type="dxa"/>
                  <w:gridSpan w:val="5"/>
                  <w:shd w:val="clear" w:color="auto" w:fill="auto"/>
                </w:tcPr>
                <w:p>
                  <w:pPr>
                    <w:pStyle w:val="38"/>
                    <w:spacing w:line="240" w:lineRule="auto"/>
                    <w:ind w:firstLine="0" w:firstLineChars="0"/>
                    <w:jc w:val="center"/>
                    <w:rPr>
                      <w:rFonts w:hAnsi="Times New Roman"/>
                      <w:color w:val="000000" w:themeColor="text1"/>
                      <w:sz w:val="21"/>
                      <w:szCs w:val="21"/>
                    </w:rPr>
                  </w:pPr>
                  <w:r>
                    <w:rPr>
                      <w:rFonts w:hint="eastAsia" w:hAnsi="Times New Roman"/>
                      <w:color w:val="000000" w:themeColor="text1"/>
                      <w:sz w:val="21"/>
                      <w:szCs w:val="21"/>
                    </w:rPr>
                    <w:t>项目Q值</w:t>
                  </w:r>
                </w:p>
              </w:tc>
              <w:tc>
                <w:tcPr>
                  <w:tcW w:w="1827" w:type="dxa"/>
                  <w:shd w:val="clear" w:color="auto" w:fill="auto"/>
                </w:tcPr>
                <w:p>
                  <w:pPr>
                    <w:pStyle w:val="38"/>
                    <w:spacing w:line="240" w:lineRule="auto"/>
                    <w:ind w:firstLine="0" w:firstLineChars="0"/>
                    <w:jc w:val="center"/>
                    <w:rPr>
                      <w:rFonts w:hAnsi="Times New Roman"/>
                      <w:color w:val="000000" w:themeColor="text1"/>
                      <w:sz w:val="21"/>
                      <w:szCs w:val="21"/>
                    </w:rPr>
                  </w:pPr>
                  <w:r>
                    <w:rPr>
                      <w:rFonts w:hint="eastAsia" w:hAnsi="Times New Roman"/>
                      <w:color w:val="000000" w:themeColor="text1"/>
                      <w:sz w:val="21"/>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110" w:type="dxa"/>
                  <w:gridSpan w:val="5"/>
                  <w:shd w:val="clear" w:color="auto" w:fill="auto"/>
                </w:tcPr>
                <w:p>
                  <w:pPr>
                    <w:pStyle w:val="38"/>
                    <w:spacing w:line="240" w:lineRule="auto"/>
                    <w:ind w:firstLine="0" w:firstLineChars="0"/>
                    <w:jc w:val="center"/>
                    <w:rPr>
                      <w:rFonts w:hAnsi="Times New Roman"/>
                      <w:color w:val="000000" w:themeColor="text1"/>
                      <w:sz w:val="21"/>
                      <w:szCs w:val="21"/>
                    </w:rPr>
                  </w:pPr>
                  <w:r>
                    <w:rPr>
                      <w:rFonts w:hint="eastAsia" w:hAnsi="Times New Roman"/>
                      <w:color w:val="000000" w:themeColor="text1"/>
                      <w:sz w:val="21"/>
                      <w:szCs w:val="21"/>
                    </w:rPr>
                    <w:t>环境风险潜势</w:t>
                  </w:r>
                </w:p>
              </w:tc>
              <w:tc>
                <w:tcPr>
                  <w:tcW w:w="1827" w:type="dxa"/>
                  <w:shd w:val="clear" w:color="auto" w:fill="auto"/>
                </w:tcPr>
                <w:p>
                  <w:pPr>
                    <w:pStyle w:val="38"/>
                    <w:spacing w:line="240" w:lineRule="auto"/>
                    <w:ind w:firstLine="0" w:firstLineChars="0"/>
                    <w:jc w:val="center"/>
                    <w:rPr>
                      <w:rFonts w:hAnsi="Times New Roman"/>
                      <w:color w:val="000000" w:themeColor="text1"/>
                      <w:sz w:val="21"/>
                      <w:szCs w:val="21"/>
                    </w:rPr>
                  </w:pPr>
                  <w:r>
                    <w:rPr>
                      <w:rFonts w:hint="eastAsia" w:hAnsi="Times New Roman"/>
                      <w:color w:val="000000" w:themeColor="text1"/>
                      <w:sz w:val="21"/>
                      <w:szCs w:val="21"/>
                    </w:rPr>
                    <w:t>I</w:t>
                  </w:r>
                </w:p>
              </w:tc>
            </w:tr>
          </w:tbl>
          <w:p>
            <w:pPr>
              <w:snapToGrid w:val="0"/>
              <w:spacing w:before="156" w:beforeLines="50"/>
              <w:ind w:firstLine="480"/>
              <w:rPr>
                <w:color w:val="000000" w:themeColor="text1"/>
              </w:rPr>
            </w:pPr>
            <w:r>
              <w:rPr>
                <w:rFonts w:hint="eastAsia"/>
                <w:color w:val="000000" w:themeColor="text1"/>
              </w:rPr>
              <w:t>经计算，本项目环境风险潜势为I。</w:t>
            </w:r>
          </w:p>
          <w:p>
            <w:pPr>
              <w:ind w:firstLine="482"/>
              <w:rPr>
                <w:rFonts w:eastAsiaTheme="minorEastAsia"/>
                <w:b/>
                <w:bCs/>
                <w:color w:val="000000" w:themeColor="text1"/>
              </w:rPr>
            </w:pPr>
            <w:r>
              <w:rPr>
                <w:rFonts w:eastAsiaTheme="minorEastAsia"/>
                <w:b/>
                <w:bCs/>
                <w:color w:val="000000" w:themeColor="text1"/>
              </w:rPr>
              <w:fldChar w:fldCharType="begin"/>
            </w:r>
            <w:r>
              <w:rPr>
                <w:rFonts w:eastAsiaTheme="minorEastAsia"/>
                <w:b/>
                <w:bCs/>
                <w:color w:val="000000" w:themeColor="text1"/>
              </w:rPr>
              <w:instrText xml:space="preserve"> = 3 \* GB3 \* MERGEFORMAT </w:instrText>
            </w:r>
            <w:r>
              <w:rPr>
                <w:rFonts w:eastAsiaTheme="minorEastAsia"/>
                <w:b/>
                <w:bCs/>
                <w:color w:val="000000" w:themeColor="text1"/>
              </w:rPr>
              <w:fldChar w:fldCharType="separate"/>
            </w:r>
            <w:r>
              <w:rPr>
                <w:b/>
                <w:bCs/>
              </w:rPr>
              <w:t>③</w:t>
            </w:r>
            <w:r>
              <w:rPr>
                <w:rFonts w:eastAsiaTheme="minorEastAsia"/>
                <w:b/>
                <w:bCs/>
                <w:color w:val="000000" w:themeColor="text1"/>
              </w:rPr>
              <w:fldChar w:fldCharType="end"/>
            </w:r>
            <w:r>
              <w:rPr>
                <w:rFonts w:eastAsiaTheme="minorEastAsia"/>
                <w:b/>
                <w:bCs/>
                <w:color w:val="000000" w:themeColor="text1"/>
              </w:rPr>
              <w:t>评价等级</w:t>
            </w:r>
          </w:p>
          <w:p>
            <w:pPr>
              <w:widowControl/>
              <w:ind w:firstLine="480"/>
              <w:rPr>
                <w:rFonts w:eastAsiaTheme="minorEastAsia"/>
                <w:color w:val="000000" w:themeColor="text1"/>
              </w:rPr>
            </w:pPr>
            <w:r>
              <w:rPr>
                <w:rFonts w:eastAsiaTheme="minorEastAsia"/>
                <w:color w:val="000000" w:themeColor="text1"/>
              </w:rPr>
              <w:t>根据表7-1</w:t>
            </w:r>
            <w:r>
              <w:rPr>
                <w:rFonts w:hint="eastAsia" w:eastAsiaTheme="minorEastAsia"/>
                <w:color w:val="000000" w:themeColor="text1"/>
                <w:lang w:val="en-US" w:eastAsia="zh-CN"/>
              </w:rPr>
              <w:t>6</w:t>
            </w:r>
            <w:r>
              <w:rPr>
                <w:rFonts w:eastAsiaTheme="minorEastAsia"/>
                <w:color w:val="000000" w:themeColor="text1"/>
              </w:rPr>
              <w:t>，危险物质数量与临界量比值（Q）&lt;1，企业环境风险潜势为Ⅰ，</w:t>
            </w:r>
            <w:r>
              <w:rPr>
                <w:rFonts w:hint="eastAsia"/>
                <w:color w:val="000000" w:themeColor="text1"/>
              </w:rPr>
              <w:t>本项目危险物质在事故情形下的环境影响途径为大气、地表水及地下水</w:t>
            </w:r>
            <w:r>
              <w:rPr>
                <w:rFonts w:eastAsiaTheme="minorEastAsia"/>
                <w:color w:val="000000" w:themeColor="text1"/>
              </w:rPr>
              <w:t>。</w:t>
            </w:r>
          </w:p>
          <w:p>
            <w:pPr>
              <w:widowControl/>
              <w:ind w:firstLine="482"/>
              <w:jc w:val="center"/>
              <w:rPr>
                <w:rFonts w:eastAsiaTheme="minorEastAsia"/>
                <w:b/>
                <w:color w:val="000000" w:themeColor="text1"/>
              </w:rPr>
            </w:pPr>
            <w:r>
              <w:rPr>
                <w:rFonts w:eastAsiaTheme="minorEastAsia"/>
                <w:b/>
                <w:color w:val="000000" w:themeColor="text1"/>
              </w:rPr>
              <w:t>表7-</w:t>
            </w:r>
            <w:r>
              <w:rPr>
                <w:rFonts w:hint="eastAsia" w:eastAsiaTheme="minorEastAsia"/>
                <w:b/>
                <w:color w:val="000000" w:themeColor="text1"/>
              </w:rPr>
              <w:t>17</w:t>
            </w:r>
            <w:r>
              <w:rPr>
                <w:rFonts w:eastAsiaTheme="minorEastAsia"/>
                <w:b/>
                <w:color w:val="000000" w:themeColor="text1"/>
              </w:rPr>
              <w:t>评价工作等级划分表</w:t>
            </w:r>
          </w:p>
          <w:tbl>
            <w:tblPr>
              <w:tblStyle w:val="22"/>
              <w:tblW w:w="82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693"/>
              <w:gridCol w:w="1693"/>
              <w:gridCol w:w="1693"/>
              <w:gridCol w:w="1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27" w:type="dxa"/>
                  <w:vAlign w:val="center"/>
                </w:tcPr>
                <w:p>
                  <w:pPr>
                    <w:adjustRightInd w:val="0"/>
                    <w:snapToGrid w:val="0"/>
                    <w:spacing w:line="240" w:lineRule="auto"/>
                    <w:ind w:firstLine="0" w:firstLineChars="0"/>
                    <w:jc w:val="center"/>
                    <w:rPr>
                      <w:rFonts w:eastAsiaTheme="minorEastAsia"/>
                      <w:color w:val="000000" w:themeColor="text1"/>
                      <w:sz w:val="21"/>
                      <w:szCs w:val="21"/>
                    </w:rPr>
                  </w:pPr>
                  <w:r>
                    <w:rPr>
                      <w:rFonts w:eastAsiaTheme="minorEastAsia"/>
                      <w:color w:val="000000" w:themeColor="text1"/>
                      <w:sz w:val="21"/>
                      <w:szCs w:val="21"/>
                    </w:rPr>
                    <w:t>环境风险潜势</w:t>
                  </w:r>
                </w:p>
              </w:tc>
              <w:tc>
                <w:tcPr>
                  <w:tcW w:w="1693" w:type="dxa"/>
                  <w:vAlign w:val="center"/>
                </w:tcPr>
                <w:p>
                  <w:pPr>
                    <w:adjustRightInd w:val="0"/>
                    <w:snapToGrid w:val="0"/>
                    <w:spacing w:line="240" w:lineRule="auto"/>
                    <w:ind w:firstLine="0" w:firstLineChars="0"/>
                    <w:jc w:val="center"/>
                    <w:rPr>
                      <w:rFonts w:eastAsiaTheme="minorEastAsia"/>
                      <w:b/>
                      <w:color w:val="000000" w:themeColor="text1"/>
                      <w:sz w:val="21"/>
                      <w:szCs w:val="21"/>
                    </w:rPr>
                  </w:pPr>
                  <w:r>
                    <w:rPr>
                      <w:rFonts w:eastAsiaTheme="minorEastAsia"/>
                      <w:b/>
                      <w:color w:val="000000" w:themeColor="text1"/>
                      <w:sz w:val="21"/>
                      <w:szCs w:val="21"/>
                    </w:rPr>
                    <w:t>Ⅳ、Ⅳ+</w:t>
                  </w:r>
                </w:p>
              </w:tc>
              <w:tc>
                <w:tcPr>
                  <w:tcW w:w="1693" w:type="dxa"/>
                  <w:vAlign w:val="center"/>
                </w:tcPr>
                <w:p>
                  <w:pPr>
                    <w:adjustRightInd w:val="0"/>
                    <w:snapToGrid w:val="0"/>
                    <w:spacing w:line="240" w:lineRule="auto"/>
                    <w:ind w:firstLine="0" w:firstLineChars="0"/>
                    <w:jc w:val="center"/>
                    <w:rPr>
                      <w:rFonts w:eastAsiaTheme="minorEastAsia"/>
                      <w:b/>
                      <w:color w:val="000000" w:themeColor="text1"/>
                      <w:sz w:val="21"/>
                      <w:szCs w:val="21"/>
                    </w:rPr>
                  </w:pPr>
                  <w:r>
                    <w:rPr>
                      <w:rFonts w:eastAsiaTheme="minorEastAsia"/>
                      <w:b/>
                      <w:color w:val="000000" w:themeColor="text1"/>
                      <w:sz w:val="21"/>
                      <w:szCs w:val="21"/>
                    </w:rPr>
                    <w:t>Ⅲ</w:t>
                  </w:r>
                </w:p>
              </w:tc>
              <w:tc>
                <w:tcPr>
                  <w:tcW w:w="1693" w:type="dxa"/>
                  <w:vAlign w:val="center"/>
                </w:tcPr>
                <w:p>
                  <w:pPr>
                    <w:adjustRightInd w:val="0"/>
                    <w:snapToGrid w:val="0"/>
                    <w:spacing w:line="240" w:lineRule="auto"/>
                    <w:ind w:firstLine="0" w:firstLineChars="0"/>
                    <w:jc w:val="center"/>
                    <w:rPr>
                      <w:rFonts w:eastAsiaTheme="minorEastAsia"/>
                      <w:b/>
                      <w:color w:val="000000" w:themeColor="text1"/>
                      <w:sz w:val="21"/>
                      <w:szCs w:val="21"/>
                    </w:rPr>
                  </w:pPr>
                  <w:r>
                    <w:rPr>
                      <w:rFonts w:eastAsiaTheme="minorEastAsia"/>
                      <w:b/>
                      <w:color w:val="000000" w:themeColor="text1"/>
                      <w:sz w:val="21"/>
                      <w:szCs w:val="21"/>
                    </w:rPr>
                    <w:t>Ⅱ</w:t>
                  </w:r>
                </w:p>
              </w:tc>
              <w:tc>
                <w:tcPr>
                  <w:tcW w:w="1691" w:type="dxa"/>
                  <w:vAlign w:val="center"/>
                </w:tcPr>
                <w:p>
                  <w:pPr>
                    <w:adjustRightInd w:val="0"/>
                    <w:snapToGrid w:val="0"/>
                    <w:spacing w:line="240" w:lineRule="auto"/>
                    <w:ind w:firstLine="0" w:firstLineChars="0"/>
                    <w:jc w:val="center"/>
                    <w:rPr>
                      <w:rFonts w:eastAsiaTheme="minorEastAsia"/>
                      <w:b/>
                      <w:color w:val="000000" w:themeColor="text1"/>
                      <w:sz w:val="21"/>
                      <w:szCs w:val="21"/>
                    </w:rPr>
                  </w:pPr>
                  <w:r>
                    <w:rPr>
                      <w:rFonts w:eastAsiaTheme="minorEastAsia"/>
                      <w:b/>
                      <w:color w:val="000000" w:themeColor="text1"/>
                      <w:sz w:val="21"/>
                      <w:szCs w:val="21"/>
                    </w:rPr>
                    <w:t>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27" w:type="dxa"/>
                  <w:vAlign w:val="center"/>
                </w:tcPr>
                <w:p>
                  <w:pPr>
                    <w:adjustRightInd w:val="0"/>
                    <w:snapToGrid w:val="0"/>
                    <w:spacing w:line="240" w:lineRule="auto"/>
                    <w:ind w:firstLine="0" w:firstLineChars="0"/>
                    <w:jc w:val="center"/>
                    <w:rPr>
                      <w:rFonts w:eastAsiaTheme="minorEastAsia"/>
                      <w:color w:val="000000" w:themeColor="text1"/>
                      <w:sz w:val="21"/>
                      <w:szCs w:val="21"/>
                    </w:rPr>
                  </w:pPr>
                  <w:r>
                    <w:rPr>
                      <w:rFonts w:eastAsiaTheme="minorEastAsia"/>
                      <w:color w:val="000000" w:themeColor="text1"/>
                      <w:sz w:val="21"/>
                      <w:szCs w:val="21"/>
                    </w:rPr>
                    <w:t>评价工作等级</w:t>
                  </w:r>
                </w:p>
              </w:tc>
              <w:tc>
                <w:tcPr>
                  <w:tcW w:w="1693" w:type="dxa"/>
                  <w:vAlign w:val="center"/>
                </w:tcPr>
                <w:p>
                  <w:pPr>
                    <w:adjustRightInd w:val="0"/>
                    <w:snapToGrid w:val="0"/>
                    <w:spacing w:line="240" w:lineRule="auto"/>
                    <w:ind w:firstLine="0" w:firstLineChars="0"/>
                    <w:jc w:val="center"/>
                    <w:rPr>
                      <w:rFonts w:eastAsiaTheme="minorEastAsia"/>
                      <w:b/>
                      <w:color w:val="000000" w:themeColor="text1"/>
                      <w:sz w:val="21"/>
                      <w:szCs w:val="21"/>
                    </w:rPr>
                  </w:pPr>
                  <w:r>
                    <w:rPr>
                      <w:rFonts w:eastAsiaTheme="minorEastAsia"/>
                      <w:b/>
                      <w:color w:val="000000" w:themeColor="text1"/>
                      <w:sz w:val="21"/>
                      <w:szCs w:val="21"/>
                    </w:rPr>
                    <w:t>一</w:t>
                  </w:r>
                </w:p>
              </w:tc>
              <w:tc>
                <w:tcPr>
                  <w:tcW w:w="1693" w:type="dxa"/>
                  <w:vAlign w:val="center"/>
                </w:tcPr>
                <w:p>
                  <w:pPr>
                    <w:adjustRightInd w:val="0"/>
                    <w:snapToGrid w:val="0"/>
                    <w:spacing w:line="240" w:lineRule="auto"/>
                    <w:ind w:firstLine="0" w:firstLineChars="0"/>
                    <w:jc w:val="center"/>
                    <w:rPr>
                      <w:rFonts w:eastAsiaTheme="minorEastAsia"/>
                      <w:b/>
                      <w:color w:val="000000" w:themeColor="text1"/>
                      <w:sz w:val="21"/>
                      <w:szCs w:val="21"/>
                    </w:rPr>
                  </w:pPr>
                  <w:r>
                    <w:rPr>
                      <w:rFonts w:eastAsiaTheme="minorEastAsia"/>
                      <w:b/>
                      <w:color w:val="000000" w:themeColor="text1"/>
                      <w:sz w:val="21"/>
                      <w:szCs w:val="21"/>
                    </w:rPr>
                    <w:t>二</w:t>
                  </w:r>
                </w:p>
              </w:tc>
              <w:tc>
                <w:tcPr>
                  <w:tcW w:w="1693" w:type="dxa"/>
                  <w:vAlign w:val="center"/>
                </w:tcPr>
                <w:p>
                  <w:pPr>
                    <w:adjustRightInd w:val="0"/>
                    <w:snapToGrid w:val="0"/>
                    <w:spacing w:line="240" w:lineRule="auto"/>
                    <w:ind w:firstLine="0" w:firstLineChars="0"/>
                    <w:jc w:val="center"/>
                    <w:rPr>
                      <w:rFonts w:eastAsiaTheme="minorEastAsia"/>
                      <w:b/>
                      <w:color w:val="000000" w:themeColor="text1"/>
                      <w:sz w:val="21"/>
                      <w:szCs w:val="21"/>
                    </w:rPr>
                  </w:pPr>
                  <w:r>
                    <w:rPr>
                      <w:rFonts w:eastAsiaTheme="minorEastAsia"/>
                      <w:b/>
                      <w:color w:val="000000" w:themeColor="text1"/>
                      <w:sz w:val="21"/>
                      <w:szCs w:val="21"/>
                    </w:rPr>
                    <w:t>三</w:t>
                  </w:r>
                </w:p>
              </w:tc>
              <w:tc>
                <w:tcPr>
                  <w:tcW w:w="1691" w:type="dxa"/>
                  <w:vAlign w:val="center"/>
                </w:tcPr>
                <w:p>
                  <w:pPr>
                    <w:adjustRightInd w:val="0"/>
                    <w:snapToGrid w:val="0"/>
                    <w:spacing w:line="240" w:lineRule="auto"/>
                    <w:ind w:firstLine="0" w:firstLineChars="0"/>
                    <w:jc w:val="center"/>
                    <w:rPr>
                      <w:rFonts w:eastAsiaTheme="minorEastAsia"/>
                      <w:b/>
                      <w:color w:val="000000" w:themeColor="text1"/>
                      <w:sz w:val="21"/>
                      <w:szCs w:val="21"/>
                    </w:rPr>
                  </w:pPr>
                  <w:r>
                    <w:rPr>
                      <w:rFonts w:eastAsiaTheme="minorEastAsia"/>
                      <w:b/>
                      <w:color w:val="000000" w:themeColor="text1"/>
                      <w:sz w:val="21"/>
                      <w:szCs w:val="21"/>
                    </w:rPr>
                    <w:t>简单分析*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2" w:hRule="atLeast"/>
                <w:jc w:val="center"/>
              </w:trPr>
              <w:tc>
                <w:tcPr>
                  <w:tcW w:w="8297" w:type="dxa"/>
                  <w:gridSpan w:val="5"/>
                  <w:vAlign w:val="center"/>
                </w:tcPr>
                <w:p>
                  <w:pPr>
                    <w:adjustRightInd w:val="0"/>
                    <w:snapToGrid w:val="0"/>
                    <w:spacing w:line="240" w:lineRule="auto"/>
                    <w:ind w:firstLine="0" w:firstLineChars="0"/>
                    <w:jc w:val="center"/>
                    <w:rPr>
                      <w:rFonts w:eastAsiaTheme="minorEastAsia"/>
                      <w:b/>
                      <w:color w:val="000000" w:themeColor="text1"/>
                      <w:sz w:val="21"/>
                      <w:szCs w:val="21"/>
                    </w:rPr>
                  </w:pPr>
                  <w:r>
                    <w:rPr>
                      <w:rFonts w:eastAsiaTheme="minorEastAsia"/>
                      <w:b/>
                      <w:color w:val="000000" w:themeColor="text1"/>
                      <w:sz w:val="21"/>
                      <w:szCs w:val="21"/>
                    </w:rPr>
                    <w:t>*是相对于详细评价工作</w:t>
                  </w:r>
                </w:p>
              </w:tc>
            </w:tr>
          </w:tbl>
          <w:p>
            <w:pPr>
              <w:snapToGrid w:val="0"/>
              <w:spacing w:before="156" w:beforeLines="50"/>
              <w:ind w:firstLine="480"/>
              <w:rPr>
                <w:color w:val="000000" w:themeColor="text1"/>
              </w:rPr>
            </w:pPr>
            <w:r>
              <w:rPr>
                <w:rFonts w:hint="eastAsia"/>
                <w:color w:val="000000" w:themeColor="text1"/>
              </w:rPr>
              <w:t>由上表可知，本项目环境风险进行简单分析，环境风险简单分析根据HJ169-2018《建设项目环境风险评价技术导则》附录A 简单分析基本内容进行。本项目环境风险不设评价范围。</w:t>
            </w:r>
          </w:p>
          <w:p>
            <w:pPr>
              <w:adjustRightInd w:val="0"/>
              <w:snapToGrid w:val="0"/>
              <w:ind w:firstLine="482"/>
              <w:rPr>
                <w:b/>
                <w:bCs/>
                <w:color w:val="000000" w:themeColor="text1"/>
              </w:rPr>
            </w:pPr>
            <w:r>
              <w:rPr>
                <w:rFonts w:hint="eastAsia"/>
                <w:b/>
                <w:bCs/>
                <w:color w:val="000000" w:themeColor="text1"/>
              </w:rPr>
              <w:t>（2）保护目标</w:t>
            </w:r>
          </w:p>
          <w:p>
            <w:pPr>
              <w:adjustRightInd w:val="0"/>
              <w:snapToGrid w:val="0"/>
              <w:ind w:firstLine="480"/>
              <w:rPr>
                <w:bCs/>
                <w:color w:val="000000" w:themeColor="text1"/>
              </w:rPr>
            </w:pPr>
            <w:r>
              <w:rPr>
                <w:rFonts w:hint="eastAsia"/>
                <w:bCs/>
                <w:color w:val="000000" w:themeColor="text1"/>
              </w:rPr>
              <w:t>本项目环境风险保护目标见表7-1</w:t>
            </w:r>
            <w:r>
              <w:rPr>
                <w:rFonts w:hint="eastAsia"/>
                <w:bCs/>
                <w:color w:val="000000" w:themeColor="text1"/>
                <w:lang w:val="en-US" w:eastAsia="zh-CN"/>
              </w:rPr>
              <w:t>8</w:t>
            </w:r>
            <w:r>
              <w:rPr>
                <w:rFonts w:hint="eastAsia"/>
                <w:bCs/>
                <w:color w:val="000000" w:themeColor="text1"/>
              </w:rPr>
              <w:t>。</w:t>
            </w:r>
          </w:p>
          <w:p>
            <w:pPr>
              <w:pStyle w:val="14"/>
              <w:snapToGrid w:val="0"/>
              <w:ind w:firstLine="422"/>
              <w:jc w:val="center"/>
              <w:rPr>
                <w:rFonts w:ascii="Times New Roman" w:hAnsi="Times New Roman"/>
                <w:b/>
                <w:color w:val="000000" w:themeColor="text1"/>
                <w:sz w:val="21"/>
              </w:rPr>
            </w:pPr>
            <w:r>
              <w:rPr>
                <w:rFonts w:hint="eastAsia" w:ascii="Times New Roman" w:hAnsi="Times New Roman"/>
                <w:b/>
                <w:color w:val="000000" w:themeColor="text1"/>
                <w:sz w:val="21"/>
              </w:rPr>
              <w:t>表7-1</w:t>
            </w:r>
            <w:r>
              <w:rPr>
                <w:rFonts w:hint="eastAsia" w:ascii="Times New Roman" w:hAnsi="Times New Roman"/>
                <w:b/>
                <w:color w:val="000000" w:themeColor="text1"/>
                <w:sz w:val="21"/>
                <w:lang w:val="en-US" w:eastAsia="zh-CN"/>
              </w:rPr>
              <w:t>8</w:t>
            </w:r>
            <w:r>
              <w:rPr>
                <w:rFonts w:hint="eastAsia" w:ascii="Times New Roman" w:hAnsi="Times New Roman"/>
                <w:b/>
                <w:color w:val="000000" w:themeColor="text1"/>
                <w:sz w:val="21"/>
              </w:rPr>
              <w:t xml:space="preserve">  环境风险保护目标一览表</w:t>
            </w:r>
          </w:p>
          <w:tbl>
            <w:tblPr>
              <w:tblStyle w:val="23"/>
              <w:tblW w:w="8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2049"/>
              <w:gridCol w:w="204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49" w:type="dxa"/>
                </w:tcPr>
                <w:p>
                  <w:pPr>
                    <w:pStyle w:val="14"/>
                    <w:spacing w:line="240" w:lineRule="auto"/>
                    <w:ind w:firstLine="0" w:firstLineChars="0"/>
                    <w:jc w:val="center"/>
                    <w:rPr>
                      <w:rFonts w:ascii="Times New Roman" w:hAnsi="Times New Roman"/>
                      <w:b/>
                      <w:color w:val="000000" w:themeColor="text1"/>
                      <w:sz w:val="21"/>
                    </w:rPr>
                  </w:pPr>
                  <w:r>
                    <w:rPr>
                      <w:rFonts w:hint="eastAsia" w:ascii="Times New Roman" w:hAnsi="Times New Roman"/>
                      <w:b/>
                      <w:color w:val="000000" w:themeColor="text1"/>
                      <w:sz w:val="21"/>
                    </w:rPr>
                    <w:t>名称</w:t>
                  </w:r>
                </w:p>
              </w:tc>
              <w:tc>
                <w:tcPr>
                  <w:tcW w:w="2049" w:type="dxa"/>
                </w:tcPr>
                <w:p>
                  <w:pPr>
                    <w:pStyle w:val="14"/>
                    <w:spacing w:line="240" w:lineRule="auto"/>
                    <w:ind w:firstLine="0" w:firstLineChars="0"/>
                    <w:jc w:val="center"/>
                    <w:rPr>
                      <w:rFonts w:ascii="Times New Roman" w:hAnsi="Times New Roman"/>
                      <w:b/>
                      <w:color w:val="000000" w:themeColor="text1"/>
                      <w:sz w:val="21"/>
                    </w:rPr>
                  </w:pPr>
                  <w:r>
                    <w:rPr>
                      <w:rFonts w:hint="eastAsia" w:ascii="Times New Roman" w:hAnsi="Times New Roman"/>
                      <w:b/>
                      <w:color w:val="000000" w:themeColor="text1"/>
                      <w:sz w:val="21"/>
                    </w:rPr>
                    <w:t>相对方位</w:t>
                  </w:r>
                </w:p>
              </w:tc>
              <w:tc>
                <w:tcPr>
                  <w:tcW w:w="2049" w:type="dxa"/>
                </w:tcPr>
                <w:p>
                  <w:pPr>
                    <w:pStyle w:val="14"/>
                    <w:spacing w:line="240" w:lineRule="auto"/>
                    <w:ind w:firstLine="0" w:firstLineChars="0"/>
                    <w:jc w:val="center"/>
                    <w:rPr>
                      <w:rFonts w:ascii="Times New Roman" w:hAnsi="Times New Roman"/>
                      <w:b/>
                      <w:color w:val="000000" w:themeColor="text1"/>
                      <w:sz w:val="21"/>
                    </w:rPr>
                  </w:pPr>
                  <w:r>
                    <w:rPr>
                      <w:rFonts w:hint="eastAsia" w:ascii="Times New Roman" w:hAnsi="Times New Roman"/>
                      <w:b/>
                      <w:color w:val="000000" w:themeColor="text1"/>
                      <w:sz w:val="21"/>
                    </w:rPr>
                    <w:t>距离/m</w:t>
                  </w:r>
                </w:p>
              </w:tc>
              <w:tc>
                <w:tcPr>
                  <w:tcW w:w="2050" w:type="dxa"/>
                </w:tcPr>
                <w:p>
                  <w:pPr>
                    <w:pStyle w:val="14"/>
                    <w:spacing w:line="240" w:lineRule="auto"/>
                    <w:ind w:firstLine="0" w:firstLineChars="0"/>
                    <w:jc w:val="center"/>
                    <w:rPr>
                      <w:rFonts w:ascii="Times New Roman" w:hAnsi="Times New Roman"/>
                      <w:b/>
                      <w:color w:val="000000" w:themeColor="text1"/>
                      <w:sz w:val="21"/>
                    </w:rPr>
                  </w:pPr>
                  <w:r>
                    <w:rPr>
                      <w:rFonts w:hint="eastAsia" w:ascii="Times New Roman" w:hAnsi="Times New Roman"/>
                      <w:b/>
                      <w:color w:val="000000" w:themeColor="text1"/>
                      <w:sz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49" w:type="dxa"/>
                </w:tcPr>
                <w:p>
                  <w:pPr>
                    <w:adjustRightInd w:val="0"/>
                    <w:spacing w:line="240" w:lineRule="auto"/>
                    <w:ind w:firstLine="0" w:firstLineChars="0"/>
                    <w:jc w:val="center"/>
                    <w:rPr>
                      <w:bCs/>
                      <w:color w:val="000000" w:themeColor="text1"/>
                      <w:szCs w:val="21"/>
                    </w:rPr>
                  </w:pPr>
                  <w:r>
                    <w:rPr>
                      <w:rFonts w:hint="eastAsia"/>
                      <w:bCs/>
                      <w:color w:val="000000" w:themeColor="text1"/>
                      <w:szCs w:val="21"/>
                    </w:rPr>
                    <w:t>麦冲村</w:t>
                  </w:r>
                </w:p>
              </w:tc>
              <w:tc>
                <w:tcPr>
                  <w:tcW w:w="2049" w:type="dxa"/>
                </w:tcPr>
                <w:p>
                  <w:pPr>
                    <w:adjustRightInd w:val="0"/>
                    <w:spacing w:line="240" w:lineRule="auto"/>
                    <w:ind w:firstLine="0" w:firstLineChars="0"/>
                    <w:jc w:val="center"/>
                    <w:rPr>
                      <w:bCs/>
                      <w:color w:val="000000" w:themeColor="text1"/>
                      <w:szCs w:val="21"/>
                    </w:rPr>
                  </w:pPr>
                  <w:r>
                    <w:rPr>
                      <w:rFonts w:hint="eastAsia"/>
                      <w:bCs/>
                      <w:color w:val="000000" w:themeColor="text1"/>
                      <w:szCs w:val="21"/>
                    </w:rPr>
                    <w:t>西侧</w:t>
                  </w:r>
                </w:p>
              </w:tc>
              <w:tc>
                <w:tcPr>
                  <w:tcW w:w="2049" w:type="dxa"/>
                </w:tcPr>
                <w:p>
                  <w:pPr>
                    <w:adjustRightInd w:val="0"/>
                    <w:spacing w:line="240" w:lineRule="auto"/>
                    <w:ind w:firstLine="0" w:firstLineChars="0"/>
                    <w:jc w:val="center"/>
                    <w:rPr>
                      <w:bCs/>
                      <w:color w:val="000000" w:themeColor="text1"/>
                      <w:szCs w:val="21"/>
                    </w:rPr>
                  </w:pPr>
                  <w:r>
                    <w:rPr>
                      <w:rFonts w:hint="eastAsia"/>
                      <w:bCs/>
                      <w:color w:val="000000" w:themeColor="text1"/>
                      <w:szCs w:val="21"/>
                    </w:rPr>
                    <w:t>275</w:t>
                  </w:r>
                </w:p>
              </w:tc>
              <w:tc>
                <w:tcPr>
                  <w:tcW w:w="2050" w:type="dxa"/>
                </w:tcPr>
                <w:p>
                  <w:pPr>
                    <w:adjustRightInd w:val="0"/>
                    <w:spacing w:line="240" w:lineRule="auto"/>
                    <w:ind w:firstLine="0" w:firstLineChars="0"/>
                    <w:jc w:val="center"/>
                    <w:rPr>
                      <w:bCs/>
                      <w:color w:val="000000" w:themeColor="text1"/>
                      <w:szCs w:val="21"/>
                    </w:rPr>
                  </w:pPr>
                  <w:r>
                    <w:rPr>
                      <w:rFonts w:hint="eastAsia"/>
                      <w:bCs/>
                      <w:color w:val="000000" w:themeColor="text1"/>
                      <w:szCs w:val="21"/>
                    </w:rPr>
                    <w:t>1047人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49" w:type="dxa"/>
                </w:tcPr>
                <w:p>
                  <w:pPr>
                    <w:pStyle w:val="14"/>
                    <w:spacing w:line="240" w:lineRule="auto"/>
                    <w:ind w:firstLine="0" w:firstLineChars="0"/>
                    <w:jc w:val="center"/>
                    <w:rPr>
                      <w:rFonts w:ascii="Times New Roman" w:hAnsi="Times New Roman"/>
                      <w:color w:val="000000" w:themeColor="text1"/>
                      <w:sz w:val="21"/>
                    </w:rPr>
                  </w:pPr>
                  <w:r>
                    <w:rPr>
                      <w:rFonts w:hint="eastAsia" w:ascii="Times New Roman" w:hAnsi="Times New Roman"/>
                      <w:color w:val="000000" w:themeColor="text1"/>
                      <w:sz w:val="21"/>
                    </w:rPr>
                    <w:t>地下水</w:t>
                  </w:r>
                </w:p>
              </w:tc>
              <w:tc>
                <w:tcPr>
                  <w:tcW w:w="6148" w:type="dxa"/>
                  <w:gridSpan w:val="3"/>
                </w:tcPr>
                <w:p>
                  <w:pPr>
                    <w:pStyle w:val="14"/>
                    <w:spacing w:line="240" w:lineRule="auto"/>
                    <w:ind w:firstLine="0" w:firstLineChars="0"/>
                    <w:jc w:val="center"/>
                    <w:rPr>
                      <w:rFonts w:ascii="Times New Roman" w:hAnsi="Times New Roman"/>
                      <w:color w:val="000000" w:themeColor="text1"/>
                      <w:sz w:val="21"/>
                    </w:rPr>
                  </w:pPr>
                  <w:r>
                    <w:rPr>
                      <w:rFonts w:hint="eastAsia" w:ascii="Times New Roman" w:hAnsi="Times New Roman"/>
                      <w:color w:val="000000" w:themeColor="text1"/>
                      <w:sz w:val="21"/>
                    </w:rPr>
                    <w:t>场址区域含水层，保护地下水水质</w:t>
                  </w:r>
                </w:p>
              </w:tc>
            </w:tr>
          </w:tbl>
          <w:p>
            <w:pPr>
              <w:adjustRightInd w:val="0"/>
              <w:snapToGrid w:val="0"/>
              <w:ind w:firstLine="482"/>
              <w:rPr>
                <w:b/>
                <w:bCs/>
                <w:color w:val="000000" w:themeColor="text1"/>
              </w:rPr>
            </w:pPr>
            <w:r>
              <w:rPr>
                <w:rFonts w:hint="eastAsia"/>
                <w:b/>
                <w:bCs/>
                <w:color w:val="000000" w:themeColor="text1"/>
              </w:rPr>
              <w:t>（3）环境风险识别</w:t>
            </w:r>
          </w:p>
          <w:p>
            <w:pPr>
              <w:pStyle w:val="14"/>
              <w:snapToGrid w:val="0"/>
              <w:spacing w:line="360" w:lineRule="auto"/>
              <w:ind w:firstLine="480"/>
              <w:rPr>
                <w:rFonts w:ascii="Times New Roman" w:hAnsi="Times New Roman"/>
                <w:color w:val="000000" w:themeColor="text1"/>
                <w:sz w:val="24"/>
                <w:szCs w:val="24"/>
              </w:rPr>
            </w:pPr>
            <w:r>
              <w:rPr>
                <w:rFonts w:hint="eastAsia" w:ascii="Times New Roman" w:hAnsi="Times New Roman"/>
                <w:color w:val="000000" w:themeColor="text1"/>
                <w:sz w:val="24"/>
                <w:szCs w:val="24"/>
              </w:rPr>
              <w:t>本项目废机油主要产生于设备保养和维修过程，暂存于危废暂存间，并委托有资质单位进行处置，废机油属于易燃易爆物质。废机油</w:t>
            </w:r>
            <w:r>
              <w:rPr>
                <w:rFonts w:hint="eastAsia"/>
                <w:color w:val="000000" w:themeColor="text1"/>
                <w:kern w:val="0"/>
                <w:sz w:val="24"/>
                <w:szCs w:val="24"/>
              </w:rPr>
              <w:t>发生</w:t>
            </w:r>
            <w:r>
              <w:rPr>
                <w:color w:val="000000" w:themeColor="text1"/>
                <w:kern w:val="0"/>
                <w:sz w:val="24"/>
                <w:szCs w:val="24"/>
              </w:rPr>
              <w:t>泄漏造成土壤</w:t>
            </w:r>
            <w:r>
              <w:rPr>
                <w:rFonts w:hint="eastAsia"/>
                <w:color w:val="000000" w:themeColor="text1"/>
                <w:kern w:val="0"/>
                <w:sz w:val="24"/>
                <w:szCs w:val="24"/>
              </w:rPr>
              <w:t>、地表水及</w:t>
            </w:r>
            <w:r>
              <w:rPr>
                <w:color w:val="000000" w:themeColor="text1"/>
                <w:kern w:val="0"/>
                <w:sz w:val="24"/>
                <w:szCs w:val="24"/>
              </w:rPr>
              <w:t>地下水的污染</w:t>
            </w:r>
            <w:r>
              <w:rPr>
                <w:rFonts w:hint="eastAsia"/>
                <w:color w:val="000000" w:themeColor="text1"/>
                <w:kern w:val="0"/>
                <w:sz w:val="24"/>
                <w:szCs w:val="24"/>
              </w:rPr>
              <w:t>，废机油发生火灾、爆炸</w:t>
            </w:r>
            <w:r>
              <w:rPr>
                <w:color w:val="000000" w:themeColor="text1"/>
                <w:kern w:val="0"/>
                <w:sz w:val="24"/>
                <w:szCs w:val="24"/>
              </w:rPr>
              <w:t>伴生/次生污染物排放</w:t>
            </w:r>
            <w:r>
              <w:rPr>
                <w:rFonts w:hint="eastAsia"/>
                <w:color w:val="000000" w:themeColor="text1"/>
                <w:kern w:val="0"/>
                <w:sz w:val="24"/>
                <w:szCs w:val="24"/>
              </w:rPr>
              <w:t>。</w:t>
            </w:r>
          </w:p>
          <w:p>
            <w:pPr>
              <w:adjustRightInd w:val="0"/>
              <w:snapToGrid w:val="0"/>
              <w:ind w:firstLine="482"/>
              <w:rPr>
                <w:b/>
                <w:bCs/>
                <w:color w:val="000000" w:themeColor="text1"/>
              </w:rPr>
            </w:pPr>
            <w:r>
              <w:rPr>
                <w:rFonts w:hint="eastAsia"/>
                <w:b/>
                <w:bCs/>
                <w:color w:val="000000" w:themeColor="text1"/>
              </w:rPr>
              <w:t>（4）环境风险分析</w:t>
            </w:r>
          </w:p>
          <w:p>
            <w:pPr>
              <w:adjustRightInd w:val="0"/>
              <w:snapToGrid w:val="0"/>
              <w:ind w:firstLine="482"/>
              <w:rPr>
                <w:rStyle w:val="40"/>
                <w:b/>
                <w:bCs/>
                <w:color w:val="000000" w:themeColor="text1"/>
              </w:rPr>
            </w:pPr>
            <w:r>
              <w:rPr>
                <w:rStyle w:val="40"/>
                <w:rFonts w:hint="eastAsia" w:hAnsi="宋体"/>
                <w:b/>
                <w:bCs/>
                <w:color w:val="000000" w:themeColor="text1"/>
              </w:rPr>
              <w:t>①</w:t>
            </w:r>
            <w:r>
              <w:rPr>
                <w:rStyle w:val="40"/>
                <w:rFonts w:hAnsi="宋体"/>
                <w:b/>
                <w:bCs/>
                <w:color w:val="000000" w:themeColor="text1"/>
              </w:rPr>
              <w:t>大气环境风险分析</w:t>
            </w:r>
          </w:p>
          <w:p>
            <w:pPr>
              <w:snapToGrid w:val="0"/>
              <w:ind w:firstLine="480"/>
              <w:rPr>
                <w:rStyle w:val="40"/>
                <w:rFonts w:hAnsi="宋体"/>
                <w:bCs/>
                <w:color w:val="000000" w:themeColor="text1"/>
              </w:rPr>
            </w:pPr>
            <w:r>
              <w:rPr>
                <w:rStyle w:val="40"/>
                <w:rFonts w:hAnsi="宋体"/>
                <w:bCs/>
                <w:color w:val="000000" w:themeColor="text1"/>
              </w:rPr>
              <w:t>根据《建设项目环境风险评价技术导则》（</w:t>
            </w:r>
            <w:r>
              <w:rPr>
                <w:rStyle w:val="40"/>
                <w:bCs/>
                <w:color w:val="000000" w:themeColor="text1"/>
              </w:rPr>
              <w:t>HJ/T169-2018</w:t>
            </w:r>
            <w:r>
              <w:rPr>
                <w:rStyle w:val="40"/>
                <w:rFonts w:hAnsi="宋体"/>
                <w:bCs/>
                <w:color w:val="000000" w:themeColor="text1"/>
              </w:rPr>
              <w:t>）要求，大气环境风险简单分析应定性分析说明大气环境影响后果。因此，本次评价仅</w:t>
            </w:r>
            <w:r>
              <w:rPr>
                <w:rStyle w:val="40"/>
                <w:rFonts w:hint="eastAsia" w:hAnsi="宋体"/>
                <w:bCs/>
                <w:color w:val="000000" w:themeColor="text1"/>
              </w:rPr>
              <w:t>进行</w:t>
            </w:r>
            <w:r>
              <w:rPr>
                <w:rStyle w:val="40"/>
                <w:rFonts w:hAnsi="宋体"/>
                <w:bCs/>
                <w:color w:val="000000" w:themeColor="text1"/>
              </w:rPr>
              <w:t>定性分析，不做预测分析。</w:t>
            </w:r>
          </w:p>
          <w:p>
            <w:pPr>
              <w:pStyle w:val="14"/>
              <w:snapToGrid w:val="0"/>
              <w:spacing w:line="360" w:lineRule="auto"/>
              <w:ind w:firstLine="480"/>
              <w:rPr>
                <w:rFonts w:ascii="Times New Roman" w:hAnsi="Times New Roman"/>
                <w:color w:val="000000" w:themeColor="text1"/>
                <w:sz w:val="24"/>
                <w:szCs w:val="24"/>
              </w:rPr>
            </w:pPr>
            <w:r>
              <w:rPr>
                <w:rFonts w:hint="eastAsia" w:ascii="Times New Roman" w:hAnsi="Times New Roman"/>
                <w:color w:val="000000" w:themeColor="text1"/>
                <w:sz w:val="24"/>
                <w:szCs w:val="24"/>
              </w:rPr>
              <w:t>本项目废机油遇高温明火可发生燃烧。如营运期安全措施不到位，极易引发火灾事故和污染事故。一般火灾事故会造成较大的人身财产安全，在物料燃烧过程中会造成大气环境污染。燃烧过程中会产生如CO、烟尘等有毒有害气体。</w:t>
            </w:r>
            <w:r>
              <w:rPr>
                <w:rFonts w:ascii="Times New Roman" w:hAnsi="Times New Roman"/>
                <w:color w:val="000000" w:themeColor="text1"/>
                <w:sz w:val="24"/>
                <w:szCs w:val="24"/>
              </w:rPr>
              <w:t>CO</w:t>
            </w:r>
            <w:r>
              <w:rPr>
                <w:rFonts w:hint="eastAsia" w:ascii="Times New Roman" w:hAnsi="Times New Roman"/>
                <w:color w:val="000000" w:themeColor="text1"/>
                <w:sz w:val="24"/>
                <w:szCs w:val="24"/>
              </w:rPr>
              <w:t>在大气中比较稳定，不易与其他物质产生化学反应，但当</w:t>
            </w:r>
            <w:r>
              <w:rPr>
                <w:rFonts w:ascii="Times New Roman" w:hAnsi="Times New Roman"/>
                <w:color w:val="000000" w:themeColor="text1"/>
                <w:sz w:val="24"/>
                <w:szCs w:val="24"/>
              </w:rPr>
              <w:t>CO</w:t>
            </w:r>
            <w:r>
              <w:rPr>
                <w:rFonts w:hint="eastAsia" w:ascii="Times New Roman" w:hAnsi="Times New Roman"/>
                <w:color w:val="000000" w:themeColor="text1"/>
                <w:sz w:val="24"/>
                <w:szCs w:val="24"/>
              </w:rPr>
              <w:t>浓度过高时，人在这种环境下待的时间较长，就会出现晕眩、头痛、怠倦的现象，</w:t>
            </w:r>
            <w:r>
              <w:rPr>
                <w:rFonts w:ascii="Times New Roman" w:hAnsi="Times New Roman"/>
                <w:color w:val="000000" w:themeColor="text1"/>
                <w:sz w:val="24"/>
                <w:szCs w:val="24"/>
              </w:rPr>
              <w:t>CO</w:t>
            </w:r>
            <w:r>
              <w:rPr>
                <w:rFonts w:hint="eastAsia" w:ascii="Times New Roman" w:hAnsi="Times New Roman"/>
                <w:color w:val="000000" w:themeColor="text1"/>
                <w:sz w:val="24"/>
                <w:szCs w:val="24"/>
              </w:rPr>
              <w:t>对人的主要危害就是引起组织缺氧，导致急性或者慢性中毒甚至有死亡的威胁。此外，</w:t>
            </w:r>
            <w:r>
              <w:rPr>
                <w:rFonts w:ascii="Times New Roman" w:hAnsi="Times New Roman"/>
                <w:color w:val="000000" w:themeColor="text1"/>
                <w:sz w:val="24"/>
                <w:szCs w:val="24"/>
              </w:rPr>
              <w:t>CO</w:t>
            </w:r>
            <w:r>
              <w:rPr>
                <w:rFonts w:hint="eastAsia" w:ascii="Times New Roman" w:hAnsi="Times New Roman"/>
                <w:color w:val="000000" w:themeColor="text1"/>
                <w:sz w:val="24"/>
                <w:szCs w:val="24"/>
              </w:rPr>
              <w:t>还可能造成听力与视力的损害，比如视野的减小或者听力的丧失。二氧化碳对环境影响主要为温室效应。</w:t>
            </w:r>
          </w:p>
          <w:p>
            <w:pPr>
              <w:pStyle w:val="14"/>
              <w:snapToGrid w:val="0"/>
              <w:spacing w:line="360" w:lineRule="auto"/>
              <w:ind w:firstLine="480"/>
              <w:rPr>
                <w:rFonts w:ascii="Times New Roman" w:hAnsi="Times New Roman"/>
                <w:color w:val="000000" w:themeColor="text1"/>
                <w:sz w:val="24"/>
                <w:szCs w:val="24"/>
              </w:rPr>
            </w:pPr>
            <w:r>
              <w:rPr>
                <w:rStyle w:val="40"/>
                <w:rFonts w:hint="eastAsia" w:hAnsi="宋体"/>
                <w:bCs/>
                <w:color w:val="000000" w:themeColor="text1"/>
                <w:sz w:val="24"/>
                <w:szCs w:val="24"/>
              </w:rPr>
              <w:t>考虑到现在废机油储存量小，本次环评建议在危废暂存间旁配置泡沫灭火器等消防设施进行灭火。项目灭火不使用水进行灭火，故无消防废水产生。</w:t>
            </w:r>
          </w:p>
          <w:p>
            <w:pPr>
              <w:snapToGrid w:val="0"/>
              <w:ind w:firstLine="480"/>
              <w:rPr>
                <w:color w:val="000000" w:themeColor="text1"/>
                <w:highlight w:val="yellow"/>
              </w:rPr>
            </w:pPr>
            <w:r>
              <w:rPr>
                <w:rFonts w:hint="eastAsia"/>
                <w:color w:val="000000" w:themeColor="text1"/>
              </w:rPr>
              <w:t>综上，本次环评要求，</w:t>
            </w:r>
            <w:r>
              <w:rPr>
                <w:rStyle w:val="40"/>
                <w:rFonts w:hAnsi="宋体"/>
                <w:bCs/>
                <w:color w:val="000000" w:themeColor="text1"/>
              </w:rPr>
              <w:t>建设单位应认真落实风险防范措施，</w:t>
            </w:r>
            <w:r>
              <w:rPr>
                <w:rFonts w:hAnsi="宋体"/>
                <w:color w:val="000000" w:themeColor="text1"/>
              </w:rPr>
              <w:t>在采取相应防火应急措施后，风险可控，</w:t>
            </w:r>
            <w:r>
              <w:rPr>
                <w:rFonts w:hint="eastAsia" w:hAnsi="宋体"/>
                <w:color w:val="000000" w:themeColor="text1"/>
              </w:rPr>
              <w:t>项目燃烧</w:t>
            </w:r>
            <w:r>
              <w:rPr>
                <w:rFonts w:hAnsi="宋体"/>
                <w:color w:val="000000" w:themeColor="text1"/>
              </w:rPr>
              <w:t>产生的废气对周边环境影响</w:t>
            </w:r>
            <w:r>
              <w:rPr>
                <w:rFonts w:hint="eastAsia" w:hAnsi="宋体"/>
                <w:color w:val="000000" w:themeColor="text1"/>
              </w:rPr>
              <w:t>小</w:t>
            </w:r>
            <w:r>
              <w:rPr>
                <w:rFonts w:hAnsi="宋体"/>
                <w:color w:val="000000" w:themeColor="text1"/>
              </w:rPr>
              <w:t>。</w:t>
            </w:r>
          </w:p>
          <w:p>
            <w:pPr>
              <w:snapToGrid w:val="0"/>
              <w:ind w:firstLine="482"/>
              <w:rPr>
                <w:rStyle w:val="40"/>
                <w:rFonts w:hAnsi="宋体"/>
                <w:b/>
                <w:bCs/>
                <w:color w:val="000000" w:themeColor="text1"/>
              </w:rPr>
            </w:pPr>
            <w:r>
              <w:rPr>
                <w:rStyle w:val="40"/>
                <w:rFonts w:hint="eastAsia" w:hAnsi="宋体"/>
                <w:b/>
                <w:bCs/>
                <w:color w:val="000000" w:themeColor="text1"/>
              </w:rPr>
              <w:t>②地表水</w:t>
            </w:r>
            <w:r>
              <w:rPr>
                <w:rStyle w:val="40"/>
                <w:rFonts w:hAnsi="宋体"/>
                <w:b/>
                <w:bCs/>
                <w:color w:val="000000" w:themeColor="text1"/>
              </w:rPr>
              <w:t>环境风险分析</w:t>
            </w:r>
          </w:p>
          <w:p>
            <w:pPr>
              <w:snapToGrid w:val="0"/>
              <w:ind w:firstLine="480"/>
              <w:rPr>
                <w:rStyle w:val="40"/>
                <w:rFonts w:hAnsi="宋体"/>
                <w:bCs/>
                <w:color w:val="000000" w:themeColor="text1"/>
              </w:rPr>
            </w:pPr>
            <w:r>
              <w:rPr>
                <w:rStyle w:val="40"/>
                <w:rFonts w:hAnsi="宋体"/>
                <w:bCs/>
                <w:color w:val="000000" w:themeColor="text1"/>
              </w:rPr>
              <w:t>根据《建设项目环境风险评价技术导则》（</w:t>
            </w:r>
            <w:r>
              <w:rPr>
                <w:rStyle w:val="40"/>
                <w:bCs/>
                <w:color w:val="000000" w:themeColor="text1"/>
              </w:rPr>
              <w:t>HJ/T169-2018</w:t>
            </w:r>
            <w:r>
              <w:rPr>
                <w:rStyle w:val="40"/>
                <w:rFonts w:hAnsi="宋体"/>
                <w:bCs/>
                <w:color w:val="000000" w:themeColor="text1"/>
              </w:rPr>
              <w:t>）要求，本次地表水环境风险评价仅定性分析，不做预测。</w:t>
            </w:r>
          </w:p>
          <w:p>
            <w:pPr>
              <w:snapToGrid w:val="0"/>
              <w:ind w:firstLine="480"/>
              <w:rPr>
                <w:rStyle w:val="40"/>
                <w:rFonts w:hAnsi="宋体"/>
                <w:bCs/>
                <w:color w:val="000000" w:themeColor="text1"/>
              </w:rPr>
            </w:pPr>
            <w:r>
              <w:rPr>
                <w:rStyle w:val="40"/>
                <w:rFonts w:hint="eastAsia" w:hAnsi="宋体"/>
                <w:bCs/>
                <w:color w:val="000000" w:themeColor="text1"/>
              </w:rPr>
              <w:t>项目运营过程中，为了防止废机油泄露，危废暂存间内废机油暂存区域周围须设0.1m高的钢筋混凝土围堰，并形成约</w:t>
            </w:r>
            <w:r>
              <w:rPr>
                <w:rStyle w:val="40"/>
                <w:rFonts w:hint="eastAsia" w:hAnsi="宋体"/>
                <w:bCs/>
                <w:color w:val="000000" w:themeColor="text1"/>
                <w:lang w:val="en-US" w:eastAsia="zh-CN"/>
              </w:rPr>
              <w:t>0.4</w:t>
            </w:r>
            <w:r>
              <w:rPr>
                <w:rStyle w:val="40"/>
                <w:rFonts w:hint="eastAsia" w:hAnsi="宋体"/>
                <w:bCs/>
                <w:color w:val="000000" w:themeColor="text1"/>
              </w:rPr>
              <w:t>m</w:t>
            </w:r>
            <w:r>
              <w:rPr>
                <w:rStyle w:val="40"/>
                <w:rFonts w:hint="eastAsia" w:hAnsi="宋体"/>
                <w:bCs/>
                <w:color w:val="000000" w:themeColor="text1"/>
                <w:vertAlign w:val="superscript"/>
              </w:rPr>
              <w:t>3</w:t>
            </w:r>
            <w:r>
              <w:rPr>
                <w:rStyle w:val="40"/>
                <w:rFonts w:hint="eastAsia" w:hAnsi="宋体"/>
                <w:bCs/>
                <w:color w:val="000000" w:themeColor="text1"/>
              </w:rPr>
              <w:t>的有效容积，用于收集、暂存事故情况下的外漏的废机油。</w:t>
            </w:r>
            <w:r>
              <w:rPr>
                <w:rFonts w:hint="eastAsia"/>
                <w:color w:val="000000" w:themeColor="text1"/>
              </w:rPr>
              <w:t>废机油向厂区外泄漏的可能性小，对周围地表水环境影响小。</w:t>
            </w:r>
          </w:p>
          <w:p>
            <w:pPr>
              <w:snapToGrid w:val="0"/>
              <w:ind w:firstLine="482"/>
              <w:rPr>
                <w:rStyle w:val="40"/>
                <w:rFonts w:hAnsi="宋体"/>
                <w:b/>
                <w:bCs/>
                <w:color w:val="000000" w:themeColor="text1"/>
              </w:rPr>
            </w:pPr>
            <w:r>
              <w:rPr>
                <w:rStyle w:val="40"/>
                <w:rFonts w:hint="eastAsia" w:hAnsi="宋体"/>
                <w:b/>
                <w:bCs/>
                <w:color w:val="000000" w:themeColor="text1"/>
              </w:rPr>
              <w:t>③地下水</w:t>
            </w:r>
            <w:r>
              <w:rPr>
                <w:rStyle w:val="40"/>
                <w:rFonts w:hAnsi="宋体"/>
                <w:b/>
                <w:bCs/>
                <w:color w:val="000000" w:themeColor="text1"/>
              </w:rPr>
              <w:t>环境风险分析</w:t>
            </w:r>
          </w:p>
          <w:p>
            <w:pPr>
              <w:pStyle w:val="14"/>
              <w:snapToGrid w:val="0"/>
              <w:spacing w:line="360" w:lineRule="auto"/>
              <w:ind w:firstLine="480"/>
              <w:rPr>
                <w:rFonts w:ascii="Times New Roman" w:hAnsi="Times New Roman"/>
                <w:color w:val="000000" w:themeColor="text1"/>
                <w:sz w:val="24"/>
                <w:szCs w:val="24"/>
              </w:rPr>
            </w:pPr>
            <w:r>
              <w:rPr>
                <w:rFonts w:hint="eastAsia" w:ascii="Times New Roman" w:hAnsi="Times New Roman"/>
                <w:color w:val="000000" w:themeColor="text1"/>
                <w:sz w:val="24"/>
                <w:szCs w:val="24"/>
              </w:rPr>
              <w:t>危废暂存间严格按照GB18597-2001《危险废物贮存污染控制标准》进行建设，</w:t>
            </w:r>
            <w:r>
              <w:rPr>
                <w:rFonts w:ascii="Times New Roman" w:hAnsi="Times New Roman"/>
                <w:color w:val="000000" w:themeColor="text1"/>
                <w:sz w:val="24"/>
                <w:szCs w:val="24"/>
              </w:rPr>
              <w:t>且</w:t>
            </w:r>
            <w:r>
              <w:rPr>
                <w:rFonts w:hint="eastAsia" w:ascii="Times New Roman" w:hAnsi="Times New Roman"/>
                <w:color w:val="000000" w:themeColor="text1"/>
                <w:sz w:val="24"/>
                <w:szCs w:val="24"/>
              </w:rPr>
              <w:t>地面采用抗渗系数为P8的混凝土浇筑，并在混凝土地面上方刷一层2mm的环氧树脂进行防渗</w:t>
            </w:r>
            <w:r>
              <w:rPr>
                <w:rFonts w:ascii="Times New Roman" w:hAnsi="Times New Roman"/>
                <w:color w:val="000000" w:themeColor="text1"/>
                <w:sz w:val="24"/>
                <w:szCs w:val="24"/>
              </w:rPr>
              <w:t>，保证地面渗透系数≤1×10</w:t>
            </w:r>
            <w:r>
              <w:rPr>
                <w:rFonts w:ascii="Times New Roman" w:hAnsi="Times New Roman"/>
                <w:color w:val="000000" w:themeColor="text1"/>
                <w:sz w:val="24"/>
                <w:szCs w:val="24"/>
                <w:vertAlign w:val="superscript"/>
              </w:rPr>
              <w:t>-10</w:t>
            </w:r>
            <w:r>
              <w:rPr>
                <w:rFonts w:ascii="Times New Roman" w:hAnsi="Times New Roman"/>
                <w:color w:val="000000" w:themeColor="text1"/>
                <w:sz w:val="24"/>
                <w:szCs w:val="24"/>
              </w:rPr>
              <w:t>cm/s</w:t>
            </w:r>
            <w:r>
              <w:rPr>
                <w:rFonts w:hint="eastAsia" w:ascii="Times New Roman" w:hAnsi="Times New Roman"/>
                <w:color w:val="000000" w:themeColor="text1"/>
                <w:sz w:val="24"/>
                <w:szCs w:val="24"/>
              </w:rPr>
              <w:t>。</w:t>
            </w:r>
          </w:p>
          <w:p>
            <w:pPr>
              <w:snapToGrid w:val="0"/>
              <w:ind w:firstLine="480"/>
              <w:rPr>
                <w:rStyle w:val="40"/>
                <w:rFonts w:hAnsi="宋体"/>
                <w:bCs/>
                <w:color w:val="000000" w:themeColor="text1"/>
              </w:rPr>
            </w:pPr>
            <w:r>
              <w:rPr>
                <w:rStyle w:val="40"/>
                <w:rFonts w:hint="eastAsia" w:hAnsi="宋体"/>
                <w:bCs/>
                <w:color w:val="000000" w:themeColor="text1"/>
              </w:rPr>
              <w:t>综上，经落实以上防渗措施后，项目</w:t>
            </w:r>
            <w:r>
              <w:rPr>
                <w:rFonts w:hint="eastAsia"/>
                <w:color w:val="000000" w:themeColor="text1"/>
              </w:rPr>
              <w:t>废机油发生下渗的可能性小，对周围地下水环境影响小。</w:t>
            </w:r>
          </w:p>
          <w:p>
            <w:pPr>
              <w:adjustRightInd w:val="0"/>
              <w:snapToGrid w:val="0"/>
              <w:ind w:firstLine="482"/>
              <w:rPr>
                <w:b/>
                <w:bCs/>
                <w:color w:val="000000" w:themeColor="text1"/>
              </w:rPr>
            </w:pPr>
            <w:r>
              <w:rPr>
                <w:rFonts w:hint="eastAsia"/>
                <w:b/>
                <w:bCs/>
                <w:color w:val="000000" w:themeColor="text1"/>
              </w:rPr>
              <w:t>（5）环境风险防范措施</w:t>
            </w:r>
          </w:p>
          <w:p>
            <w:pPr>
              <w:adjustRightInd w:val="0"/>
              <w:snapToGrid w:val="0"/>
              <w:ind w:firstLine="480"/>
              <w:rPr>
                <w:color w:val="000000" w:themeColor="text1"/>
              </w:rPr>
            </w:pPr>
            <w:r>
              <w:rPr>
                <w:rFonts w:hint="eastAsia"/>
                <w:color w:val="000000" w:themeColor="text1"/>
              </w:rPr>
              <w:t>①废机油必须按规定设置警示标志，分类管理，分类存放；配备必要的危险品事故防范和应急技术装备。</w:t>
            </w:r>
          </w:p>
          <w:p>
            <w:pPr>
              <w:adjustRightInd w:val="0"/>
              <w:snapToGrid w:val="0"/>
              <w:ind w:firstLine="480"/>
              <w:rPr>
                <w:color w:val="000000" w:themeColor="text1"/>
              </w:rPr>
            </w:pPr>
            <w:r>
              <w:rPr>
                <w:rFonts w:hint="eastAsia"/>
                <w:color w:val="000000" w:themeColor="text1"/>
              </w:rPr>
              <w:t>②根据消防部门的要求配置泡沫灭火器等消防设施。</w:t>
            </w:r>
          </w:p>
          <w:p>
            <w:pPr>
              <w:adjustRightInd w:val="0"/>
              <w:snapToGrid w:val="0"/>
              <w:ind w:firstLine="480"/>
              <w:rPr>
                <w:color w:val="000000" w:themeColor="text1"/>
              </w:rPr>
            </w:pPr>
            <w:r>
              <w:rPr>
                <w:rFonts w:hint="eastAsia"/>
                <w:color w:val="000000" w:themeColor="text1"/>
              </w:rPr>
              <w:t>③严格按照《建筑设计防火规范》（GB50016-2014）等标准规范进行设计。</w:t>
            </w:r>
          </w:p>
          <w:p>
            <w:pPr>
              <w:pStyle w:val="14"/>
              <w:snapToGrid w:val="0"/>
              <w:spacing w:line="360" w:lineRule="auto"/>
              <w:ind w:firstLine="480"/>
              <w:rPr>
                <w:rFonts w:ascii="Times New Roman" w:hAnsi="Times New Roman"/>
                <w:color w:val="000000" w:themeColor="text1"/>
                <w:sz w:val="24"/>
                <w:szCs w:val="24"/>
              </w:rPr>
            </w:pPr>
            <w:r>
              <w:rPr>
                <w:rFonts w:hint="eastAsia"/>
                <w:color w:val="000000" w:themeColor="text1"/>
                <w:sz w:val="24"/>
                <w:szCs w:val="24"/>
              </w:rPr>
              <w:t>④危废暂存间</w:t>
            </w:r>
            <w:r>
              <w:rPr>
                <w:rFonts w:hint="eastAsia" w:ascii="Times New Roman" w:hAnsi="Times New Roman"/>
                <w:color w:val="000000" w:themeColor="text1"/>
                <w:sz w:val="24"/>
                <w:szCs w:val="24"/>
              </w:rPr>
              <w:t>地面采用抗渗系数为P8的混凝土浇筑，并在混凝土地面上方刷一层2mm的环氧树脂进行防渗</w:t>
            </w:r>
            <w:r>
              <w:rPr>
                <w:rFonts w:ascii="Times New Roman" w:hAnsi="Times New Roman"/>
                <w:color w:val="000000" w:themeColor="text1"/>
                <w:sz w:val="24"/>
                <w:szCs w:val="24"/>
              </w:rPr>
              <w:t>，保证地面渗透系数≤1×10</w:t>
            </w:r>
            <w:r>
              <w:rPr>
                <w:rFonts w:ascii="Times New Roman" w:hAnsi="Times New Roman"/>
                <w:color w:val="000000" w:themeColor="text1"/>
                <w:sz w:val="24"/>
                <w:szCs w:val="24"/>
                <w:vertAlign w:val="superscript"/>
              </w:rPr>
              <w:t>-10</w:t>
            </w:r>
            <w:r>
              <w:rPr>
                <w:rFonts w:ascii="Times New Roman" w:hAnsi="Times New Roman"/>
                <w:color w:val="000000" w:themeColor="text1"/>
                <w:sz w:val="24"/>
                <w:szCs w:val="24"/>
              </w:rPr>
              <w:t>cm/s</w:t>
            </w:r>
            <w:r>
              <w:rPr>
                <w:rFonts w:hint="eastAsia" w:ascii="Times New Roman" w:hAnsi="Times New Roman"/>
                <w:color w:val="000000" w:themeColor="text1"/>
                <w:sz w:val="24"/>
                <w:szCs w:val="24"/>
              </w:rPr>
              <w:t>。</w:t>
            </w:r>
          </w:p>
          <w:p>
            <w:pPr>
              <w:adjustRightInd w:val="0"/>
              <w:snapToGrid w:val="0"/>
              <w:ind w:firstLine="480"/>
              <w:rPr>
                <w:color w:val="000000" w:themeColor="text1"/>
              </w:rPr>
            </w:pPr>
            <w:r>
              <w:rPr>
                <w:rFonts w:hint="eastAsia"/>
                <w:color w:val="000000" w:themeColor="text1"/>
              </w:rPr>
              <w:t>⑤危废暂存间内废机油暂存区域周围须设0.</w:t>
            </w:r>
            <w:r>
              <w:rPr>
                <w:rFonts w:hint="eastAsia"/>
                <w:color w:val="000000" w:themeColor="text1"/>
                <w:lang w:val="en-US" w:eastAsia="zh-CN"/>
              </w:rPr>
              <w:t>1</w:t>
            </w:r>
            <w:r>
              <w:rPr>
                <w:rFonts w:hint="eastAsia"/>
                <w:color w:val="000000" w:themeColor="text1"/>
              </w:rPr>
              <w:t>m高的钢筋混凝土围堰，并形成约</w:t>
            </w:r>
            <w:r>
              <w:rPr>
                <w:rFonts w:hint="eastAsia"/>
                <w:color w:val="000000" w:themeColor="text1"/>
                <w:lang w:val="en-US" w:eastAsia="zh-CN"/>
              </w:rPr>
              <w:t>0.4</w:t>
            </w:r>
            <w:r>
              <w:rPr>
                <w:rFonts w:hint="eastAsia"/>
                <w:color w:val="000000" w:themeColor="text1"/>
              </w:rPr>
              <w:t>m</w:t>
            </w:r>
            <w:r>
              <w:rPr>
                <w:rFonts w:hint="eastAsia"/>
                <w:color w:val="000000" w:themeColor="text1"/>
                <w:vertAlign w:val="superscript"/>
              </w:rPr>
              <w:t>3</w:t>
            </w:r>
            <w:r>
              <w:rPr>
                <w:rFonts w:hint="eastAsia"/>
                <w:color w:val="000000" w:themeColor="text1"/>
              </w:rPr>
              <w:t>的有效容积，用于收集、暂存事故情况下消防废水。</w:t>
            </w:r>
          </w:p>
          <w:p>
            <w:pPr>
              <w:adjustRightInd w:val="0"/>
              <w:snapToGrid w:val="0"/>
              <w:ind w:firstLine="480"/>
              <w:rPr>
                <w:color w:val="000000" w:themeColor="text1"/>
              </w:rPr>
            </w:pPr>
            <w:r>
              <w:rPr>
                <w:rFonts w:hint="eastAsia"/>
                <w:color w:val="000000" w:themeColor="text1"/>
              </w:rPr>
              <w:t>⑥盛装废机油容器上必须贴相应的危险废物标志。危险废物贮存设施都必须按环境保护图形《固体废物贮存（处置）场》（GB15562.2-1995）的规定设置警示标志。</w:t>
            </w:r>
          </w:p>
          <w:p>
            <w:pPr>
              <w:adjustRightInd w:val="0"/>
              <w:snapToGrid w:val="0"/>
              <w:ind w:firstLine="480"/>
              <w:rPr>
                <w:color w:val="000000" w:themeColor="text1"/>
              </w:rPr>
            </w:pPr>
            <w:r>
              <w:rPr>
                <w:rFonts w:hint="eastAsia"/>
                <w:color w:val="000000" w:themeColor="text1"/>
              </w:rPr>
              <w:t>⑦设置危险固废管理台账，如实记载废机油的来源、数量、特性、包装容器类别、入库日期、存放库位。贮存期间，定期对存储容器进行检查，及时更换破损容器。</w:t>
            </w:r>
          </w:p>
          <w:p>
            <w:pPr>
              <w:adjustRightInd w:val="0"/>
              <w:snapToGrid w:val="0"/>
              <w:ind w:firstLine="482"/>
              <w:rPr>
                <w:b/>
                <w:bCs/>
                <w:color w:val="000000" w:themeColor="text1"/>
              </w:rPr>
            </w:pPr>
            <w:r>
              <w:rPr>
                <w:rFonts w:hint="eastAsia"/>
                <w:b/>
                <w:bCs/>
                <w:color w:val="000000" w:themeColor="text1"/>
              </w:rPr>
              <w:t>（6）应急预案</w:t>
            </w:r>
          </w:p>
          <w:p>
            <w:pPr>
              <w:snapToGrid w:val="0"/>
              <w:ind w:firstLine="480"/>
              <w:rPr>
                <w:rFonts w:hAnsi="宋体"/>
                <w:color w:val="000000" w:themeColor="text1"/>
              </w:rPr>
            </w:pPr>
            <w:r>
              <w:rPr>
                <w:rFonts w:hAnsi="宋体"/>
                <w:color w:val="000000" w:themeColor="text1"/>
              </w:rPr>
              <w:t>为预防</w:t>
            </w:r>
            <w:r>
              <w:fldChar w:fldCharType="begin"/>
            </w:r>
            <w:r>
              <w:instrText xml:space="preserve"> HYPERLINK "http://www.hbsafety.cn/article/33/" \t "_blank" </w:instrText>
            </w:r>
            <w:r>
              <w:fldChar w:fldCharType="separate"/>
            </w:r>
            <w:r>
              <w:rPr>
                <w:rFonts w:hAnsi="宋体"/>
                <w:color w:val="000000" w:themeColor="text1"/>
              </w:rPr>
              <w:t>事故</w:t>
            </w:r>
            <w:r>
              <w:rPr>
                <w:rFonts w:hAnsi="宋体"/>
                <w:color w:val="000000" w:themeColor="text1"/>
              </w:rPr>
              <w:fldChar w:fldCharType="end"/>
            </w:r>
            <w:r>
              <w:rPr>
                <w:rFonts w:hAnsi="宋体"/>
                <w:color w:val="000000" w:themeColor="text1"/>
              </w:rPr>
              <w:t>发生，规范</w:t>
            </w:r>
            <w:r>
              <w:rPr>
                <w:rFonts w:hint="eastAsia" w:hAnsi="宋体"/>
                <w:color w:val="000000" w:themeColor="text1"/>
              </w:rPr>
              <w:t>本项目</w:t>
            </w:r>
            <w:r>
              <w:rPr>
                <w:rFonts w:hAnsi="宋体"/>
                <w:color w:val="000000" w:themeColor="text1"/>
              </w:rPr>
              <w:t>应急管理和应急响应程序，迅速有效地控制和处置可能发生的</w:t>
            </w:r>
            <w:r>
              <w:fldChar w:fldCharType="begin"/>
            </w:r>
            <w:r>
              <w:instrText xml:space="preserve"> HYPERLINK "http://www.hbsafety.cn/article/33/" \t "_blank" </w:instrText>
            </w:r>
            <w:r>
              <w:fldChar w:fldCharType="separate"/>
            </w:r>
            <w:r>
              <w:rPr>
                <w:rFonts w:hAnsi="宋体"/>
                <w:color w:val="000000" w:themeColor="text1"/>
              </w:rPr>
              <w:t>事故</w:t>
            </w:r>
            <w:r>
              <w:rPr>
                <w:rFonts w:hAnsi="宋体"/>
                <w:color w:val="000000" w:themeColor="text1"/>
              </w:rPr>
              <w:fldChar w:fldCharType="end"/>
            </w:r>
            <w:r>
              <w:rPr>
                <w:rFonts w:hAnsi="宋体"/>
                <w:color w:val="000000" w:themeColor="text1"/>
              </w:rPr>
              <w:t>，降低</w:t>
            </w:r>
            <w:r>
              <w:fldChar w:fldCharType="begin"/>
            </w:r>
            <w:r>
              <w:instrText xml:space="preserve"> HYPERLINK "http://www.hbsafety.cn/article/33/" \t "_blank" </w:instrText>
            </w:r>
            <w:r>
              <w:fldChar w:fldCharType="separate"/>
            </w:r>
            <w:r>
              <w:rPr>
                <w:rFonts w:hAnsi="宋体"/>
                <w:color w:val="000000" w:themeColor="text1"/>
              </w:rPr>
              <w:t>事故</w:t>
            </w:r>
            <w:r>
              <w:rPr>
                <w:rFonts w:hAnsi="宋体"/>
                <w:color w:val="000000" w:themeColor="text1"/>
              </w:rPr>
              <w:fldChar w:fldCharType="end"/>
            </w:r>
            <w:r>
              <w:rPr>
                <w:rFonts w:hAnsi="宋体"/>
                <w:color w:val="000000" w:themeColor="text1"/>
              </w:rPr>
              <w:t>造成人员伤亡和财产损失，企业应按国家有关规定要求，建立事故应急机制，研究制定突发环境应急预案，应急预案必须与地方政府突发环境应急预案有效对接及联动。当发生环境风险事故时，按应急预案要求，认真落实各项事故应急措施，做到责任到位、落实到人、常备不懈。</w:t>
            </w:r>
          </w:p>
          <w:p>
            <w:pPr>
              <w:autoSpaceDE w:val="0"/>
              <w:autoSpaceDN w:val="0"/>
              <w:snapToGrid w:val="0"/>
              <w:ind w:firstLine="480"/>
              <w:rPr>
                <w:color w:val="000000" w:themeColor="text1"/>
              </w:rPr>
            </w:pPr>
            <w:r>
              <w:rPr>
                <w:rFonts w:hAnsi="宋体"/>
                <w:color w:val="000000" w:themeColor="text1"/>
              </w:rPr>
              <w:t>根据《中华人民共和国环境保护法》、《中华人民共和国水污染防治法》、《中华人民共和国大气污染防治法》、《危险化学品安全管理条例》（国务院344号）</w:t>
            </w:r>
            <w:r>
              <w:rPr>
                <w:rFonts w:hint="eastAsia" w:hAnsi="宋体"/>
                <w:color w:val="000000" w:themeColor="text1"/>
              </w:rPr>
              <w:t>、</w:t>
            </w:r>
            <w:r>
              <w:rPr>
                <w:rFonts w:hAnsi="宋体"/>
                <w:color w:val="000000" w:themeColor="text1"/>
              </w:rPr>
              <w:t>《中华人民共和国安全生产法》</w:t>
            </w:r>
            <w:r>
              <w:rPr>
                <w:rFonts w:hint="eastAsia" w:hAnsi="宋体"/>
                <w:color w:val="000000" w:themeColor="text1"/>
              </w:rPr>
              <w:t>、</w:t>
            </w:r>
            <w:r>
              <w:rPr>
                <w:rFonts w:hint="eastAsia"/>
                <w:color w:val="000000" w:themeColor="text1"/>
              </w:rPr>
              <w:t>《关于印发&lt;企业突发环境事件风险评估指南（试行）&gt;的通知》（环办〔2014〕34号）和《企业突发环境事件风险分级方法》（H</w:t>
            </w:r>
            <w:r>
              <w:rPr>
                <w:color w:val="000000" w:themeColor="text1"/>
              </w:rPr>
              <w:t>J 941-2018</w:t>
            </w:r>
            <w:r>
              <w:rPr>
                <w:rFonts w:hint="eastAsia"/>
                <w:color w:val="000000" w:themeColor="text1"/>
              </w:rPr>
              <w:t>）</w:t>
            </w:r>
            <w:r>
              <w:rPr>
                <w:rFonts w:hAnsi="宋体"/>
                <w:color w:val="000000" w:themeColor="text1"/>
              </w:rPr>
              <w:t>的相关规定，结合建设单位的实际情况，参照关于印发《企业事业单位突发环境事件应急预案备案管理办法（试行）》的通知（环发[2015]4号）</w:t>
            </w:r>
            <w:r>
              <w:rPr>
                <w:rFonts w:hint="eastAsia" w:hAnsi="宋体"/>
                <w:color w:val="000000" w:themeColor="text1"/>
              </w:rPr>
              <w:t>和</w:t>
            </w:r>
            <w:r>
              <w:rPr>
                <w:rFonts w:hAnsi="宋体"/>
                <w:color w:val="000000" w:themeColor="text1"/>
              </w:rPr>
              <w:t>《环境应急资源调查指南（试行）》（环办应急[2019]17号）的要求，</w:t>
            </w:r>
            <w:r>
              <w:rPr>
                <w:rFonts w:hint="eastAsia"/>
                <w:color w:val="000000" w:themeColor="text1"/>
              </w:rPr>
              <w:t>企业须编制突发环境事件应急预案，并报</w:t>
            </w:r>
            <w:r>
              <w:rPr>
                <w:rFonts w:hint="eastAsia"/>
                <w:color w:val="000000" w:themeColor="text1"/>
                <w:lang w:eastAsia="zh-CN"/>
              </w:rPr>
              <w:t>昆明市</w:t>
            </w:r>
            <w:r>
              <w:rPr>
                <w:rFonts w:hint="eastAsia"/>
                <w:color w:val="000000" w:themeColor="text1"/>
              </w:rPr>
              <w:t>生态环境局</w:t>
            </w:r>
            <w:r>
              <w:rPr>
                <w:rFonts w:hint="eastAsia"/>
                <w:color w:val="000000" w:themeColor="text1"/>
                <w:lang w:eastAsia="zh-CN"/>
              </w:rPr>
              <w:t>宜良</w:t>
            </w:r>
            <w:r>
              <w:rPr>
                <w:rFonts w:hint="eastAsia"/>
                <w:color w:val="000000" w:themeColor="text1"/>
              </w:rPr>
              <w:t>分局备案。</w:t>
            </w:r>
          </w:p>
          <w:p>
            <w:pPr>
              <w:adjustRightInd w:val="0"/>
              <w:snapToGrid w:val="0"/>
              <w:ind w:firstLine="482"/>
              <w:rPr>
                <w:b/>
                <w:color w:val="000000" w:themeColor="text1"/>
              </w:rPr>
            </w:pPr>
            <w:r>
              <w:rPr>
                <w:rFonts w:hint="eastAsia"/>
                <w:b/>
                <w:color w:val="000000" w:themeColor="text1"/>
              </w:rPr>
              <w:t>（7）小结</w:t>
            </w:r>
          </w:p>
          <w:p>
            <w:pPr>
              <w:adjustRightInd w:val="0"/>
              <w:snapToGrid w:val="0"/>
              <w:ind w:firstLine="480"/>
              <w:rPr>
                <w:color w:val="000000" w:themeColor="text1"/>
              </w:rPr>
            </w:pPr>
            <w:r>
              <w:rPr>
                <w:rFonts w:hint="eastAsia"/>
                <w:color w:val="000000" w:themeColor="text1"/>
              </w:rPr>
              <w:t>本项目的危险物品为设备维护使用的废机油，为易燃物质，若贮存和使用时管理不当、操作不当，发生泄露、火灾、爆炸等环境风险事故将造成厂区的直接经济损失，对在厂、邻近人员造成伤害。结合项目实际情况，本评价提出了相关防范措施，在加强管理及积极落实有关防范措施后，本项目环境事故发生的可能性很低，风险可以规避。企业须编制突发环境事件应急预案，并报当地环境管理部门备案。</w:t>
            </w:r>
          </w:p>
          <w:p>
            <w:pPr>
              <w:widowControl/>
              <w:snapToGrid w:val="0"/>
              <w:ind w:firstLine="482"/>
              <w:rPr>
                <w:b/>
                <w:color w:val="000000" w:themeColor="text1"/>
              </w:rPr>
            </w:pPr>
            <w:r>
              <w:rPr>
                <w:rFonts w:hint="eastAsia"/>
                <w:b/>
                <w:color w:val="000000" w:themeColor="text1"/>
              </w:rPr>
              <w:t>项目环境风险评价自查表见附件</w:t>
            </w:r>
            <w:r>
              <w:rPr>
                <w:rFonts w:hint="eastAsia"/>
                <w:b/>
                <w:color w:val="000000" w:themeColor="text1"/>
                <w:lang w:val="en-US" w:eastAsia="zh-CN"/>
              </w:rPr>
              <w:t>8</w:t>
            </w:r>
            <w:r>
              <w:rPr>
                <w:rFonts w:hint="eastAsia"/>
                <w:b/>
                <w:color w:val="000000" w:themeColor="text1"/>
              </w:rPr>
              <w:t>。</w:t>
            </w:r>
          </w:p>
          <w:p>
            <w:pPr>
              <w:adjustRightInd w:val="0"/>
              <w:snapToGrid w:val="0"/>
              <w:ind w:firstLine="480"/>
              <w:rPr>
                <w:color w:val="000000" w:themeColor="text1"/>
              </w:rPr>
            </w:pPr>
            <w:r>
              <w:rPr>
                <w:rFonts w:hint="eastAsia"/>
                <w:color w:val="000000" w:themeColor="text1"/>
              </w:rPr>
              <w:t>建设项目环境风险简单分析内容见表7-</w:t>
            </w:r>
            <w:r>
              <w:rPr>
                <w:rFonts w:hint="eastAsia"/>
                <w:color w:val="000000" w:themeColor="text1"/>
                <w:lang w:val="en-US" w:eastAsia="zh-CN"/>
              </w:rPr>
              <w:t>19</w:t>
            </w:r>
            <w:r>
              <w:rPr>
                <w:rFonts w:hint="eastAsia"/>
                <w:color w:val="000000" w:themeColor="text1"/>
              </w:rPr>
              <w:t>。</w:t>
            </w:r>
          </w:p>
          <w:p>
            <w:pPr>
              <w:snapToGrid w:val="0"/>
              <w:ind w:firstLine="482"/>
              <w:jc w:val="center"/>
              <w:outlineLvl w:val="0"/>
              <w:rPr>
                <w:b/>
                <w:bCs/>
                <w:color w:val="000000" w:themeColor="text1"/>
              </w:rPr>
            </w:pPr>
            <w:bookmarkStart w:id="32" w:name="_Toc21308"/>
            <w:r>
              <w:rPr>
                <w:rFonts w:hint="eastAsia"/>
                <w:b/>
                <w:bCs/>
                <w:color w:val="000000" w:themeColor="text1"/>
              </w:rPr>
              <w:t>表7-</w:t>
            </w:r>
            <w:r>
              <w:rPr>
                <w:rFonts w:hint="eastAsia"/>
                <w:b/>
                <w:bCs/>
                <w:color w:val="000000" w:themeColor="text1"/>
                <w:lang w:val="en-US" w:eastAsia="zh-CN"/>
              </w:rPr>
              <w:t>19</w:t>
            </w:r>
            <w:r>
              <w:rPr>
                <w:rFonts w:hint="eastAsia"/>
                <w:b/>
                <w:bCs/>
                <w:color w:val="000000" w:themeColor="text1"/>
              </w:rPr>
              <w:t xml:space="preserve">   建设项目环境风险简单分析表</w:t>
            </w:r>
            <w:bookmarkEnd w:id="32"/>
          </w:p>
          <w:tbl>
            <w:tblPr>
              <w:tblStyle w:val="2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33"/>
              <w:gridCol w:w="1021"/>
              <w:gridCol w:w="1849"/>
              <w:gridCol w:w="1069"/>
              <w:gridCol w:w="18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 w:hRule="atLeast"/>
                <w:jc w:val="center"/>
              </w:trPr>
              <w:tc>
                <w:tcPr>
                  <w:tcW w:w="1526" w:type="pct"/>
                  <w:vAlign w:val="center"/>
                </w:tcPr>
                <w:p>
                  <w:pPr>
                    <w:spacing w:line="240" w:lineRule="auto"/>
                    <w:ind w:firstLine="0" w:firstLineChars="0"/>
                    <w:jc w:val="center"/>
                    <w:rPr>
                      <w:color w:val="000000" w:themeColor="text1"/>
                      <w:sz w:val="21"/>
                      <w:szCs w:val="21"/>
                    </w:rPr>
                  </w:pPr>
                  <w:r>
                    <w:rPr>
                      <w:color w:val="000000" w:themeColor="text1"/>
                      <w:sz w:val="21"/>
                      <w:szCs w:val="21"/>
                    </w:rPr>
                    <w:t>建设项目名称</w:t>
                  </w:r>
                </w:p>
              </w:tc>
              <w:tc>
                <w:tcPr>
                  <w:tcW w:w="3474" w:type="pct"/>
                  <w:gridSpan w:val="4"/>
                  <w:vAlign w:val="center"/>
                </w:tcPr>
                <w:p>
                  <w:pPr>
                    <w:spacing w:line="240" w:lineRule="auto"/>
                    <w:ind w:firstLine="0" w:firstLineChars="0"/>
                    <w:jc w:val="center"/>
                    <w:rPr>
                      <w:color w:val="000000" w:themeColor="text1"/>
                      <w:sz w:val="21"/>
                      <w:szCs w:val="21"/>
                    </w:rPr>
                  </w:pPr>
                  <w:r>
                    <w:rPr>
                      <w:rFonts w:hint="eastAsia"/>
                      <w:sz w:val="21"/>
                      <w:szCs w:val="21"/>
                    </w:rPr>
                    <w:t>宜良县益林石材厂废料加工利用项目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 w:hRule="atLeast"/>
                <w:jc w:val="center"/>
              </w:trPr>
              <w:tc>
                <w:tcPr>
                  <w:tcW w:w="1526" w:type="pct"/>
                  <w:vAlign w:val="center"/>
                </w:tcPr>
                <w:p>
                  <w:pPr>
                    <w:spacing w:line="240" w:lineRule="auto"/>
                    <w:ind w:firstLine="0" w:firstLineChars="0"/>
                    <w:jc w:val="center"/>
                    <w:rPr>
                      <w:color w:val="000000" w:themeColor="text1"/>
                      <w:sz w:val="21"/>
                      <w:szCs w:val="21"/>
                    </w:rPr>
                  </w:pPr>
                  <w:r>
                    <w:rPr>
                      <w:color w:val="000000" w:themeColor="text1"/>
                      <w:sz w:val="21"/>
                      <w:szCs w:val="21"/>
                    </w:rPr>
                    <w:t>建设地点</w:t>
                  </w:r>
                </w:p>
              </w:tc>
              <w:tc>
                <w:tcPr>
                  <w:tcW w:w="3474" w:type="pct"/>
                  <w:gridSpan w:val="4"/>
                  <w:vAlign w:val="center"/>
                </w:tcPr>
                <w:p>
                  <w:pPr>
                    <w:spacing w:line="240" w:lineRule="auto"/>
                    <w:ind w:firstLine="0" w:firstLineChars="0"/>
                    <w:jc w:val="center"/>
                    <w:rPr>
                      <w:color w:val="000000" w:themeColor="text1"/>
                      <w:sz w:val="21"/>
                      <w:szCs w:val="21"/>
                    </w:rPr>
                  </w:pPr>
                  <w:r>
                    <w:rPr>
                      <w:color w:val="000000" w:themeColor="text1"/>
                      <w:sz w:val="21"/>
                      <w:szCs w:val="21"/>
                    </w:rPr>
                    <w:t>云南省昆明市宜良县匡远镇瑞星村委会麦冲村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 w:hRule="atLeast"/>
                <w:jc w:val="center"/>
              </w:trPr>
              <w:tc>
                <w:tcPr>
                  <w:tcW w:w="1526" w:type="pct"/>
                  <w:vAlign w:val="center"/>
                </w:tcPr>
                <w:p>
                  <w:pPr>
                    <w:spacing w:line="240" w:lineRule="auto"/>
                    <w:ind w:firstLine="0" w:firstLineChars="0"/>
                    <w:jc w:val="center"/>
                    <w:rPr>
                      <w:color w:val="000000" w:themeColor="text1"/>
                      <w:sz w:val="21"/>
                      <w:szCs w:val="21"/>
                    </w:rPr>
                  </w:pPr>
                  <w:r>
                    <w:rPr>
                      <w:color w:val="000000" w:themeColor="text1"/>
                      <w:sz w:val="21"/>
                      <w:szCs w:val="21"/>
                    </w:rPr>
                    <w:t>地理坐标</w:t>
                  </w:r>
                </w:p>
              </w:tc>
              <w:tc>
                <w:tcPr>
                  <w:tcW w:w="615" w:type="pct"/>
                  <w:vAlign w:val="center"/>
                </w:tcPr>
                <w:p>
                  <w:pPr>
                    <w:spacing w:line="240" w:lineRule="auto"/>
                    <w:ind w:firstLine="0" w:firstLineChars="0"/>
                    <w:jc w:val="center"/>
                    <w:rPr>
                      <w:color w:val="000000" w:themeColor="text1"/>
                      <w:sz w:val="21"/>
                      <w:szCs w:val="21"/>
                    </w:rPr>
                  </w:pPr>
                  <w:r>
                    <w:rPr>
                      <w:color w:val="000000" w:themeColor="text1"/>
                      <w:sz w:val="21"/>
                      <w:szCs w:val="21"/>
                    </w:rPr>
                    <w:t>经度</w:t>
                  </w:r>
                </w:p>
              </w:tc>
              <w:tc>
                <w:tcPr>
                  <w:tcW w:w="1114" w:type="pct"/>
                  <w:vAlign w:val="center"/>
                </w:tcPr>
                <w:p>
                  <w:pPr>
                    <w:spacing w:line="240" w:lineRule="auto"/>
                    <w:ind w:firstLine="0" w:firstLineChars="0"/>
                    <w:jc w:val="center"/>
                    <w:rPr>
                      <w:color w:val="000000" w:themeColor="text1"/>
                      <w:sz w:val="21"/>
                      <w:szCs w:val="21"/>
                    </w:rPr>
                  </w:pPr>
                  <w:r>
                    <w:rPr>
                      <w:color w:val="000000" w:themeColor="text1"/>
                      <w:sz w:val="21"/>
                      <w:szCs w:val="21"/>
                      <w:lang w:val="en-GB" w:eastAsia="zh-TW"/>
                    </w:rPr>
                    <w:t>103°13′8.58″</w:t>
                  </w:r>
                </w:p>
              </w:tc>
              <w:tc>
                <w:tcPr>
                  <w:tcW w:w="644" w:type="pct"/>
                  <w:vAlign w:val="center"/>
                </w:tcPr>
                <w:p>
                  <w:pPr>
                    <w:spacing w:line="240" w:lineRule="auto"/>
                    <w:ind w:firstLine="0" w:firstLineChars="0"/>
                    <w:jc w:val="center"/>
                    <w:rPr>
                      <w:color w:val="000000" w:themeColor="text1"/>
                      <w:sz w:val="21"/>
                      <w:szCs w:val="21"/>
                    </w:rPr>
                  </w:pPr>
                  <w:r>
                    <w:rPr>
                      <w:color w:val="000000" w:themeColor="text1"/>
                      <w:sz w:val="21"/>
                      <w:szCs w:val="21"/>
                    </w:rPr>
                    <w:t>纬度</w:t>
                  </w:r>
                </w:p>
              </w:tc>
              <w:tc>
                <w:tcPr>
                  <w:tcW w:w="1101" w:type="pct"/>
                  <w:vAlign w:val="center"/>
                </w:tcPr>
                <w:p>
                  <w:pPr>
                    <w:spacing w:line="240" w:lineRule="auto"/>
                    <w:ind w:firstLine="0" w:firstLineChars="0"/>
                    <w:jc w:val="center"/>
                    <w:rPr>
                      <w:color w:val="000000" w:themeColor="text1"/>
                      <w:sz w:val="21"/>
                      <w:szCs w:val="21"/>
                    </w:rPr>
                  </w:pPr>
                  <w:r>
                    <w:rPr>
                      <w:color w:val="000000" w:themeColor="text1"/>
                      <w:sz w:val="21"/>
                      <w:szCs w:val="21"/>
                      <w:lang w:val="en-GB" w:eastAsia="zh-TW"/>
                    </w:rPr>
                    <w:t>25°51′18.94″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 w:hRule="atLeast"/>
                <w:jc w:val="center"/>
              </w:trPr>
              <w:tc>
                <w:tcPr>
                  <w:tcW w:w="1526" w:type="pct"/>
                  <w:vAlign w:val="center"/>
                </w:tcPr>
                <w:p>
                  <w:pPr>
                    <w:spacing w:line="240" w:lineRule="auto"/>
                    <w:ind w:firstLine="0" w:firstLineChars="0"/>
                    <w:jc w:val="center"/>
                    <w:rPr>
                      <w:color w:val="000000" w:themeColor="text1"/>
                      <w:sz w:val="21"/>
                      <w:szCs w:val="21"/>
                    </w:rPr>
                  </w:pPr>
                  <w:r>
                    <w:rPr>
                      <w:color w:val="000000" w:themeColor="text1"/>
                      <w:sz w:val="21"/>
                      <w:szCs w:val="21"/>
                    </w:rPr>
                    <w:t>主要危险物质及分布</w:t>
                  </w:r>
                </w:p>
              </w:tc>
              <w:tc>
                <w:tcPr>
                  <w:tcW w:w="3474" w:type="pct"/>
                  <w:gridSpan w:val="4"/>
                  <w:vAlign w:val="center"/>
                </w:tcPr>
                <w:p>
                  <w:pPr>
                    <w:spacing w:line="240" w:lineRule="auto"/>
                    <w:ind w:firstLine="0" w:firstLineChars="0"/>
                    <w:jc w:val="center"/>
                    <w:rPr>
                      <w:color w:val="000000" w:themeColor="text1"/>
                      <w:sz w:val="21"/>
                      <w:szCs w:val="21"/>
                    </w:rPr>
                  </w:pPr>
                  <w:r>
                    <w:rPr>
                      <w:color w:val="000000" w:themeColor="text1"/>
                      <w:sz w:val="21"/>
                      <w:szCs w:val="21"/>
                    </w:rPr>
                    <w:t>废机油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1526" w:type="pct"/>
                  <w:vAlign w:val="center"/>
                </w:tcPr>
                <w:p>
                  <w:pPr>
                    <w:spacing w:line="240" w:lineRule="auto"/>
                    <w:ind w:firstLine="0" w:firstLineChars="0"/>
                    <w:jc w:val="center"/>
                    <w:rPr>
                      <w:color w:val="000000" w:themeColor="text1"/>
                      <w:sz w:val="21"/>
                      <w:szCs w:val="21"/>
                    </w:rPr>
                  </w:pPr>
                  <w:r>
                    <w:rPr>
                      <w:color w:val="000000" w:themeColor="text1"/>
                      <w:sz w:val="21"/>
                      <w:szCs w:val="21"/>
                    </w:rPr>
                    <w:t>环境影响途径及危害后果（大气、地表水、地下水等）</w:t>
                  </w:r>
                </w:p>
              </w:tc>
              <w:tc>
                <w:tcPr>
                  <w:tcW w:w="3474" w:type="pct"/>
                  <w:gridSpan w:val="4"/>
                  <w:vAlign w:val="center"/>
                </w:tcPr>
                <w:p>
                  <w:pPr>
                    <w:spacing w:line="240" w:lineRule="auto"/>
                    <w:ind w:firstLine="0" w:firstLineChars="0"/>
                    <w:jc w:val="center"/>
                    <w:rPr>
                      <w:color w:val="000000" w:themeColor="text1"/>
                      <w:sz w:val="21"/>
                      <w:szCs w:val="21"/>
                    </w:rPr>
                  </w:pPr>
                  <w:r>
                    <w:rPr>
                      <w:color w:val="000000" w:themeColor="text1"/>
                      <w:sz w:val="21"/>
                      <w:szCs w:val="21"/>
                    </w:rPr>
                    <w:t>具体见“风险识别内容”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 w:hRule="atLeast"/>
                <w:jc w:val="center"/>
              </w:trPr>
              <w:tc>
                <w:tcPr>
                  <w:tcW w:w="1526" w:type="pct"/>
                  <w:vAlign w:val="center"/>
                </w:tcPr>
                <w:p>
                  <w:pPr>
                    <w:spacing w:line="240" w:lineRule="auto"/>
                    <w:ind w:firstLine="0" w:firstLineChars="0"/>
                    <w:jc w:val="center"/>
                    <w:rPr>
                      <w:color w:val="000000" w:themeColor="text1"/>
                      <w:sz w:val="21"/>
                      <w:szCs w:val="21"/>
                    </w:rPr>
                  </w:pPr>
                  <w:r>
                    <w:rPr>
                      <w:color w:val="000000" w:themeColor="text1"/>
                      <w:sz w:val="21"/>
                      <w:szCs w:val="21"/>
                    </w:rPr>
                    <w:t>风险防范措施要求</w:t>
                  </w:r>
                </w:p>
              </w:tc>
              <w:tc>
                <w:tcPr>
                  <w:tcW w:w="3474" w:type="pct"/>
                  <w:gridSpan w:val="4"/>
                  <w:vAlign w:val="center"/>
                </w:tcPr>
                <w:p>
                  <w:pPr>
                    <w:spacing w:line="240" w:lineRule="auto"/>
                    <w:ind w:firstLine="0" w:firstLineChars="0"/>
                    <w:rPr>
                      <w:color w:val="000000" w:themeColor="text1"/>
                      <w:sz w:val="21"/>
                      <w:szCs w:val="21"/>
                    </w:rPr>
                  </w:pPr>
                  <w:r>
                    <w:rPr>
                      <w:color w:val="000000" w:themeColor="text1"/>
                      <w:sz w:val="21"/>
                      <w:szCs w:val="21"/>
                    </w:rPr>
                    <w:t>（1）废机油必须按规定设置警示标志，分类管理，分类存放；配备必要的危险品事故防范和应急技术装备。</w:t>
                  </w:r>
                </w:p>
                <w:p>
                  <w:pPr>
                    <w:spacing w:line="240" w:lineRule="auto"/>
                    <w:ind w:firstLine="0" w:firstLineChars="0"/>
                    <w:rPr>
                      <w:color w:val="000000" w:themeColor="text1"/>
                      <w:sz w:val="21"/>
                      <w:szCs w:val="21"/>
                    </w:rPr>
                  </w:pPr>
                  <w:r>
                    <w:rPr>
                      <w:color w:val="000000" w:themeColor="text1"/>
                      <w:sz w:val="21"/>
                      <w:szCs w:val="21"/>
                    </w:rPr>
                    <w:t>（2）根据消防部门的要求配置泡沫灭火器等消防设施。</w:t>
                  </w:r>
                </w:p>
                <w:p>
                  <w:pPr>
                    <w:spacing w:line="240" w:lineRule="auto"/>
                    <w:ind w:firstLine="0" w:firstLineChars="0"/>
                    <w:rPr>
                      <w:color w:val="000000" w:themeColor="text1"/>
                      <w:sz w:val="21"/>
                      <w:szCs w:val="21"/>
                    </w:rPr>
                  </w:pPr>
                  <w:r>
                    <w:rPr>
                      <w:color w:val="000000" w:themeColor="text1"/>
                      <w:sz w:val="21"/>
                      <w:szCs w:val="21"/>
                    </w:rPr>
                    <w:t>（3）严格按照《建筑设计防火规范》（GB50016-2014）等标准规范进行设计。</w:t>
                  </w:r>
                </w:p>
                <w:p>
                  <w:pPr>
                    <w:spacing w:line="240" w:lineRule="auto"/>
                    <w:ind w:firstLine="0" w:firstLineChars="0"/>
                    <w:rPr>
                      <w:color w:val="000000" w:themeColor="text1"/>
                      <w:sz w:val="21"/>
                      <w:szCs w:val="21"/>
                    </w:rPr>
                  </w:pPr>
                  <w:r>
                    <w:rPr>
                      <w:color w:val="000000" w:themeColor="text1"/>
                      <w:sz w:val="21"/>
                      <w:szCs w:val="21"/>
                    </w:rPr>
                    <w:t>（4）危废暂存间地面采用抗渗系数为P8的混凝土浇筑，并在混凝土地面上方刷一层2mm的环氧树脂进行防渗，保证地面渗透系数≤1×10</w:t>
                  </w:r>
                  <w:r>
                    <w:rPr>
                      <w:color w:val="000000" w:themeColor="text1"/>
                      <w:sz w:val="21"/>
                      <w:szCs w:val="21"/>
                      <w:vertAlign w:val="superscript"/>
                    </w:rPr>
                    <w:t>-10</w:t>
                  </w:r>
                  <w:r>
                    <w:rPr>
                      <w:color w:val="000000" w:themeColor="text1"/>
                      <w:sz w:val="21"/>
                      <w:szCs w:val="21"/>
                    </w:rPr>
                    <w:t>cm/s。</w:t>
                  </w:r>
                </w:p>
                <w:p>
                  <w:pPr>
                    <w:spacing w:line="240" w:lineRule="auto"/>
                    <w:ind w:firstLine="0" w:firstLineChars="0"/>
                    <w:rPr>
                      <w:color w:val="000000" w:themeColor="text1"/>
                      <w:sz w:val="21"/>
                      <w:szCs w:val="21"/>
                    </w:rPr>
                  </w:pPr>
                  <w:r>
                    <w:rPr>
                      <w:color w:val="000000" w:themeColor="text1"/>
                      <w:sz w:val="21"/>
                      <w:szCs w:val="21"/>
                    </w:rPr>
                    <w:t>（5）危废暂存间内废机油暂存区域周围须设0.</w:t>
                  </w:r>
                  <w:r>
                    <w:rPr>
                      <w:rFonts w:hint="eastAsia"/>
                      <w:color w:val="000000" w:themeColor="text1"/>
                      <w:sz w:val="21"/>
                      <w:szCs w:val="21"/>
                    </w:rPr>
                    <w:t>1</w:t>
                  </w:r>
                  <w:r>
                    <w:rPr>
                      <w:color w:val="000000" w:themeColor="text1"/>
                      <w:sz w:val="21"/>
                      <w:szCs w:val="21"/>
                    </w:rPr>
                    <w:t>m高的钢筋混凝土围堰，并形成约</w:t>
                  </w:r>
                  <w:r>
                    <w:rPr>
                      <w:rFonts w:hint="eastAsia"/>
                      <w:color w:val="000000" w:themeColor="text1"/>
                      <w:sz w:val="21"/>
                      <w:szCs w:val="21"/>
                      <w:lang w:val="en-US" w:eastAsia="zh-CN"/>
                    </w:rPr>
                    <w:t>0.4</w:t>
                  </w:r>
                  <w:r>
                    <w:rPr>
                      <w:color w:val="000000" w:themeColor="text1"/>
                      <w:sz w:val="21"/>
                      <w:szCs w:val="21"/>
                    </w:rPr>
                    <w:t>m</w:t>
                  </w:r>
                  <w:r>
                    <w:rPr>
                      <w:color w:val="000000" w:themeColor="text1"/>
                      <w:sz w:val="21"/>
                      <w:szCs w:val="21"/>
                      <w:vertAlign w:val="superscript"/>
                    </w:rPr>
                    <w:t>3</w:t>
                  </w:r>
                  <w:r>
                    <w:rPr>
                      <w:color w:val="000000" w:themeColor="text1"/>
                      <w:sz w:val="21"/>
                      <w:szCs w:val="21"/>
                    </w:rPr>
                    <w:t>的有效容积，用于收集、暂存事故情况下消防废水。</w:t>
                  </w:r>
                </w:p>
                <w:p>
                  <w:pPr>
                    <w:spacing w:line="240" w:lineRule="auto"/>
                    <w:ind w:firstLine="0" w:firstLineChars="0"/>
                    <w:rPr>
                      <w:color w:val="000000" w:themeColor="text1"/>
                      <w:sz w:val="21"/>
                      <w:szCs w:val="21"/>
                    </w:rPr>
                  </w:pPr>
                  <w:r>
                    <w:rPr>
                      <w:color w:val="000000" w:themeColor="text1"/>
                      <w:sz w:val="21"/>
                      <w:szCs w:val="21"/>
                    </w:rPr>
                    <w:t>（6）盛装废机油容器上必须贴相应的危险废物标志。危险废物贮存设施都必须按环境保护图形《固体废物贮存（处置）场》（GB15562.2-1995）的规定设置警示标志。</w:t>
                  </w:r>
                </w:p>
                <w:p>
                  <w:pPr>
                    <w:spacing w:line="240" w:lineRule="auto"/>
                    <w:ind w:firstLine="0" w:firstLineChars="0"/>
                    <w:rPr>
                      <w:color w:val="000000" w:themeColor="text1"/>
                      <w:sz w:val="21"/>
                      <w:szCs w:val="21"/>
                    </w:rPr>
                  </w:pPr>
                  <w:r>
                    <w:rPr>
                      <w:color w:val="000000" w:themeColor="text1"/>
                      <w:sz w:val="21"/>
                      <w:szCs w:val="21"/>
                    </w:rPr>
                    <w:t>（7）设置危险固废管理台账，如实记载废机油的来源、数量、特性、包装容器类别、入库日期、存放库位。贮存期间，定期对存储容器进行检查，及时更换破损容器。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5000" w:type="pct"/>
                  <w:gridSpan w:val="5"/>
                </w:tcPr>
                <w:p>
                  <w:pPr>
                    <w:snapToGrid w:val="0"/>
                    <w:spacing w:line="240" w:lineRule="auto"/>
                    <w:ind w:firstLine="0" w:firstLineChars="0"/>
                    <w:rPr>
                      <w:color w:val="000000" w:themeColor="text1"/>
                      <w:sz w:val="21"/>
                      <w:szCs w:val="21"/>
                    </w:rPr>
                  </w:pPr>
                  <w:r>
                    <w:rPr>
                      <w:color w:val="000000" w:themeColor="text1"/>
                      <w:sz w:val="21"/>
                      <w:szCs w:val="21"/>
                    </w:rPr>
                    <w:t>填表说明（列出项目相关信息及评价说明）：</w:t>
                  </w:r>
                </w:p>
                <w:p>
                  <w:pPr>
                    <w:snapToGrid w:val="0"/>
                    <w:spacing w:line="240" w:lineRule="auto"/>
                    <w:ind w:firstLine="0" w:firstLineChars="0"/>
                    <w:rPr>
                      <w:color w:val="000000" w:themeColor="text1"/>
                      <w:sz w:val="21"/>
                      <w:szCs w:val="21"/>
                    </w:rPr>
                  </w:pPr>
                  <w:r>
                    <w:rPr>
                      <w:color w:val="000000" w:themeColor="text1"/>
                      <w:sz w:val="21"/>
                      <w:szCs w:val="21"/>
                    </w:rPr>
                    <w:t>项目Q值小于1，故环境风险潜势为Ⅰ，只进行简单分析</w:t>
                  </w:r>
                </w:p>
              </w:tc>
            </w:tr>
          </w:tbl>
          <w:p>
            <w:pPr>
              <w:adjustRightInd w:val="0"/>
              <w:snapToGrid w:val="0"/>
              <w:ind w:firstLine="482"/>
              <w:rPr>
                <w:b/>
                <w:color w:val="000000" w:themeColor="text1"/>
              </w:rPr>
            </w:pPr>
            <w:r>
              <w:rPr>
                <w:rFonts w:hint="eastAsia"/>
                <w:b/>
                <w:color w:val="000000" w:themeColor="text1"/>
              </w:rPr>
              <w:t>三、分析判定情况</w:t>
            </w:r>
          </w:p>
          <w:p>
            <w:pPr>
              <w:snapToGrid w:val="0"/>
              <w:ind w:firstLine="482"/>
              <w:rPr>
                <w:b/>
                <w:color w:val="000000" w:themeColor="text1"/>
              </w:rPr>
            </w:pPr>
            <w:r>
              <w:rPr>
                <w:rFonts w:hint="eastAsia"/>
                <w:b/>
                <w:color w:val="000000" w:themeColor="text1"/>
              </w:rPr>
              <w:t>（1）产业政策符合性分析</w:t>
            </w:r>
          </w:p>
          <w:p>
            <w:pPr>
              <w:snapToGrid w:val="0"/>
              <w:ind w:firstLine="480"/>
              <w:rPr>
                <w:color w:val="000000" w:themeColor="text1"/>
              </w:rPr>
            </w:pPr>
            <w:r>
              <w:rPr>
                <w:rFonts w:hint="eastAsia"/>
                <w:color w:val="000000" w:themeColor="text1"/>
              </w:rPr>
              <w:t>本项目为石材加工项目，根据中华人民共和国国家发展和改革委员会令第29号</w:t>
            </w:r>
            <w:r>
              <w:rPr>
                <w:color w:val="000000" w:themeColor="text1"/>
              </w:rPr>
              <w:t>《</w:t>
            </w:r>
            <w:r>
              <w:rPr>
                <w:rFonts w:hint="eastAsia"/>
                <w:color w:val="000000" w:themeColor="text1"/>
                <w:kern w:val="0"/>
                <w:szCs w:val="20"/>
              </w:rPr>
              <w:t>产业结构调整指导目录（2019年本）</w:t>
            </w:r>
            <w:r>
              <w:rPr>
                <w:color w:val="000000" w:themeColor="text1"/>
              </w:rPr>
              <w:t>》</w:t>
            </w:r>
            <w:r>
              <w:rPr>
                <w:rFonts w:hint="eastAsia"/>
                <w:color w:val="000000" w:themeColor="text1"/>
              </w:rPr>
              <w:t>可知，本项目生产工艺、规模、设备均不属于其中的限制类和淘汰类项目，为允许类项目。此外，对照《部分工业行业淘汰落后生产工艺装备和产品指导目录（2010 年本）》，本项目未使用淘汰落后生产工艺设备。</w:t>
            </w:r>
          </w:p>
          <w:p>
            <w:pPr>
              <w:snapToGrid w:val="0"/>
              <w:ind w:firstLine="480"/>
              <w:rPr>
                <w:color w:val="000000" w:themeColor="text1"/>
              </w:rPr>
            </w:pPr>
            <w:r>
              <w:rPr>
                <w:rFonts w:hint="eastAsia"/>
                <w:color w:val="000000" w:themeColor="text1"/>
              </w:rPr>
              <w:t>综上所述，本项目的建设符合国家及云南省产业政策要求。</w:t>
            </w:r>
          </w:p>
          <w:p>
            <w:pPr>
              <w:snapToGrid w:val="0"/>
              <w:ind w:firstLine="482"/>
              <w:rPr>
                <w:b/>
                <w:color w:val="000000" w:themeColor="text1"/>
              </w:rPr>
            </w:pPr>
            <w:r>
              <w:rPr>
                <w:rFonts w:hint="eastAsia"/>
                <w:b/>
                <w:color w:val="000000" w:themeColor="text1"/>
              </w:rPr>
              <w:t>（2）与《云南省主体功能区规划》符合性判定</w:t>
            </w:r>
          </w:p>
          <w:p>
            <w:pPr>
              <w:snapToGrid w:val="0"/>
              <w:ind w:firstLine="480"/>
              <w:rPr>
                <w:color w:val="000000" w:themeColor="text1"/>
              </w:rPr>
            </w:pPr>
            <w:r>
              <w:rPr>
                <w:rFonts w:hint="eastAsia"/>
                <w:color w:val="000000" w:themeColor="text1"/>
              </w:rPr>
              <w:t>《云南省主体功能区规划》按不同区域的资源环境承载力、现有开发密度和未来发展潜力划分主体功能区，逐步形成人口、经济、资源环境相协调的空间开发格局，将云南省划分为重点开发区域、限制开发区域和禁止开发区域</w:t>
            </w:r>
            <w:r>
              <w:rPr>
                <w:color w:val="000000" w:themeColor="text1"/>
              </w:rPr>
              <w:t>3</w:t>
            </w:r>
            <w:r>
              <w:rPr>
                <w:rFonts w:hint="eastAsia"/>
                <w:color w:val="000000" w:themeColor="text1"/>
              </w:rPr>
              <w:t>类主体功能区。《云南省主体功能区规划》规定的限制开发区主要指关系全省农产品供给安全、生态安全，不应该或不适宜进行大规模、高强度工业化和城镇化开发的农产品主产区和重点生态功能区。限制开发区也可发展符合主体功能定位、当地资源环境可承载的产业。禁止开发区域指依法设立的各级各类自然文化资源保护区域，以及其他禁止进行工业化和城镇化开发、需要特殊保护的重点生态功能区。规划中禁止开发区域包括自然保护区、世界遗产、风景名胜区、森林公园、城市饮用水源保护区、湿地公园等。</w:t>
            </w:r>
          </w:p>
          <w:p>
            <w:pPr>
              <w:snapToGrid w:val="0"/>
              <w:ind w:firstLine="480"/>
              <w:rPr>
                <w:color w:val="000000" w:themeColor="text1"/>
              </w:rPr>
            </w:pPr>
            <w:r>
              <w:rPr>
                <w:rFonts w:hint="eastAsia"/>
                <w:color w:val="000000" w:themeColor="text1"/>
              </w:rPr>
              <w:t>本项目为</w:t>
            </w:r>
            <w:r>
              <w:rPr>
                <w:rFonts w:hint="eastAsia"/>
                <w:color w:val="000000" w:themeColor="text1"/>
                <w:lang w:eastAsia="zh-CN"/>
              </w:rPr>
              <w:t>细石料</w:t>
            </w:r>
            <w:r>
              <w:rPr>
                <w:rFonts w:hint="eastAsia"/>
                <w:color w:val="000000" w:themeColor="text1"/>
              </w:rPr>
              <w:t>加工项目，</w:t>
            </w:r>
            <w:r>
              <w:rPr>
                <w:color w:val="000000" w:themeColor="text1"/>
              </w:rPr>
              <w:t>项目位于</w:t>
            </w:r>
            <w:r>
              <w:rPr>
                <w:rFonts w:hint="eastAsia"/>
              </w:rPr>
              <w:t>云南省昆明市宜良县匡远镇瑞星村委会麦冲村，</w:t>
            </w:r>
            <w:r>
              <w:rPr>
                <w:rFonts w:hint="eastAsia"/>
                <w:color w:val="000000" w:themeColor="text1"/>
              </w:rPr>
              <w:t>不在《云南省主体功能区规划》规定的限制开发区域和禁止开发区域，项目建设总体与《云南省主体功能区规划》相符。</w:t>
            </w:r>
          </w:p>
          <w:p>
            <w:pPr>
              <w:snapToGrid w:val="0"/>
              <w:ind w:firstLine="482"/>
              <w:rPr>
                <w:b/>
                <w:color w:val="000000" w:themeColor="text1"/>
              </w:rPr>
            </w:pPr>
            <w:r>
              <w:rPr>
                <w:rFonts w:hint="eastAsia" w:ascii="宋体" w:hAnsi="宋体" w:cs="宋体"/>
                <w:b/>
                <w:color w:val="000000"/>
                <w:kern w:val="0"/>
              </w:rPr>
              <w:t>（</w:t>
            </w:r>
            <w:r>
              <w:rPr>
                <w:rFonts w:hint="eastAsia"/>
                <w:b/>
                <w:color w:val="000000"/>
                <w:kern w:val="0"/>
              </w:rPr>
              <w:t>3</w:t>
            </w:r>
            <w:r>
              <w:rPr>
                <w:rFonts w:hint="eastAsia" w:ascii="宋体" w:hAnsi="宋体" w:cs="宋体"/>
                <w:b/>
                <w:color w:val="000000"/>
                <w:kern w:val="0"/>
              </w:rPr>
              <w:t>）</w:t>
            </w:r>
            <w:r>
              <w:rPr>
                <w:rFonts w:hint="eastAsia"/>
                <w:b/>
                <w:color w:val="000000" w:themeColor="text1"/>
              </w:rPr>
              <w:t>与《大气污染防治行动计划》符合性判定</w:t>
            </w:r>
          </w:p>
          <w:p>
            <w:pPr>
              <w:snapToGrid w:val="0"/>
              <w:ind w:firstLine="480"/>
              <w:rPr>
                <w:color w:val="000000" w:themeColor="text1"/>
              </w:rPr>
            </w:pPr>
            <w:r>
              <w:rPr>
                <w:rFonts w:hint="eastAsia"/>
                <w:color w:val="000000" w:themeColor="text1"/>
              </w:rPr>
              <w:t>根据“国发〔2013〕37号”《国务院关于印发大气污染防治行动计划的通知》中：一、加大综合治理力度，减少污染物排放，二、深化面源污染治理：综合整治城市扬尘。加强施工扬尘监管，积极推进绿色施工，建设工程施工现场应全封闭设置围挡墙，严禁敞开式作业，施工现场道路应进行地面硬化。渣土运输车辆应采取密闭措施，并逐步安装卫星定位系统。推行道路机械化清扫等低尘作业方式。大型煤堆、料场要实现封闭储存或建设防风抑尘设施。</w:t>
            </w:r>
          </w:p>
          <w:p>
            <w:pPr>
              <w:snapToGrid w:val="0"/>
              <w:ind w:firstLine="480"/>
              <w:rPr>
                <w:color w:val="000000" w:themeColor="text1"/>
              </w:rPr>
            </w:pPr>
            <w:r>
              <w:rPr>
                <w:rFonts w:hint="eastAsia"/>
                <w:color w:val="000000" w:themeColor="text1"/>
              </w:rPr>
              <w:t>本项目建成后破碎车间、成品堆场间均为全封闭结构，且项目破碎工段洒水喷淋，粉尘产生量小；道路运输扬尘采用洒水车进行洒水降尘后，可有效减少粉尘产生量。因此，本项目符合《大气污染防治行动计划》的要求。</w:t>
            </w:r>
          </w:p>
          <w:p>
            <w:pPr>
              <w:widowControl/>
              <w:ind w:firstLine="482"/>
              <w:jc w:val="left"/>
            </w:pPr>
            <w:r>
              <w:rPr>
                <w:rFonts w:hint="eastAsia"/>
                <w:b/>
                <w:color w:val="000000" w:themeColor="text1"/>
              </w:rPr>
              <w:t>（4）</w:t>
            </w:r>
            <w:r>
              <w:rPr>
                <w:rFonts w:hint="eastAsia" w:ascii="宋体" w:hAnsi="宋体" w:cs="宋体"/>
                <w:b/>
                <w:color w:val="000000"/>
                <w:kern w:val="0"/>
              </w:rPr>
              <w:t xml:space="preserve">选址合理性 </w:t>
            </w:r>
          </w:p>
          <w:p>
            <w:pPr>
              <w:widowControl/>
              <w:ind w:firstLine="480"/>
              <w:jc w:val="left"/>
            </w:pPr>
            <w:r>
              <w:rPr>
                <w:rFonts w:hint="eastAsia"/>
                <w:color w:val="000000" w:themeColor="text1"/>
              </w:rPr>
              <w:t>本项目利用</w:t>
            </w:r>
            <w:r>
              <w:rPr>
                <w:rFonts w:hint="eastAsia"/>
              </w:rPr>
              <w:t>宜良县益林石材厂预留用地进行建设</w:t>
            </w:r>
            <w:r>
              <w:rPr>
                <w:rFonts w:hint="eastAsia"/>
                <w:lang w:eastAsia="zh-CN"/>
              </w:rPr>
              <w:t>细石料</w:t>
            </w:r>
            <w:r>
              <w:rPr>
                <w:rFonts w:hint="eastAsia"/>
              </w:rPr>
              <w:t>生产线</w:t>
            </w:r>
            <w:r>
              <w:rPr>
                <w:color w:val="000000" w:themeColor="text1"/>
              </w:rPr>
              <w:t>，</w:t>
            </w:r>
            <w:r>
              <w:rPr>
                <w:rFonts w:hint="eastAsia" w:ascii="宋体" w:hAnsi="宋体" w:cs="宋体"/>
                <w:color w:val="000000"/>
                <w:kern w:val="0"/>
              </w:rPr>
              <w:t>根据现场踏勘和查阅相关资料，</w:t>
            </w:r>
            <w:r>
              <w:rPr>
                <w:color w:val="000000" w:themeColor="text1"/>
              </w:rPr>
              <w:t>本项目</w:t>
            </w:r>
            <w:r>
              <w:rPr>
                <w:rFonts w:hint="eastAsia"/>
                <w:color w:val="000000" w:themeColor="text1"/>
              </w:rPr>
              <w:t>不占用基本农田，</w:t>
            </w:r>
            <w:r>
              <w:rPr>
                <w:rFonts w:hint="eastAsia" w:ascii="宋体" w:hAnsi="宋体" w:cs="宋体"/>
                <w:color w:val="000000"/>
                <w:kern w:val="0"/>
              </w:rPr>
              <w:t>不涉及文物保护单位、自然保护区、风景名胜区、森林公园等法定环境敏感区和特殊功能生态区。无限制本工程建设的重大环境因子，因此本项目从环境保护角度分析选址是可行的。</w:t>
            </w:r>
          </w:p>
          <w:p>
            <w:pPr>
              <w:adjustRightInd w:val="0"/>
              <w:snapToGrid w:val="0"/>
              <w:ind w:firstLine="482"/>
              <w:outlineLvl w:val="0"/>
              <w:rPr>
                <w:b/>
                <w:color w:val="000000" w:themeColor="text1"/>
                <w:kern w:val="0"/>
              </w:rPr>
            </w:pPr>
            <w:bookmarkStart w:id="33" w:name="_Toc12934"/>
            <w:r>
              <w:rPr>
                <w:rFonts w:hint="eastAsia"/>
                <w:b/>
                <w:color w:val="000000" w:themeColor="text1"/>
                <w:kern w:val="0"/>
              </w:rPr>
              <w:t>四</w:t>
            </w:r>
            <w:r>
              <w:rPr>
                <w:b/>
                <w:color w:val="000000" w:themeColor="text1"/>
                <w:kern w:val="0"/>
              </w:rPr>
              <w:t>、</w:t>
            </w:r>
            <w:r>
              <w:rPr>
                <w:rFonts w:hint="eastAsia"/>
                <w:b/>
                <w:color w:val="000000" w:themeColor="text1"/>
              </w:rPr>
              <w:t>环境监理及监测计划</w:t>
            </w:r>
            <w:bookmarkEnd w:id="33"/>
          </w:p>
          <w:p>
            <w:pPr>
              <w:snapToGrid w:val="0"/>
              <w:ind w:firstLine="482"/>
              <w:rPr>
                <w:b/>
                <w:color w:val="000000" w:themeColor="text1"/>
              </w:rPr>
            </w:pPr>
            <w:r>
              <w:rPr>
                <w:rFonts w:hint="eastAsia"/>
                <w:b/>
                <w:color w:val="000000" w:themeColor="text1"/>
              </w:rPr>
              <w:t>（1）环境监理</w:t>
            </w:r>
          </w:p>
          <w:p>
            <w:pPr>
              <w:snapToGrid w:val="0"/>
              <w:ind w:firstLine="480"/>
              <w:rPr>
                <w:color w:val="000000" w:themeColor="text1"/>
              </w:rPr>
            </w:pPr>
            <w:r>
              <w:rPr>
                <w:rFonts w:hint="eastAsia"/>
                <w:color w:val="000000" w:themeColor="text1"/>
              </w:rPr>
              <w:t>项目施工期环境监理及监督计划见表7-2</w:t>
            </w:r>
            <w:r>
              <w:rPr>
                <w:rFonts w:hint="eastAsia"/>
                <w:color w:val="000000" w:themeColor="text1"/>
                <w:lang w:val="en-US" w:eastAsia="zh-CN"/>
              </w:rPr>
              <w:t>0</w:t>
            </w:r>
            <w:r>
              <w:rPr>
                <w:rFonts w:hint="eastAsia"/>
                <w:color w:val="000000" w:themeColor="text1"/>
              </w:rPr>
              <w:t>。</w:t>
            </w:r>
          </w:p>
          <w:p>
            <w:pPr>
              <w:snapToGrid w:val="0"/>
              <w:ind w:firstLine="482"/>
              <w:jc w:val="center"/>
              <w:rPr>
                <w:b/>
                <w:color w:val="000000" w:themeColor="text1"/>
                <w:szCs w:val="21"/>
              </w:rPr>
            </w:pPr>
            <w:r>
              <w:rPr>
                <w:rFonts w:hint="eastAsia"/>
                <w:b/>
                <w:color w:val="000000" w:themeColor="text1"/>
                <w:szCs w:val="21"/>
              </w:rPr>
              <w:t>表7-2</w:t>
            </w:r>
            <w:r>
              <w:rPr>
                <w:rFonts w:hint="eastAsia"/>
                <w:b/>
                <w:color w:val="000000" w:themeColor="text1"/>
                <w:szCs w:val="21"/>
                <w:lang w:val="en-US" w:eastAsia="zh-CN"/>
              </w:rPr>
              <w:t>0</w:t>
            </w:r>
            <w:r>
              <w:rPr>
                <w:rFonts w:hint="eastAsia"/>
                <w:b/>
                <w:color w:val="000000" w:themeColor="text1"/>
                <w:szCs w:val="21"/>
              </w:rPr>
              <w:t xml:space="preserve">   施工环境监理及监督计划表</w:t>
            </w:r>
          </w:p>
          <w:tbl>
            <w:tblPr>
              <w:tblStyle w:val="22"/>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4721"/>
              <w:gridCol w:w="105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shd w:val="clear" w:color="auto" w:fill="auto"/>
                </w:tcPr>
                <w:p>
                  <w:pPr>
                    <w:tabs>
                      <w:tab w:val="left" w:pos="611"/>
                    </w:tabs>
                    <w:spacing w:line="240" w:lineRule="auto"/>
                    <w:ind w:firstLine="0" w:firstLineChars="0"/>
                    <w:jc w:val="center"/>
                    <w:rPr>
                      <w:b/>
                      <w:color w:val="000000" w:themeColor="text1"/>
                      <w:sz w:val="21"/>
                      <w:szCs w:val="21"/>
                    </w:rPr>
                  </w:pPr>
                  <w:r>
                    <w:rPr>
                      <w:rFonts w:hint="eastAsia"/>
                      <w:b/>
                      <w:color w:val="000000" w:themeColor="text1"/>
                      <w:sz w:val="21"/>
                      <w:szCs w:val="21"/>
                    </w:rPr>
                    <w:t>环境问题</w:t>
                  </w:r>
                </w:p>
              </w:tc>
              <w:tc>
                <w:tcPr>
                  <w:tcW w:w="4721" w:type="dxa"/>
                  <w:shd w:val="clear" w:color="auto" w:fill="auto"/>
                </w:tcPr>
                <w:p>
                  <w:pPr>
                    <w:tabs>
                      <w:tab w:val="left" w:pos="611"/>
                    </w:tabs>
                    <w:spacing w:line="240" w:lineRule="auto"/>
                    <w:ind w:firstLine="0" w:firstLineChars="0"/>
                    <w:jc w:val="center"/>
                    <w:rPr>
                      <w:b/>
                      <w:color w:val="000000" w:themeColor="text1"/>
                      <w:sz w:val="21"/>
                      <w:szCs w:val="21"/>
                    </w:rPr>
                  </w:pPr>
                  <w:r>
                    <w:rPr>
                      <w:rFonts w:hint="eastAsia"/>
                      <w:b/>
                      <w:color w:val="000000" w:themeColor="text1"/>
                      <w:sz w:val="21"/>
                      <w:szCs w:val="21"/>
                    </w:rPr>
                    <w:t>环保措施要求</w:t>
                  </w:r>
                </w:p>
              </w:tc>
              <w:tc>
                <w:tcPr>
                  <w:tcW w:w="1052" w:type="dxa"/>
                  <w:shd w:val="clear" w:color="auto" w:fill="auto"/>
                </w:tcPr>
                <w:p>
                  <w:pPr>
                    <w:tabs>
                      <w:tab w:val="left" w:pos="611"/>
                    </w:tabs>
                    <w:spacing w:line="240" w:lineRule="auto"/>
                    <w:ind w:firstLine="0" w:firstLineChars="0"/>
                    <w:jc w:val="center"/>
                    <w:rPr>
                      <w:b/>
                      <w:color w:val="000000" w:themeColor="text1"/>
                      <w:sz w:val="21"/>
                      <w:szCs w:val="21"/>
                    </w:rPr>
                  </w:pPr>
                  <w:r>
                    <w:rPr>
                      <w:rFonts w:hint="eastAsia"/>
                      <w:b/>
                      <w:color w:val="000000" w:themeColor="text1"/>
                      <w:sz w:val="21"/>
                      <w:szCs w:val="21"/>
                    </w:rPr>
                    <w:t>执行单位</w:t>
                  </w:r>
                </w:p>
              </w:tc>
              <w:tc>
                <w:tcPr>
                  <w:tcW w:w="1425" w:type="dxa"/>
                  <w:shd w:val="clear" w:color="auto" w:fill="auto"/>
                </w:tcPr>
                <w:p>
                  <w:pPr>
                    <w:tabs>
                      <w:tab w:val="left" w:pos="611"/>
                    </w:tabs>
                    <w:spacing w:line="240" w:lineRule="auto"/>
                    <w:ind w:firstLine="0" w:firstLineChars="0"/>
                    <w:jc w:val="center"/>
                    <w:rPr>
                      <w:b/>
                      <w:color w:val="000000" w:themeColor="text1"/>
                      <w:sz w:val="21"/>
                      <w:szCs w:val="21"/>
                    </w:rPr>
                  </w:pPr>
                  <w:r>
                    <w:rPr>
                      <w:rFonts w:hint="eastAsia"/>
                      <w:b/>
                      <w:color w:val="000000" w:themeColor="text1"/>
                      <w:sz w:val="21"/>
                      <w:szCs w:val="21"/>
                    </w:rPr>
                    <w:t>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shd w:val="clear" w:color="auto" w:fill="auto"/>
                  <w:vAlign w:val="center"/>
                </w:tcPr>
                <w:p>
                  <w:pPr>
                    <w:tabs>
                      <w:tab w:val="left" w:pos="611"/>
                    </w:tabs>
                    <w:spacing w:line="240" w:lineRule="auto"/>
                    <w:ind w:firstLine="0" w:firstLineChars="0"/>
                    <w:jc w:val="center"/>
                    <w:rPr>
                      <w:color w:val="000000" w:themeColor="text1"/>
                      <w:sz w:val="21"/>
                      <w:szCs w:val="21"/>
                    </w:rPr>
                  </w:pPr>
                  <w:r>
                    <w:rPr>
                      <w:rFonts w:hint="eastAsia"/>
                      <w:color w:val="000000" w:themeColor="text1"/>
                      <w:sz w:val="21"/>
                      <w:szCs w:val="21"/>
                    </w:rPr>
                    <w:t>噪声</w:t>
                  </w:r>
                </w:p>
              </w:tc>
              <w:tc>
                <w:tcPr>
                  <w:tcW w:w="4721" w:type="dxa"/>
                  <w:shd w:val="clear" w:color="auto" w:fill="auto"/>
                </w:tcPr>
                <w:p>
                  <w:pPr>
                    <w:tabs>
                      <w:tab w:val="left" w:pos="611"/>
                    </w:tabs>
                    <w:spacing w:line="240" w:lineRule="auto"/>
                    <w:ind w:firstLine="0" w:firstLineChars="0"/>
                    <w:rPr>
                      <w:color w:val="000000" w:themeColor="text1"/>
                      <w:sz w:val="21"/>
                      <w:szCs w:val="21"/>
                    </w:rPr>
                  </w:pPr>
                  <w:r>
                    <w:rPr>
                      <w:rFonts w:hint="eastAsia"/>
                      <w:color w:val="000000" w:themeColor="text1"/>
                      <w:sz w:val="21"/>
                      <w:szCs w:val="21"/>
                    </w:rPr>
                    <w:t>（1）尽量选用低噪声设备，加强施工作业人员的噪声防护；</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（2）控制施工作业时间，严禁夜间（22：00~06：00）进行施工作业。</w:t>
                  </w:r>
                </w:p>
              </w:tc>
              <w:tc>
                <w:tcPr>
                  <w:tcW w:w="1052" w:type="dxa"/>
                  <w:vMerge w:val="restart"/>
                  <w:shd w:val="clear" w:color="auto" w:fill="auto"/>
                  <w:vAlign w:val="center"/>
                </w:tcPr>
                <w:p>
                  <w:pPr>
                    <w:autoSpaceDE w:val="0"/>
                    <w:autoSpaceDN w:val="0"/>
                    <w:adjustRightInd w:val="0"/>
                    <w:spacing w:line="240" w:lineRule="auto"/>
                    <w:ind w:firstLine="0" w:firstLineChars="0"/>
                    <w:jc w:val="center"/>
                    <w:rPr>
                      <w:color w:val="000000" w:themeColor="text1"/>
                      <w:sz w:val="21"/>
                      <w:szCs w:val="21"/>
                    </w:rPr>
                  </w:pPr>
                  <w:r>
                    <w:rPr>
                      <w:rFonts w:hint="eastAsia" w:ascii="宋体" w:cs="宋体"/>
                      <w:color w:val="000000" w:themeColor="text1"/>
                      <w:kern w:val="0"/>
                      <w:sz w:val="21"/>
                      <w:szCs w:val="21"/>
                    </w:rPr>
                    <w:t>环境监理单位</w:t>
                  </w:r>
                </w:p>
              </w:tc>
              <w:tc>
                <w:tcPr>
                  <w:tcW w:w="1425" w:type="dxa"/>
                  <w:vMerge w:val="restart"/>
                  <w:shd w:val="clear" w:color="auto" w:fill="auto"/>
                  <w:vAlign w:val="center"/>
                </w:tcPr>
                <w:p>
                  <w:pPr>
                    <w:tabs>
                      <w:tab w:val="left" w:pos="611"/>
                    </w:tabs>
                    <w:spacing w:line="240" w:lineRule="auto"/>
                    <w:ind w:firstLine="0" w:firstLineChars="0"/>
                    <w:jc w:val="center"/>
                    <w:rPr>
                      <w:color w:val="000000" w:themeColor="text1"/>
                      <w:sz w:val="21"/>
                      <w:szCs w:val="21"/>
                    </w:rPr>
                  </w:pPr>
                  <w:r>
                    <w:rPr>
                      <w:rFonts w:hint="eastAsia"/>
                      <w:color w:val="000000" w:themeColor="text1"/>
                      <w:sz w:val="21"/>
                      <w:szCs w:val="21"/>
                    </w:rPr>
                    <w:t>昆明市生态环境局宜良分局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shd w:val="clear" w:color="auto" w:fill="auto"/>
                  <w:vAlign w:val="center"/>
                </w:tcPr>
                <w:p>
                  <w:pPr>
                    <w:tabs>
                      <w:tab w:val="left" w:pos="611"/>
                    </w:tabs>
                    <w:spacing w:line="240" w:lineRule="auto"/>
                    <w:ind w:firstLine="0" w:firstLineChars="0"/>
                    <w:jc w:val="center"/>
                    <w:rPr>
                      <w:color w:val="000000" w:themeColor="text1"/>
                      <w:sz w:val="21"/>
                      <w:szCs w:val="21"/>
                    </w:rPr>
                  </w:pPr>
                  <w:r>
                    <w:rPr>
                      <w:rFonts w:hint="eastAsia"/>
                      <w:color w:val="000000" w:themeColor="text1"/>
                      <w:sz w:val="21"/>
                      <w:szCs w:val="21"/>
                    </w:rPr>
                    <w:t>废气</w:t>
                  </w:r>
                </w:p>
              </w:tc>
              <w:tc>
                <w:tcPr>
                  <w:tcW w:w="4721" w:type="dxa"/>
                  <w:shd w:val="clear" w:color="auto" w:fill="auto"/>
                </w:tcPr>
                <w:p>
                  <w:pPr>
                    <w:tabs>
                      <w:tab w:val="left" w:pos="611"/>
                    </w:tabs>
                    <w:spacing w:line="240" w:lineRule="auto"/>
                    <w:ind w:firstLine="0" w:firstLineChars="0"/>
                    <w:rPr>
                      <w:color w:val="000000" w:themeColor="text1"/>
                      <w:sz w:val="21"/>
                      <w:szCs w:val="21"/>
                    </w:rPr>
                  </w:pPr>
                  <w:r>
                    <w:rPr>
                      <w:rFonts w:hint="eastAsia"/>
                      <w:color w:val="000000" w:themeColor="text1"/>
                      <w:sz w:val="21"/>
                      <w:szCs w:val="21"/>
                    </w:rPr>
                    <w:t>（1）施工现场、运输道路适时洒水；</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（2）运输材料车辆要用篷布遮蔽或袋装运输；</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（3）厂房全封闭结构的施工。</w:t>
                  </w:r>
                </w:p>
              </w:tc>
              <w:tc>
                <w:tcPr>
                  <w:tcW w:w="1052" w:type="dxa"/>
                  <w:vMerge w:val="continue"/>
                  <w:shd w:val="clear" w:color="auto" w:fill="auto"/>
                </w:tcPr>
                <w:p>
                  <w:pPr>
                    <w:tabs>
                      <w:tab w:val="left" w:pos="611"/>
                    </w:tabs>
                    <w:spacing w:line="240" w:lineRule="auto"/>
                    <w:ind w:firstLine="0" w:firstLineChars="0"/>
                    <w:jc w:val="center"/>
                    <w:rPr>
                      <w:color w:val="000000" w:themeColor="text1"/>
                      <w:sz w:val="21"/>
                      <w:szCs w:val="21"/>
                    </w:rPr>
                  </w:pPr>
                </w:p>
              </w:tc>
              <w:tc>
                <w:tcPr>
                  <w:tcW w:w="1425" w:type="dxa"/>
                  <w:vMerge w:val="continue"/>
                  <w:shd w:val="clear" w:color="auto" w:fill="auto"/>
                </w:tcPr>
                <w:p>
                  <w:pPr>
                    <w:tabs>
                      <w:tab w:val="left" w:pos="611"/>
                    </w:tabs>
                    <w:spacing w:line="240" w:lineRule="auto"/>
                    <w:ind w:firstLine="0" w:firstLineChars="0"/>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shd w:val="clear" w:color="auto" w:fill="auto"/>
                  <w:vAlign w:val="center"/>
                </w:tcPr>
                <w:p>
                  <w:pPr>
                    <w:tabs>
                      <w:tab w:val="left" w:pos="611"/>
                    </w:tabs>
                    <w:spacing w:line="240" w:lineRule="auto"/>
                    <w:ind w:firstLine="0" w:firstLineChars="0"/>
                    <w:jc w:val="center"/>
                    <w:rPr>
                      <w:color w:val="000000" w:themeColor="text1"/>
                      <w:sz w:val="21"/>
                      <w:szCs w:val="21"/>
                    </w:rPr>
                  </w:pPr>
                  <w:r>
                    <w:rPr>
                      <w:rFonts w:hint="eastAsia"/>
                      <w:color w:val="000000" w:themeColor="text1"/>
                      <w:sz w:val="21"/>
                      <w:szCs w:val="21"/>
                    </w:rPr>
                    <w:t>废水</w:t>
                  </w:r>
                </w:p>
              </w:tc>
              <w:tc>
                <w:tcPr>
                  <w:tcW w:w="4721" w:type="dxa"/>
                  <w:shd w:val="clear" w:color="auto" w:fill="auto"/>
                </w:tcPr>
                <w:p>
                  <w:pPr>
                    <w:tabs>
                      <w:tab w:val="left" w:pos="611"/>
                    </w:tabs>
                    <w:spacing w:line="240" w:lineRule="auto"/>
                    <w:ind w:firstLine="0" w:firstLineChars="0"/>
                    <w:rPr>
                      <w:color w:val="000000" w:themeColor="text1"/>
                      <w:sz w:val="21"/>
                      <w:szCs w:val="21"/>
                    </w:rPr>
                  </w:pPr>
                  <w:r>
                    <w:rPr>
                      <w:rFonts w:hint="eastAsia"/>
                      <w:color w:val="000000" w:themeColor="text1"/>
                      <w:sz w:val="21"/>
                      <w:szCs w:val="21"/>
                    </w:rPr>
                    <w:t>（1）建筑材料需集中堆放，并采取一定的防雨淋措施；</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（2）新设1个初期雨水处理池，容积为</w:t>
                  </w:r>
                  <w:r>
                    <w:rPr>
                      <w:rFonts w:hint="eastAsia"/>
                      <w:color w:val="000000" w:themeColor="text1"/>
                      <w:sz w:val="21"/>
                      <w:szCs w:val="21"/>
                      <w:lang w:val="en-US" w:eastAsia="zh-CN"/>
                    </w:rPr>
                    <w:t>60</w:t>
                  </w:r>
                  <w:r>
                    <w:rPr>
                      <w:rFonts w:hint="eastAsia"/>
                      <w:color w:val="000000" w:themeColor="text1"/>
                      <w:sz w:val="21"/>
                      <w:szCs w:val="21"/>
                    </w:rPr>
                    <w:t>m</w:t>
                  </w:r>
                  <w:r>
                    <w:rPr>
                      <w:rFonts w:hint="eastAsia"/>
                      <w:color w:val="000000" w:themeColor="text1"/>
                      <w:sz w:val="21"/>
                      <w:szCs w:val="21"/>
                      <w:vertAlign w:val="superscript"/>
                    </w:rPr>
                    <w:t>3</w:t>
                  </w:r>
                  <w:r>
                    <w:rPr>
                      <w:rFonts w:hint="eastAsia"/>
                      <w:color w:val="000000" w:themeColor="text1"/>
                      <w:sz w:val="21"/>
                      <w:szCs w:val="21"/>
                    </w:rPr>
                    <w:t>，保证有效收集加工区初期雨水；</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（3）配套建设厨房废水隔油池，容积为0.5m</w:t>
                  </w:r>
                  <w:r>
                    <w:rPr>
                      <w:rFonts w:hint="eastAsia"/>
                      <w:color w:val="000000" w:themeColor="text1"/>
                      <w:sz w:val="21"/>
                      <w:szCs w:val="21"/>
                      <w:vertAlign w:val="superscript"/>
                    </w:rPr>
                    <w:t>3</w:t>
                  </w:r>
                  <w:r>
                    <w:rPr>
                      <w:rFonts w:hint="eastAsia"/>
                      <w:color w:val="000000" w:themeColor="text1"/>
                      <w:sz w:val="21"/>
                      <w:szCs w:val="21"/>
                    </w:rPr>
                    <w:t>。</w:t>
                  </w:r>
                </w:p>
              </w:tc>
              <w:tc>
                <w:tcPr>
                  <w:tcW w:w="1052" w:type="dxa"/>
                  <w:vMerge w:val="continue"/>
                  <w:shd w:val="clear" w:color="auto" w:fill="auto"/>
                </w:tcPr>
                <w:p>
                  <w:pPr>
                    <w:tabs>
                      <w:tab w:val="left" w:pos="611"/>
                    </w:tabs>
                    <w:spacing w:line="240" w:lineRule="auto"/>
                    <w:ind w:firstLine="0" w:firstLineChars="0"/>
                    <w:jc w:val="center"/>
                    <w:rPr>
                      <w:color w:val="000000" w:themeColor="text1"/>
                      <w:sz w:val="21"/>
                      <w:szCs w:val="21"/>
                    </w:rPr>
                  </w:pPr>
                </w:p>
              </w:tc>
              <w:tc>
                <w:tcPr>
                  <w:tcW w:w="1425" w:type="dxa"/>
                  <w:vMerge w:val="continue"/>
                  <w:shd w:val="clear" w:color="auto" w:fill="auto"/>
                </w:tcPr>
                <w:p>
                  <w:pPr>
                    <w:tabs>
                      <w:tab w:val="left" w:pos="611"/>
                    </w:tabs>
                    <w:spacing w:line="240" w:lineRule="auto"/>
                    <w:ind w:firstLine="0" w:firstLineChars="0"/>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99" w:type="dxa"/>
                  <w:shd w:val="clear" w:color="auto" w:fill="auto"/>
                  <w:vAlign w:val="center"/>
                </w:tcPr>
                <w:p>
                  <w:pPr>
                    <w:tabs>
                      <w:tab w:val="left" w:pos="611"/>
                    </w:tabs>
                    <w:spacing w:line="240" w:lineRule="auto"/>
                    <w:ind w:firstLine="0" w:firstLineChars="0"/>
                    <w:jc w:val="center"/>
                    <w:rPr>
                      <w:color w:val="000000" w:themeColor="text1"/>
                      <w:sz w:val="21"/>
                      <w:szCs w:val="21"/>
                    </w:rPr>
                  </w:pPr>
                  <w:r>
                    <w:rPr>
                      <w:rFonts w:hint="eastAsia"/>
                      <w:color w:val="000000" w:themeColor="text1"/>
                      <w:sz w:val="21"/>
                      <w:szCs w:val="21"/>
                    </w:rPr>
                    <w:t>固体废物</w:t>
                  </w:r>
                </w:p>
              </w:tc>
              <w:tc>
                <w:tcPr>
                  <w:tcW w:w="4721" w:type="dxa"/>
                  <w:shd w:val="clear" w:color="auto" w:fill="auto"/>
                </w:tcPr>
                <w:p>
                  <w:pPr>
                    <w:adjustRightInd w:val="0"/>
                    <w:spacing w:line="240" w:lineRule="auto"/>
                    <w:ind w:firstLine="0" w:firstLineChars="0"/>
                    <w:rPr>
                      <w:color w:val="000000" w:themeColor="text1"/>
                      <w:sz w:val="21"/>
                      <w:szCs w:val="21"/>
                    </w:rPr>
                  </w:pPr>
                  <w:r>
                    <w:rPr>
                      <w:color w:val="000000" w:themeColor="text1"/>
                      <w:sz w:val="21"/>
                      <w:szCs w:val="21"/>
                    </w:rPr>
                    <w:t>（1）</w:t>
                  </w:r>
                  <w:r>
                    <w:rPr>
                      <w:rFonts w:hint="eastAsia"/>
                      <w:color w:val="000000" w:themeColor="text1"/>
                      <w:sz w:val="21"/>
                      <w:szCs w:val="21"/>
                    </w:rPr>
                    <w:t>开挖产生的土石方全部用于场地回填及后期绿化覆土，不外排；</w:t>
                  </w:r>
                </w:p>
                <w:p>
                  <w:pPr>
                    <w:adjustRightInd w:val="0"/>
                    <w:spacing w:line="240" w:lineRule="auto"/>
                    <w:ind w:firstLine="0" w:firstLineChars="0"/>
                    <w:rPr>
                      <w:color w:val="000000" w:themeColor="text1"/>
                      <w:sz w:val="21"/>
                      <w:szCs w:val="21"/>
                    </w:rPr>
                  </w:pPr>
                  <w:r>
                    <w:rPr>
                      <w:rFonts w:hint="eastAsia"/>
                      <w:color w:val="000000" w:themeColor="text1"/>
                      <w:sz w:val="21"/>
                      <w:szCs w:val="21"/>
                    </w:rPr>
                    <w:t>（2）建筑垃圾建筑垃圾主要包括废弃的砖瓦、水泥凝结废渣等，产生量约为10m</w:t>
                  </w:r>
                  <w:r>
                    <w:rPr>
                      <w:rFonts w:hint="eastAsia"/>
                      <w:color w:val="000000" w:themeColor="text1"/>
                      <w:sz w:val="21"/>
                      <w:szCs w:val="21"/>
                      <w:vertAlign w:val="superscript"/>
                    </w:rPr>
                    <w:t>3</w:t>
                  </w:r>
                  <w:r>
                    <w:rPr>
                      <w:rFonts w:hint="eastAsia"/>
                      <w:color w:val="000000" w:themeColor="text1"/>
                      <w:sz w:val="21"/>
                      <w:szCs w:val="21"/>
                    </w:rPr>
                    <w:t>。建筑垃圾可利用部分经收集后外售，其余委托有资质单位清运至指定的建筑垃圾堆放场，禁止随意处置和堆放。</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（3）施工人员生活垃圾经垃圾桶统一收集后，与现有员工产生的垃圾一起清运处置；</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（4）新建1个危废暂存间，暂存间采用</w:t>
                  </w:r>
                  <w:r>
                    <w:rPr>
                      <w:color w:val="000000" w:themeColor="text1"/>
                      <w:kern w:val="0"/>
                      <w:sz w:val="21"/>
                      <w:szCs w:val="21"/>
                    </w:rPr>
                    <w:t>地面</w:t>
                  </w:r>
                  <w:r>
                    <w:rPr>
                      <w:rFonts w:hint="eastAsia"/>
                      <w:color w:val="000000" w:themeColor="text1"/>
                      <w:sz w:val="21"/>
                      <w:szCs w:val="21"/>
                    </w:rPr>
                    <w:t>抗渗系数为P8的混凝土浇筑，并在混凝土地面上方刷一层2mm的环氧树脂进行防渗</w:t>
                  </w:r>
                  <w:r>
                    <w:rPr>
                      <w:color w:val="000000" w:themeColor="text1"/>
                      <w:sz w:val="21"/>
                      <w:szCs w:val="21"/>
                    </w:rPr>
                    <w:t>，</w:t>
                  </w:r>
                  <w:r>
                    <w:rPr>
                      <w:color w:val="000000" w:themeColor="text1"/>
                      <w:kern w:val="0"/>
                      <w:sz w:val="21"/>
                      <w:szCs w:val="21"/>
                    </w:rPr>
                    <w:t>渗透系数</w:t>
                  </w:r>
                  <w:r>
                    <w:rPr>
                      <w:color w:val="000000" w:themeColor="text1"/>
                      <w:sz w:val="21"/>
                      <w:szCs w:val="21"/>
                    </w:rPr>
                    <w:t>K≤1.0×10</w:t>
                  </w:r>
                  <w:r>
                    <w:rPr>
                      <w:color w:val="000000" w:themeColor="text1"/>
                      <w:sz w:val="21"/>
                      <w:szCs w:val="21"/>
                      <w:vertAlign w:val="superscript"/>
                    </w:rPr>
                    <w:t>-</w:t>
                  </w:r>
                  <w:r>
                    <w:rPr>
                      <w:rFonts w:hint="eastAsia"/>
                      <w:color w:val="000000" w:themeColor="text1"/>
                      <w:sz w:val="21"/>
                      <w:szCs w:val="21"/>
                      <w:vertAlign w:val="superscript"/>
                    </w:rPr>
                    <w:t>10</w:t>
                  </w:r>
                  <w:r>
                    <w:rPr>
                      <w:color w:val="000000" w:themeColor="text1"/>
                      <w:sz w:val="21"/>
                      <w:szCs w:val="21"/>
                    </w:rPr>
                    <w:t>cm/s</w:t>
                  </w:r>
                  <w:r>
                    <w:rPr>
                      <w:rFonts w:hint="eastAsia"/>
                      <w:color w:val="000000" w:themeColor="text1"/>
                      <w:sz w:val="21"/>
                      <w:szCs w:val="21"/>
                    </w:rPr>
                    <w:t>。</w:t>
                  </w:r>
                </w:p>
              </w:tc>
              <w:tc>
                <w:tcPr>
                  <w:tcW w:w="1052" w:type="dxa"/>
                  <w:vMerge w:val="continue"/>
                  <w:shd w:val="clear" w:color="auto" w:fill="auto"/>
                </w:tcPr>
                <w:p>
                  <w:pPr>
                    <w:tabs>
                      <w:tab w:val="left" w:pos="611"/>
                    </w:tabs>
                    <w:spacing w:line="240" w:lineRule="auto"/>
                    <w:ind w:firstLine="0" w:firstLineChars="0"/>
                    <w:jc w:val="center"/>
                    <w:rPr>
                      <w:color w:val="000000" w:themeColor="text1"/>
                      <w:sz w:val="21"/>
                      <w:szCs w:val="21"/>
                    </w:rPr>
                  </w:pPr>
                </w:p>
              </w:tc>
              <w:tc>
                <w:tcPr>
                  <w:tcW w:w="1425" w:type="dxa"/>
                  <w:vMerge w:val="continue"/>
                  <w:shd w:val="clear" w:color="auto" w:fill="auto"/>
                </w:tcPr>
                <w:p>
                  <w:pPr>
                    <w:tabs>
                      <w:tab w:val="left" w:pos="611"/>
                    </w:tabs>
                    <w:spacing w:line="240" w:lineRule="auto"/>
                    <w:ind w:firstLine="0" w:firstLineChars="0"/>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shd w:val="clear" w:color="auto" w:fill="auto"/>
                  <w:vAlign w:val="center"/>
                </w:tcPr>
                <w:p>
                  <w:pPr>
                    <w:tabs>
                      <w:tab w:val="left" w:pos="611"/>
                    </w:tabs>
                    <w:spacing w:line="240" w:lineRule="auto"/>
                    <w:ind w:firstLine="0" w:firstLineChars="0"/>
                    <w:jc w:val="center"/>
                    <w:rPr>
                      <w:color w:val="000000" w:themeColor="text1"/>
                      <w:sz w:val="21"/>
                      <w:szCs w:val="21"/>
                    </w:rPr>
                  </w:pPr>
                  <w:r>
                    <w:rPr>
                      <w:rFonts w:hint="eastAsia"/>
                      <w:color w:val="000000" w:themeColor="text1"/>
                      <w:sz w:val="21"/>
                      <w:szCs w:val="21"/>
                    </w:rPr>
                    <w:t>环境监理</w:t>
                  </w:r>
                </w:p>
              </w:tc>
              <w:tc>
                <w:tcPr>
                  <w:tcW w:w="4721" w:type="dxa"/>
                  <w:shd w:val="clear" w:color="auto" w:fill="auto"/>
                </w:tcPr>
                <w:p>
                  <w:pPr>
                    <w:tabs>
                      <w:tab w:val="left" w:pos="611"/>
                    </w:tabs>
                    <w:spacing w:line="240" w:lineRule="auto"/>
                    <w:ind w:firstLine="0" w:firstLineChars="0"/>
                    <w:rPr>
                      <w:color w:val="000000" w:themeColor="text1"/>
                      <w:sz w:val="21"/>
                      <w:szCs w:val="21"/>
                    </w:rPr>
                  </w:pPr>
                  <w:r>
                    <w:rPr>
                      <w:rFonts w:hint="eastAsia"/>
                      <w:color w:val="000000" w:themeColor="text1"/>
                      <w:sz w:val="21"/>
                      <w:szCs w:val="21"/>
                    </w:rPr>
                    <w:t>（1）制定施工期环境工程和水土保持工程监理制度，并与施工单位组织落实；</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（2）编制环保工程监理实施细则；</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（3）按照本报告表与环保设施竣工验收清单内容开展建设期的环境监理和现场检查工作；</w:t>
                  </w:r>
                </w:p>
                <w:p>
                  <w:pPr>
                    <w:tabs>
                      <w:tab w:val="left" w:pos="611"/>
                    </w:tabs>
                    <w:spacing w:line="240" w:lineRule="auto"/>
                    <w:ind w:firstLine="0" w:firstLineChars="0"/>
                    <w:rPr>
                      <w:color w:val="000000" w:themeColor="text1"/>
                      <w:sz w:val="21"/>
                      <w:szCs w:val="21"/>
                    </w:rPr>
                  </w:pPr>
                  <w:r>
                    <w:rPr>
                      <w:rFonts w:hint="eastAsia"/>
                      <w:color w:val="000000" w:themeColor="text1"/>
                      <w:sz w:val="21"/>
                      <w:szCs w:val="21"/>
                    </w:rPr>
                    <w:t>（4）强化施工人员的环保宣传教育，杜绝粗放式施工。</w:t>
                  </w:r>
                </w:p>
              </w:tc>
              <w:tc>
                <w:tcPr>
                  <w:tcW w:w="1052" w:type="dxa"/>
                  <w:vMerge w:val="continue"/>
                  <w:shd w:val="clear" w:color="auto" w:fill="auto"/>
                </w:tcPr>
                <w:p>
                  <w:pPr>
                    <w:tabs>
                      <w:tab w:val="left" w:pos="611"/>
                    </w:tabs>
                    <w:spacing w:line="240" w:lineRule="auto"/>
                    <w:ind w:firstLine="0" w:firstLineChars="0"/>
                    <w:jc w:val="center"/>
                    <w:rPr>
                      <w:color w:val="000000" w:themeColor="text1"/>
                      <w:sz w:val="21"/>
                      <w:szCs w:val="21"/>
                    </w:rPr>
                  </w:pPr>
                </w:p>
              </w:tc>
              <w:tc>
                <w:tcPr>
                  <w:tcW w:w="1425" w:type="dxa"/>
                  <w:vMerge w:val="continue"/>
                  <w:shd w:val="clear" w:color="auto" w:fill="auto"/>
                </w:tcPr>
                <w:p>
                  <w:pPr>
                    <w:tabs>
                      <w:tab w:val="left" w:pos="611"/>
                    </w:tabs>
                    <w:spacing w:line="240" w:lineRule="auto"/>
                    <w:ind w:firstLine="0" w:firstLineChars="0"/>
                    <w:jc w:val="center"/>
                    <w:rPr>
                      <w:color w:val="000000" w:themeColor="text1"/>
                      <w:sz w:val="21"/>
                      <w:szCs w:val="21"/>
                    </w:rPr>
                  </w:pPr>
                </w:p>
              </w:tc>
            </w:tr>
          </w:tbl>
          <w:p>
            <w:pPr>
              <w:adjustRightInd w:val="0"/>
              <w:snapToGrid w:val="0"/>
              <w:spacing w:before="156" w:beforeLines="50"/>
              <w:ind w:firstLine="482"/>
              <w:outlineLvl w:val="0"/>
              <w:rPr>
                <w:b/>
                <w:color w:val="000000" w:themeColor="text1"/>
                <w:kern w:val="0"/>
              </w:rPr>
            </w:pPr>
            <w:bookmarkStart w:id="34" w:name="_Toc9216"/>
            <w:r>
              <w:rPr>
                <w:rFonts w:hint="eastAsia"/>
                <w:b/>
                <w:color w:val="000000" w:themeColor="text1"/>
              </w:rPr>
              <w:t>（2）环境监测计划</w:t>
            </w:r>
            <w:bookmarkEnd w:id="34"/>
          </w:p>
          <w:p>
            <w:pPr>
              <w:adjustRightInd w:val="0"/>
              <w:snapToGrid w:val="0"/>
              <w:ind w:firstLine="480"/>
              <w:rPr>
                <w:color w:val="000000" w:themeColor="text1"/>
              </w:rPr>
            </w:pPr>
            <w:r>
              <w:rPr>
                <w:rFonts w:hint="eastAsia"/>
                <w:color w:val="000000" w:themeColor="text1"/>
              </w:rPr>
              <w:t>本项目运营期环境监测计划见表7-2</w:t>
            </w:r>
            <w:r>
              <w:rPr>
                <w:rFonts w:hint="eastAsia"/>
                <w:color w:val="000000" w:themeColor="text1"/>
                <w:lang w:val="en-US" w:eastAsia="zh-CN"/>
              </w:rPr>
              <w:t>1</w:t>
            </w:r>
            <w:r>
              <w:rPr>
                <w:rFonts w:hint="eastAsia"/>
                <w:color w:val="000000" w:themeColor="text1"/>
              </w:rPr>
              <w:t>。</w:t>
            </w:r>
          </w:p>
          <w:p>
            <w:pPr>
              <w:adjustRightInd w:val="0"/>
              <w:snapToGrid w:val="0"/>
              <w:ind w:firstLine="482"/>
              <w:jc w:val="center"/>
              <w:rPr>
                <w:b/>
                <w:color w:val="000000" w:themeColor="text1"/>
                <w:szCs w:val="21"/>
              </w:rPr>
            </w:pPr>
            <w:r>
              <w:rPr>
                <w:rFonts w:hint="eastAsia"/>
                <w:b/>
                <w:color w:val="000000" w:themeColor="text1"/>
                <w:szCs w:val="21"/>
              </w:rPr>
              <w:t>表7-2</w:t>
            </w:r>
            <w:r>
              <w:rPr>
                <w:rFonts w:hint="eastAsia"/>
                <w:b/>
                <w:color w:val="000000" w:themeColor="text1"/>
                <w:szCs w:val="21"/>
                <w:lang w:val="en-US" w:eastAsia="zh-CN"/>
              </w:rPr>
              <w:t>1</w:t>
            </w:r>
            <w:r>
              <w:rPr>
                <w:rFonts w:hint="eastAsia"/>
                <w:b/>
                <w:color w:val="000000" w:themeColor="text1"/>
                <w:szCs w:val="21"/>
              </w:rPr>
              <w:t xml:space="preserve">   项目运营期环境监测计划一览表</w:t>
            </w:r>
          </w:p>
          <w:tbl>
            <w:tblPr>
              <w:tblStyle w:val="23"/>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242"/>
              <w:gridCol w:w="1325"/>
              <w:gridCol w:w="15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80" w:type="dxa"/>
                  <w:vAlign w:val="center"/>
                </w:tcPr>
                <w:p>
                  <w:pPr>
                    <w:adjustRightInd w:val="0"/>
                    <w:spacing w:line="240" w:lineRule="auto"/>
                    <w:ind w:firstLine="0" w:firstLineChars="0"/>
                    <w:jc w:val="center"/>
                    <w:rPr>
                      <w:b/>
                      <w:color w:val="000000" w:themeColor="text1"/>
                      <w:sz w:val="21"/>
                      <w:szCs w:val="21"/>
                    </w:rPr>
                  </w:pPr>
                  <w:r>
                    <w:rPr>
                      <w:rFonts w:hint="eastAsia"/>
                      <w:b/>
                      <w:color w:val="000000" w:themeColor="text1"/>
                      <w:sz w:val="21"/>
                      <w:szCs w:val="21"/>
                    </w:rPr>
                    <w:t>要素</w:t>
                  </w:r>
                </w:p>
              </w:tc>
              <w:tc>
                <w:tcPr>
                  <w:tcW w:w="2242" w:type="dxa"/>
                  <w:vAlign w:val="center"/>
                </w:tcPr>
                <w:p>
                  <w:pPr>
                    <w:adjustRightInd w:val="0"/>
                    <w:spacing w:line="240" w:lineRule="auto"/>
                    <w:ind w:firstLine="0" w:firstLineChars="0"/>
                    <w:jc w:val="center"/>
                    <w:rPr>
                      <w:b/>
                      <w:color w:val="000000" w:themeColor="text1"/>
                      <w:sz w:val="21"/>
                      <w:szCs w:val="21"/>
                    </w:rPr>
                  </w:pPr>
                  <w:r>
                    <w:rPr>
                      <w:rFonts w:hint="eastAsia"/>
                      <w:b/>
                      <w:color w:val="000000" w:themeColor="text1"/>
                      <w:sz w:val="21"/>
                      <w:szCs w:val="21"/>
                    </w:rPr>
                    <w:t>监测点位</w:t>
                  </w:r>
                </w:p>
              </w:tc>
              <w:tc>
                <w:tcPr>
                  <w:tcW w:w="1325" w:type="dxa"/>
                  <w:vAlign w:val="center"/>
                </w:tcPr>
                <w:p>
                  <w:pPr>
                    <w:adjustRightInd w:val="0"/>
                    <w:spacing w:line="240" w:lineRule="auto"/>
                    <w:ind w:firstLine="0" w:firstLineChars="0"/>
                    <w:jc w:val="center"/>
                    <w:rPr>
                      <w:b/>
                      <w:color w:val="000000" w:themeColor="text1"/>
                      <w:sz w:val="21"/>
                      <w:szCs w:val="21"/>
                    </w:rPr>
                  </w:pPr>
                  <w:r>
                    <w:rPr>
                      <w:rFonts w:hint="eastAsia"/>
                      <w:b/>
                      <w:color w:val="000000" w:themeColor="text1"/>
                      <w:sz w:val="21"/>
                      <w:szCs w:val="21"/>
                    </w:rPr>
                    <w:t>监测指标</w:t>
                  </w:r>
                </w:p>
              </w:tc>
              <w:tc>
                <w:tcPr>
                  <w:tcW w:w="1587" w:type="dxa"/>
                  <w:vAlign w:val="center"/>
                </w:tcPr>
                <w:p>
                  <w:pPr>
                    <w:adjustRightInd w:val="0"/>
                    <w:spacing w:line="240" w:lineRule="auto"/>
                    <w:ind w:firstLine="0" w:firstLineChars="0"/>
                    <w:jc w:val="center"/>
                    <w:rPr>
                      <w:b/>
                      <w:color w:val="000000" w:themeColor="text1"/>
                      <w:sz w:val="21"/>
                      <w:szCs w:val="21"/>
                    </w:rPr>
                  </w:pPr>
                  <w:r>
                    <w:rPr>
                      <w:rFonts w:hint="eastAsia"/>
                      <w:b/>
                      <w:color w:val="000000" w:themeColor="text1"/>
                      <w:sz w:val="21"/>
                      <w:szCs w:val="21"/>
                    </w:rPr>
                    <w:t>监测频次</w:t>
                  </w:r>
                </w:p>
              </w:tc>
              <w:tc>
                <w:tcPr>
                  <w:tcW w:w="2364" w:type="dxa"/>
                  <w:vAlign w:val="center"/>
                </w:tcPr>
                <w:p>
                  <w:pPr>
                    <w:adjustRightInd w:val="0"/>
                    <w:spacing w:line="240" w:lineRule="auto"/>
                    <w:ind w:firstLine="0" w:firstLineChars="0"/>
                    <w:jc w:val="center"/>
                    <w:rPr>
                      <w:b/>
                      <w:color w:val="000000" w:themeColor="text1"/>
                      <w:sz w:val="21"/>
                      <w:szCs w:val="21"/>
                    </w:rPr>
                  </w:pPr>
                  <w:r>
                    <w:rPr>
                      <w:rFonts w:hint="eastAsia"/>
                      <w:b/>
                      <w:color w:val="000000" w:themeColor="text1"/>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Merge w:val="restart"/>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废气</w:t>
                  </w:r>
                </w:p>
              </w:tc>
              <w:tc>
                <w:tcPr>
                  <w:tcW w:w="2242"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厂区上风向设1个参照点、厂区下风向设3个监控点</w:t>
                  </w:r>
                </w:p>
              </w:tc>
              <w:tc>
                <w:tcPr>
                  <w:tcW w:w="1325"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颗粒物</w:t>
                  </w:r>
                </w:p>
              </w:tc>
              <w:tc>
                <w:tcPr>
                  <w:tcW w:w="1587"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1次/年，每次连续采样2天，每天采样3次</w:t>
                  </w:r>
                </w:p>
              </w:tc>
              <w:tc>
                <w:tcPr>
                  <w:tcW w:w="2364"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厂界颗粒物浓度</w:t>
                  </w:r>
                  <w:r>
                    <w:rPr>
                      <w:color w:val="000000" w:themeColor="text1"/>
                      <w:sz w:val="21"/>
                      <w:szCs w:val="21"/>
                    </w:rPr>
                    <w:t>执行</w:t>
                  </w:r>
                  <w:r>
                    <w:rPr>
                      <w:rFonts w:hint="eastAsia"/>
                      <w:color w:val="000000" w:themeColor="text1"/>
                      <w:sz w:val="21"/>
                      <w:szCs w:val="21"/>
                    </w:rPr>
                    <w:t>GB16297-1996《大气污染物综合排放标准》表2中无组织排放监控浓度限值</w:t>
                  </w:r>
                  <w:r>
                    <w:rPr>
                      <w:color w:val="000000" w:themeColor="text1"/>
                      <w:sz w:val="21"/>
                      <w:szCs w:val="21"/>
                    </w:rPr>
                    <w:t>，即颗粒物≤</w:t>
                  </w:r>
                  <w:r>
                    <w:rPr>
                      <w:rFonts w:hint="eastAsia"/>
                      <w:color w:val="000000" w:themeColor="text1"/>
                      <w:sz w:val="21"/>
                      <w:szCs w:val="21"/>
                    </w:rPr>
                    <w:t>1.0</w:t>
                  </w:r>
                  <w:r>
                    <w:rPr>
                      <w:color w:val="000000" w:themeColor="text1"/>
                      <w:sz w:val="21"/>
                      <w:szCs w:val="21"/>
                    </w:rPr>
                    <w:t>mg/m</w:t>
                  </w:r>
                  <w:r>
                    <w:rPr>
                      <w:color w:val="000000" w:themeColor="text1"/>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Merge w:val="continue"/>
                  <w:vAlign w:val="center"/>
                </w:tcPr>
                <w:p>
                  <w:pPr>
                    <w:spacing w:line="240" w:lineRule="auto"/>
                    <w:ind w:firstLine="0" w:firstLineChars="0"/>
                    <w:jc w:val="center"/>
                  </w:pPr>
                </w:p>
              </w:tc>
              <w:tc>
                <w:tcPr>
                  <w:tcW w:w="2242"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排气筒</w:t>
                  </w:r>
                </w:p>
              </w:tc>
              <w:tc>
                <w:tcPr>
                  <w:tcW w:w="1325"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PM10</w:t>
                  </w:r>
                </w:p>
              </w:tc>
              <w:tc>
                <w:tcPr>
                  <w:tcW w:w="1587"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1次/年，每次连续采样2天，每天采样3次</w:t>
                  </w:r>
                </w:p>
              </w:tc>
              <w:tc>
                <w:tcPr>
                  <w:tcW w:w="2364"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厂界颗粒物浓度</w:t>
                  </w:r>
                  <w:r>
                    <w:rPr>
                      <w:color w:val="000000" w:themeColor="text1"/>
                      <w:sz w:val="21"/>
                      <w:szCs w:val="21"/>
                    </w:rPr>
                    <w:t>执行</w:t>
                  </w:r>
                  <w:r>
                    <w:rPr>
                      <w:rFonts w:hint="eastAsia"/>
                      <w:color w:val="000000" w:themeColor="text1"/>
                      <w:sz w:val="21"/>
                      <w:szCs w:val="21"/>
                    </w:rPr>
                    <w:t>GB16297-1996《大气污染物综合排放标准》表2中有组织排放监控浓度限值</w:t>
                  </w:r>
                  <w:r>
                    <w:rPr>
                      <w:color w:val="000000" w:themeColor="text1"/>
                      <w:sz w:val="21"/>
                      <w:szCs w:val="21"/>
                    </w:rPr>
                    <w:t>，即颗粒物≤</w:t>
                  </w:r>
                  <w:r>
                    <w:rPr>
                      <w:rFonts w:hint="eastAsia"/>
                      <w:color w:val="000000" w:themeColor="text1"/>
                      <w:sz w:val="21"/>
                      <w:szCs w:val="21"/>
                    </w:rPr>
                    <w:t>120</w:t>
                  </w:r>
                  <w:r>
                    <w:rPr>
                      <w:color w:val="000000" w:themeColor="text1"/>
                      <w:sz w:val="21"/>
                      <w:szCs w:val="21"/>
                    </w:rPr>
                    <w:t>mg/m</w:t>
                  </w:r>
                  <w:r>
                    <w:rPr>
                      <w:color w:val="000000" w:themeColor="text1"/>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880"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噪声*</w:t>
                  </w:r>
                </w:p>
              </w:tc>
              <w:tc>
                <w:tcPr>
                  <w:tcW w:w="2242" w:type="dxa"/>
                  <w:vAlign w:val="center"/>
                </w:tcPr>
                <w:p>
                  <w:pPr>
                    <w:spacing w:line="240" w:lineRule="auto"/>
                    <w:ind w:firstLine="0" w:firstLineChars="0"/>
                    <w:jc w:val="center"/>
                    <w:rPr>
                      <w:color w:val="000000" w:themeColor="text1"/>
                      <w:sz w:val="21"/>
                      <w:szCs w:val="21"/>
                    </w:rPr>
                  </w:pPr>
                  <w:r>
                    <w:rPr>
                      <w:color w:val="000000" w:themeColor="text1"/>
                      <w:sz w:val="21"/>
                      <w:szCs w:val="21"/>
                    </w:rPr>
                    <w:t>东、南、西、北厂界</w:t>
                  </w:r>
                </w:p>
              </w:tc>
              <w:tc>
                <w:tcPr>
                  <w:tcW w:w="1325" w:type="dxa"/>
                  <w:vAlign w:val="center"/>
                </w:tcPr>
                <w:p>
                  <w:pPr>
                    <w:spacing w:line="240" w:lineRule="auto"/>
                    <w:ind w:firstLine="0" w:firstLineChars="0"/>
                    <w:jc w:val="center"/>
                    <w:rPr>
                      <w:color w:val="000000" w:themeColor="text1"/>
                      <w:sz w:val="21"/>
                      <w:szCs w:val="21"/>
                    </w:rPr>
                  </w:pPr>
                  <w:r>
                    <w:rPr>
                      <w:color w:val="000000" w:themeColor="text1"/>
                      <w:sz w:val="21"/>
                      <w:szCs w:val="21"/>
                    </w:rPr>
                    <w:t>等效连续A声级</w:t>
                  </w:r>
                </w:p>
              </w:tc>
              <w:tc>
                <w:tcPr>
                  <w:tcW w:w="1587"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1次/年，每次连续采样2天，每天仅昼间监测1次</w:t>
                  </w:r>
                </w:p>
              </w:tc>
              <w:tc>
                <w:tcPr>
                  <w:tcW w:w="2364"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昼间厂界噪声达GB12348-2008《工业企业厂界环境噪声排放标准》2 类标准，即昼间</w:t>
                  </w:r>
                  <w:r>
                    <w:rPr>
                      <w:color w:val="000000" w:themeColor="text1"/>
                      <w:sz w:val="21"/>
                      <w:szCs w:val="21"/>
                    </w:rPr>
                    <w:t>≤</w:t>
                  </w:r>
                  <w:r>
                    <w:rPr>
                      <w:rFonts w:hint="eastAsia"/>
                      <w:color w:val="000000" w:themeColor="text1"/>
                      <w:sz w:val="21"/>
                      <w:szCs w:val="21"/>
                    </w:rPr>
                    <w:t>60dB（A），夜间</w:t>
                  </w:r>
                  <w:r>
                    <w:rPr>
                      <w:color w:val="000000" w:themeColor="text1"/>
                      <w:sz w:val="21"/>
                      <w:szCs w:val="21"/>
                    </w:rPr>
                    <w:t>≤</w:t>
                  </w:r>
                  <w:r>
                    <w:rPr>
                      <w:rFonts w:hint="eastAsia"/>
                      <w:color w:val="000000" w:themeColor="text1"/>
                      <w:sz w:val="21"/>
                      <w:szCs w:val="21"/>
                    </w:rPr>
                    <w:t>50dB（A）。</w:t>
                  </w:r>
                </w:p>
              </w:tc>
            </w:tr>
          </w:tbl>
          <w:p>
            <w:pPr>
              <w:adjustRightInd w:val="0"/>
              <w:snapToGrid w:val="0"/>
              <w:ind w:firstLine="472" w:firstLineChars="196"/>
              <w:outlineLvl w:val="0"/>
              <w:rPr>
                <w:b/>
                <w:color w:val="000000" w:themeColor="text1"/>
                <w:kern w:val="0"/>
                <w:szCs w:val="21"/>
              </w:rPr>
            </w:pPr>
            <w:bookmarkStart w:id="35" w:name="_Toc1725"/>
            <w:r>
              <w:rPr>
                <w:rFonts w:hint="eastAsia"/>
                <w:b/>
                <w:color w:val="000000" w:themeColor="text1"/>
                <w:kern w:val="0"/>
                <w:szCs w:val="21"/>
              </w:rPr>
              <w:t>注：*项目在白天生产，故厂界噪声仅执行</w:t>
            </w:r>
            <w:r>
              <w:rPr>
                <w:rFonts w:hint="eastAsia"/>
                <w:b/>
                <w:color w:val="000000" w:themeColor="text1"/>
                <w:szCs w:val="21"/>
              </w:rPr>
              <w:t>GB12348-2008《工业企业厂界环境噪声排放标准》2类区中昼间标准值。</w:t>
            </w:r>
            <w:bookmarkEnd w:id="35"/>
          </w:p>
          <w:p>
            <w:pPr>
              <w:adjustRightInd w:val="0"/>
              <w:snapToGrid w:val="0"/>
              <w:spacing w:before="156" w:beforeLines="50"/>
              <w:ind w:firstLine="482"/>
              <w:outlineLvl w:val="0"/>
              <w:rPr>
                <w:b/>
                <w:color w:val="000000" w:themeColor="text1"/>
                <w:kern w:val="0"/>
              </w:rPr>
            </w:pPr>
            <w:bookmarkStart w:id="36" w:name="_Toc18811"/>
            <w:r>
              <w:rPr>
                <w:rFonts w:hint="eastAsia"/>
                <w:b/>
                <w:color w:val="000000" w:themeColor="text1"/>
                <w:kern w:val="0"/>
              </w:rPr>
              <w:t>五</w:t>
            </w:r>
            <w:r>
              <w:rPr>
                <w:b/>
                <w:color w:val="000000" w:themeColor="text1"/>
                <w:kern w:val="0"/>
              </w:rPr>
              <w:t>、</w:t>
            </w:r>
            <w:r>
              <w:rPr>
                <w:rFonts w:hint="eastAsia"/>
                <w:b/>
                <w:color w:val="000000" w:themeColor="text1"/>
              </w:rPr>
              <w:t>竣工环境保护验收</w:t>
            </w:r>
            <w:bookmarkEnd w:id="36"/>
          </w:p>
          <w:p>
            <w:pPr>
              <w:snapToGrid w:val="0"/>
              <w:ind w:firstLine="480"/>
              <w:rPr>
                <w:color w:val="000000" w:themeColor="text1"/>
              </w:rPr>
            </w:pPr>
            <w:r>
              <w:rPr>
                <w:rFonts w:hint="eastAsia"/>
                <w:color w:val="000000" w:themeColor="text1"/>
              </w:rPr>
              <w:t>2017年7月16日，国务院发布了第682号令《国务院关于修改&lt;建设项目环境保护管理条例&gt;的决定》，根据第十七条要求：编制环境影响报告书、环境影响报告表的建设项目竣工后，建设单位应当按照国务院环境保护行政主管部门规定的标准和程序，对配套建设的环境保护措施进行验收，编制竣工环境保护验收报告，并自行组织验收，经验收合格后方可正式投入生产。</w:t>
            </w:r>
          </w:p>
          <w:p>
            <w:pPr>
              <w:snapToGrid w:val="0"/>
              <w:ind w:firstLine="480"/>
              <w:rPr>
                <w:color w:val="000000" w:themeColor="text1"/>
              </w:rPr>
            </w:pPr>
            <w:r>
              <w:rPr>
                <w:rFonts w:hint="eastAsia"/>
                <w:color w:val="000000" w:themeColor="text1"/>
              </w:rPr>
              <w:t>因此，本项目工程竣工后，建设单位应按照《建设项目竣工环境保护验收暂行办法》（国环规环评﹝2017﹞4号）的要求组织竣工环境保护验收。本次环评拟设的项目环境保护竣工验收内容详见表7-2</w:t>
            </w:r>
            <w:r>
              <w:rPr>
                <w:rFonts w:hint="eastAsia"/>
                <w:color w:val="000000" w:themeColor="text1"/>
                <w:lang w:val="en-US" w:eastAsia="zh-CN"/>
              </w:rPr>
              <w:t>1</w:t>
            </w:r>
            <w:r>
              <w:rPr>
                <w:rFonts w:hint="eastAsia"/>
                <w:color w:val="000000" w:themeColor="text1"/>
              </w:rPr>
              <w:t>。</w:t>
            </w:r>
          </w:p>
          <w:p>
            <w:pPr>
              <w:snapToGrid w:val="0"/>
              <w:ind w:firstLine="482"/>
              <w:jc w:val="center"/>
              <w:rPr>
                <w:b/>
                <w:color w:val="000000" w:themeColor="text1"/>
                <w:szCs w:val="21"/>
              </w:rPr>
            </w:pPr>
            <w:r>
              <w:rPr>
                <w:rFonts w:hint="eastAsia"/>
                <w:b/>
                <w:color w:val="000000" w:themeColor="text1"/>
                <w:szCs w:val="21"/>
              </w:rPr>
              <w:t>表7-2</w:t>
            </w:r>
            <w:r>
              <w:rPr>
                <w:rFonts w:hint="eastAsia"/>
                <w:b/>
                <w:color w:val="000000" w:themeColor="text1"/>
                <w:szCs w:val="21"/>
                <w:lang w:val="en-US" w:eastAsia="zh-CN"/>
              </w:rPr>
              <w:t>1</w:t>
            </w:r>
            <w:r>
              <w:rPr>
                <w:rFonts w:hint="eastAsia"/>
                <w:b/>
                <w:color w:val="000000" w:themeColor="text1"/>
                <w:szCs w:val="21"/>
              </w:rPr>
              <w:t xml:space="preserve">    环境保护竣工验收一览表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125"/>
              <w:gridCol w:w="4005"/>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shd w:val="clear" w:color="auto" w:fill="auto"/>
                  <w:vAlign w:val="center"/>
                </w:tcPr>
                <w:p>
                  <w:pPr>
                    <w:spacing w:line="240" w:lineRule="auto"/>
                    <w:ind w:firstLine="0" w:firstLineChars="0"/>
                    <w:jc w:val="center"/>
                    <w:rPr>
                      <w:b/>
                      <w:color w:val="000000" w:themeColor="text1"/>
                      <w:sz w:val="21"/>
                      <w:szCs w:val="21"/>
                    </w:rPr>
                  </w:pPr>
                  <w:r>
                    <w:rPr>
                      <w:rFonts w:hint="eastAsia"/>
                      <w:b/>
                      <w:color w:val="000000" w:themeColor="text1"/>
                      <w:sz w:val="21"/>
                      <w:szCs w:val="21"/>
                    </w:rPr>
                    <w:t>验收项目</w:t>
                  </w:r>
                </w:p>
              </w:tc>
              <w:tc>
                <w:tcPr>
                  <w:tcW w:w="678" w:type="pct"/>
                  <w:shd w:val="clear" w:color="auto" w:fill="auto"/>
                  <w:vAlign w:val="center"/>
                </w:tcPr>
                <w:p>
                  <w:pPr>
                    <w:spacing w:line="240" w:lineRule="auto"/>
                    <w:ind w:firstLine="0" w:firstLineChars="0"/>
                    <w:jc w:val="center"/>
                    <w:rPr>
                      <w:b/>
                      <w:color w:val="000000" w:themeColor="text1"/>
                      <w:sz w:val="21"/>
                      <w:szCs w:val="21"/>
                    </w:rPr>
                  </w:pPr>
                  <w:r>
                    <w:rPr>
                      <w:rFonts w:hint="eastAsia"/>
                      <w:b/>
                      <w:color w:val="000000" w:themeColor="text1"/>
                      <w:sz w:val="21"/>
                      <w:szCs w:val="21"/>
                    </w:rPr>
                    <w:t>污染源</w:t>
                  </w:r>
                </w:p>
              </w:tc>
              <w:tc>
                <w:tcPr>
                  <w:tcW w:w="2413" w:type="pct"/>
                  <w:shd w:val="clear" w:color="auto" w:fill="auto"/>
                  <w:vAlign w:val="center"/>
                </w:tcPr>
                <w:p>
                  <w:pPr>
                    <w:spacing w:line="240" w:lineRule="auto"/>
                    <w:ind w:firstLine="0" w:firstLineChars="0"/>
                    <w:jc w:val="center"/>
                    <w:rPr>
                      <w:b/>
                      <w:color w:val="000000" w:themeColor="text1"/>
                      <w:sz w:val="21"/>
                      <w:szCs w:val="21"/>
                    </w:rPr>
                  </w:pPr>
                  <w:r>
                    <w:rPr>
                      <w:rFonts w:hint="eastAsia"/>
                      <w:b/>
                      <w:color w:val="000000" w:themeColor="text1"/>
                      <w:sz w:val="21"/>
                      <w:szCs w:val="21"/>
                    </w:rPr>
                    <w:t>验收内容</w:t>
                  </w:r>
                </w:p>
              </w:tc>
              <w:tc>
                <w:tcPr>
                  <w:tcW w:w="1256" w:type="pct"/>
                  <w:shd w:val="clear" w:color="auto" w:fill="auto"/>
                  <w:vAlign w:val="center"/>
                </w:tcPr>
                <w:p>
                  <w:pPr>
                    <w:spacing w:line="240" w:lineRule="auto"/>
                    <w:ind w:firstLine="0" w:firstLineChars="0"/>
                    <w:jc w:val="center"/>
                    <w:rPr>
                      <w:b/>
                      <w:color w:val="000000" w:themeColor="text1"/>
                      <w:sz w:val="21"/>
                      <w:szCs w:val="21"/>
                    </w:rPr>
                  </w:pPr>
                  <w:r>
                    <w:rPr>
                      <w:rFonts w:hint="eastAsia"/>
                      <w:b/>
                      <w:color w:val="000000" w:themeColor="text1"/>
                      <w:sz w:val="21"/>
                      <w:szCs w:val="21"/>
                    </w:rPr>
                    <w:t>采用标准及验收要求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restar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废水治理</w:t>
                  </w:r>
                </w:p>
              </w:tc>
              <w:tc>
                <w:tcPr>
                  <w:tcW w:w="678"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食堂废水</w:t>
                  </w:r>
                </w:p>
              </w:tc>
              <w:tc>
                <w:tcPr>
                  <w:tcW w:w="2413"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隔油池，1个，容积为0.5m</w:t>
                  </w:r>
                  <w:r>
                    <w:rPr>
                      <w:rFonts w:hint="eastAsia"/>
                      <w:color w:val="000000" w:themeColor="text1"/>
                      <w:sz w:val="21"/>
                      <w:szCs w:val="21"/>
                      <w:vertAlign w:val="superscript"/>
                    </w:rPr>
                    <w:t>3</w:t>
                  </w:r>
                  <w:r>
                    <w:rPr>
                      <w:rFonts w:hint="eastAsia"/>
                      <w:color w:val="000000" w:themeColor="text1"/>
                      <w:sz w:val="21"/>
                      <w:szCs w:val="21"/>
                    </w:rPr>
                    <w:t>，位于厨房旁</w:t>
                  </w:r>
                </w:p>
              </w:tc>
              <w:tc>
                <w:tcPr>
                  <w:tcW w:w="1256"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保证食堂废水全部进入隔油池进行预处理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shd w:val="clear" w:color="auto" w:fill="auto"/>
                  <w:vAlign w:val="center"/>
                </w:tcPr>
                <w:p>
                  <w:pPr>
                    <w:spacing w:line="240" w:lineRule="auto"/>
                    <w:ind w:firstLine="0" w:firstLineChars="0"/>
                    <w:jc w:val="center"/>
                    <w:rPr>
                      <w:color w:val="000000" w:themeColor="text1"/>
                      <w:sz w:val="21"/>
                      <w:szCs w:val="21"/>
                    </w:rPr>
                  </w:pPr>
                </w:p>
              </w:tc>
              <w:tc>
                <w:tcPr>
                  <w:tcW w:w="678"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初期雨水</w:t>
                  </w:r>
                </w:p>
              </w:tc>
              <w:tc>
                <w:tcPr>
                  <w:tcW w:w="2413"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初期雨水收集池，1个，容积为</w:t>
                  </w:r>
                  <w:r>
                    <w:rPr>
                      <w:rFonts w:hint="eastAsia"/>
                      <w:color w:val="000000" w:themeColor="text1"/>
                      <w:sz w:val="21"/>
                      <w:szCs w:val="21"/>
                      <w:lang w:val="en-US" w:eastAsia="zh-CN"/>
                    </w:rPr>
                    <w:t>60</w:t>
                  </w:r>
                  <w:r>
                    <w:rPr>
                      <w:rFonts w:hint="eastAsia"/>
                      <w:color w:val="000000" w:themeColor="text1"/>
                      <w:sz w:val="21"/>
                      <w:szCs w:val="21"/>
                    </w:rPr>
                    <w:t>m</w:t>
                  </w:r>
                  <w:r>
                    <w:rPr>
                      <w:rFonts w:hint="eastAsia"/>
                      <w:color w:val="000000" w:themeColor="text1"/>
                      <w:sz w:val="21"/>
                      <w:szCs w:val="21"/>
                      <w:vertAlign w:val="superscript"/>
                    </w:rPr>
                    <w:t>3</w:t>
                  </w:r>
                </w:p>
              </w:tc>
              <w:tc>
                <w:tcPr>
                  <w:tcW w:w="1256"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保证</w:t>
                  </w:r>
                  <w:r>
                    <w:rPr>
                      <w:rFonts w:hint="eastAsia"/>
                      <w:color w:val="000000" w:themeColor="text1"/>
                      <w:sz w:val="21"/>
                      <w:szCs w:val="21"/>
                      <w:lang w:eastAsia="zh-CN"/>
                    </w:rPr>
                    <w:t>整个石材厂</w:t>
                  </w:r>
                  <w:r>
                    <w:rPr>
                      <w:rFonts w:hint="eastAsia"/>
                      <w:color w:val="000000" w:themeColor="text1"/>
                      <w:sz w:val="21"/>
                      <w:szCs w:val="21"/>
                    </w:rPr>
                    <w:t>雨天有效收集初期雨水，并回</w:t>
                  </w:r>
                  <w:r>
                    <w:rPr>
                      <w:rFonts w:hint="eastAsia"/>
                      <w:color w:val="000000" w:themeColor="text1"/>
                      <w:sz w:val="21"/>
                      <w:szCs w:val="21"/>
                      <w:lang w:eastAsia="zh-CN"/>
                    </w:rPr>
                    <w:t>用</w:t>
                  </w:r>
                  <w:r>
                    <w:rPr>
                      <w:rFonts w:hint="eastAsia"/>
                      <w:color w:val="000000" w:themeColor="text1"/>
                      <w:sz w:val="21"/>
                      <w:szCs w:val="21"/>
                    </w:rPr>
                    <w:t>石材厂石材加工厂石材加工项目，后期雨天则通过截断阀门截留后排出场外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52" w:type="pct"/>
                  <w:vMerge w:val="restar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废气</w:t>
                  </w:r>
                </w:p>
              </w:tc>
              <w:tc>
                <w:tcPr>
                  <w:tcW w:w="678"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无组织粉尘</w:t>
                  </w:r>
                </w:p>
              </w:tc>
              <w:tc>
                <w:tcPr>
                  <w:tcW w:w="2413"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破碎车间、成品堆存间全封闭；</w:t>
                  </w:r>
                  <w:r>
                    <w:rPr>
                      <w:rFonts w:hint="eastAsia"/>
                      <w:color w:val="000000" w:themeColor="text1"/>
                      <w:sz w:val="21"/>
                      <w:szCs w:val="21"/>
                      <w:lang w:eastAsia="zh-CN"/>
                    </w:rPr>
                    <w:t>破碎间</w:t>
                  </w:r>
                  <w:r>
                    <w:rPr>
                      <w:rFonts w:hint="eastAsia"/>
                      <w:color w:val="000000" w:themeColor="text1"/>
                      <w:sz w:val="21"/>
                      <w:szCs w:val="21"/>
                    </w:rPr>
                    <w:t>采用喷淋管喷淋</w:t>
                  </w:r>
                </w:p>
              </w:tc>
              <w:tc>
                <w:tcPr>
                  <w:tcW w:w="1256" w:type="pct"/>
                  <w:vMerge w:val="restart"/>
                  <w:shd w:val="clear" w:color="auto" w:fill="auto"/>
                  <w:vAlign w:val="center"/>
                </w:tcPr>
                <w:p>
                  <w:pPr>
                    <w:autoSpaceDE w:val="0"/>
                    <w:autoSpaceDN w:val="0"/>
                    <w:adjustRightInd w:val="0"/>
                    <w:spacing w:line="240" w:lineRule="auto"/>
                    <w:ind w:firstLine="0" w:firstLineChars="0"/>
                    <w:jc w:val="center"/>
                    <w:rPr>
                      <w:color w:val="000000" w:themeColor="text1"/>
                      <w:sz w:val="21"/>
                      <w:szCs w:val="21"/>
                    </w:rPr>
                  </w:pPr>
                  <w:r>
                    <w:rPr>
                      <w:rFonts w:hint="eastAsia"/>
                      <w:color w:val="000000" w:themeColor="text1"/>
                      <w:sz w:val="21"/>
                      <w:szCs w:val="21"/>
                    </w:rPr>
                    <w:t>厂界颗粒物浓度</w:t>
                  </w:r>
                  <w:r>
                    <w:rPr>
                      <w:color w:val="000000" w:themeColor="text1"/>
                      <w:sz w:val="21"/>
                      <w:szCs w:val="21"/>
                    </w:rPr>
                    <w:t>执行</w:t>
                  </w:r>
                  <w:r>
                    <w:rPr>
                      <w:rFonts w:hint="eastAsia"/>
                      <w:color w:val="000000" w:themeColor="text1"/>
                      <w:sz w:val="21"/>
                      <w:szCs w:val="21"/>
                    </w:rPr>
                    <w:t>GB16297-1996《大气污染物综合排放标准》表2中无组织颗粒物排放监控浓度限值</w:t>
                  </w:r>
                  <w:r>
                    <w:rPr>
                      <w:color w:val="000000" w:themeColor="text1"/>
                      <w:sz w:val="21"/>
                      <w:szCs w:val="21"/>
                    </w:rPr>
                    <w:t>≤</w:t>
                  </w:r>
                  <w:r>
                    <w:rPr>
                      <w:rFonts w:hint="eastAsia"/>
                      <w:color w:val="000000" w:themeColor="text1"/>
                      <w:sz w:val="21"/>
                      <w:szCs w:val="21"/>
                    </w:rPr>
                    <w:t>1.0</w:t>
                  </w:r>
                  <w:r>
                    <w:rPr>
                      <w:color w:val="000000" w:themeColor="text1"/>
                      <w:sz w:val="21"/>
                      <w:szCs w:val="21"/>
                    </w:rPr>
                    <w:t>mg/m</w:t>
                  </w:r>
                  <w:r>
                    <w:rPr>
                      <w:color w:val="000000" w:themeColor="text1"/>
                      <w:sz w:val="21"/>
                      <w:szCs w:val="21"/>
                      <w:vertAlign w:val="superscript"/>
                    </w:rPr>
                    <w:t>3</w:t>
                  </w:r>
                  <w:r>
                    <w:rPr>
                      <w:rFonts w:hint="eastAsia"/>
                      <w:color w:val="000000" w:themeColor="text1"/>
                      <w:sz w:val="21"/>
                      <w:szCs w:val="21"/>
                    </w:rPr>
                    <w:t>，</w:t>
                  </w:r>
                  <w:r>
                    <w:rPr>
                      <w:rFonts w:hint="eastAsia" w:eastAsiaTheme="minorEastAsia"/>
                      <w:color w:val="000000" w:themeColor="text1"/>
                      <w:sz w:val="21"/>
                      <w:szCs w:val="21"/>
                    </w:rPr>
                    <w:t>有组织颗粒物最高允许排放浓度</w:t>
                  </w:r>
                  <w:r>
                    <w:rPr>
                      <w:color w:val="000000" w:themeColor="text1"/>
                      <w:sz w:val="21"/>
                      <w:szCs w:val="21"/>
                    </w:rPr>
                    <w:t>≤</w:t>
                  </w:r>
                  <w:r>
                    <w:rPr>
                      <w:rFonts w:hint="eastAsia"/>
                      <w:color w:val="000000" w:themeColor="text1"/>
                      <w:sz w:val="21"/>
                      <w:szCs w:val="21"/>
                    </w:rPr>
                    <w:t>120</w:t>
                  </w:r>
                  <w:r>
                    <w:rPr>
                      <w:rFonts w:hint="eastAsia" w:eastAsiaTheme="minorEastAsia"/>
                      <w:color w:val="000000" w:themeColor="text1"/>
                      <w:sz w:val="21"/>
                      <w:szCs w:val="21"/>
                    </w:rPr>
                    <w:t>mg/m</w:t>
                  </w:r>
                  <w:r>
                    <w:rPr>
                      <w:rFonts w:hint="eastAsia" w:eastAsiaTheme="minorEastAsia"/>
                      <w:color w:val="000000" w:themeColor="text1"/>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shd w:val="clear" w:color="auto" w:fill="auto"/>
                  <w:vAlign w:val="center"/>
                </w:tcPr>
                <w:p>
                  <w:pPr>
                    <w:spacing w:line="240" w:lineRule="auto"/>
                    <w:ind w:firstLine="0" w:firstLineChars="0"/>
                    <w:jc w:val="center"/>
                    <w:rPr>
                      <w:color w:val="000000" w:themeColor="text1"/>
                      <w:sz w:val="21"/>
                      <w:szCs w:val="21"/>
                    </w:rPr>
                  </w:pPr>
                </w:p>
              </w:tc>
              <w:tc>
                <w:tcPr>
                  <w:tcW w:w="678"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有组织粉尘</w:t>
                  </w:r>
                </w:p>
              </w:tc>
              <w:tc>
                <w:tcPr>
                  <w:tcW w:w="2413"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分别对破碎机、打砂机用彩钢瓦结构进行封闭并在上方安装集气罩，将粉尘经集气罩收集后进入布袋除尘器处理后由一根15m高排气筒DA001排放</w:t>
                  </w:r>
                </w:p>
              </w:tc>
              <w:tc>
                <w:tcPr>
                  <w:tcW w:w="1256" w:type="pct"/>
                  <w:vMerge w:val="continue"/>
                  <w:shd w:val="clear" w:color="auto" w:fill="auto"/>
                  <w:vAlign w:val="center"/>
                </w:tcPr>
                <w:p>
                  <w:pPr>
                    <w:autoSpaceDE w:val="0"/>
                    <w:autoSpaceDN w:val="0"/>
                    <w:adjustRightInd w:val="0"/>
                    <w:spacing w:line="240" w:lineRule="auto"/>
                    <w:ind w:firstLine="0" w:firstLineChars="0"/>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shd w:val="clear" w:color="auto" w:fill="auto"/>
                  <w:vAlign w:val="center"/>
                </w:tcPr>
                <w:p>
                  <w:pPr>
                    <w:spacing w:line="240" w:lineRule="auto"/>
                    <w:ind w:firstLine="0" w:firstLineChars="0"/>
                    <w:jc w:val="center"/>
                    <w:rPr>
                      <w:color w:val="000000" w:themeColor="text1"/>
                      <w:sz w:val="21"/>
                      <w:szCs w:val="21"/>
                    </w:rPr>
                  </w:pPr>
                </w:p>
              </w:tc>
              <w:tc>
                <w:tcPr>
                  <w:tcW w:w="678"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食堂油烟</w:t>
                  </w:r>
                </w:p>
              </w:tc>
              <w:tc>
                <w:tcPr>
                  <w:tcW w:w="2413"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1个，厨房内设1台油烟净化器，并配套1根烟囱</w:t>
                  </w:r>
                </w:p>
              </w:tc>
              <w:tc>
                <w:tcPr>
                  <w:tcW w:w="1256" w:type="pct"/>
                  <w:shd w:val="clear" w:color="auto" w:fill="auto"/>
                  <w:vAlign w:val="center"/>
                </w:tcPr>
                <w:p>
                  <w:pPr>
                    <w:autoSpaceDE w:val="0"/>
                    <w:autoSpaceDN w:val="0"/>
                    <w:adjustRightInd w:val="0"/>
                    <w:spacing w:line="240" w:lineRule="auto"/>
                    <w:ind w:firstLine="0" w:firstLineChars="0"/>
                    <w:jc w:val="center"/>
                    <w:rPr>
                      <w:color w:val="000000" w:themeColor="text1"/>
                      <w:sz w:val="21"/>
                      <w:szCs w:val="21"/>
                    </w:rPr>
                  </w:pPr>
                  <w:r>
                    <w:rPr>
                      <w:rFonts w:hint="eastAsia"/>
                      <w:color w:val="000000" w:themeColor="text1"/>
                      <w:sz w:val="21"/>
                      <w:szCs w:val="21"/>
                    </w:rPr>
                    <w:t>减少油烟排放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gridSpan w:val="2"/>
                  <w:shd w:val="clear" w:color="auto" w:fill="auto"/>
                  <w:vAlign w:val="center"/>
                </w:tcPr>
                <w:p>
                  <w:pPr>
                    <w:spacing w:line="240" w:lineRule="auto"/>
                    <w:ind w:firstLine="0" w:firstLineChars="0"/>
                    <w:jc w:val="center"/>
                    <w:rPr>
                      <w:color w:val="000000" w:themeColor="text1"/>
                      <w:sz w:val="21"/>
                      <w:szCs w:val="21"/>
                    </w:rPr>
                  </w:pPr>
                  <w:r>
                    <w:rPr>
                      <w:rFonts w:hint="eastAsia" w:ascii="宋体" w:cs="宋体"/>
                      <w:color w:val="000000" w:themeColor="text1"/>
                      <w:kern w:val="0"/>
                      <w:sz w:val="21"/>
                      <w:szCs w:val="21"/>
                    </w:rPr>
                    <w:t>噪声治理</w:t>
                  </w:r>
                </w:p>
              </w:tc>
              <w:tc>
                <w:tcPr>
                  <w:tcW w:w="2413"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厂房隔声、基础减震等</w:t>
                  </w:r>
                </w:p>
              </w:tc>
              <w:tc>
                <w:tcPr>
                  <w:tcW w:w="1256" w:type="pct"/>
                  <w:shd w:val="clear" w:color="auto" w:fill="auto"/>
                  <w:vAlign w:val="center"/>
                </w:tcPr>
                <w:p>
                  <w:pPr>
                    <w:autoSpaceDE w:val="0"/>
                    <w:autoSpaceDN w:val="0"/>
                    <w:adjustRightInd w:val="0"/>
                    <w:spacing w:line="240" w:lineRule="auto"/>
                    <w:ind w:firstLine="0" w:firstLineChars="0"/>
                    <w:jc w:val="center"/>
                    <w:rPr>
                      <w:color w:val="000000" w:themeColor="text1"/>
                      <w:sz w:val="21"/>
                      <w:szCs w:val="21"/>
                    </w:rPr>
                  </w:pPr>
                  <w:r>
                    <w:rPr>
                      <w:color w:val="000000" w:themeColor="text1"/>
                      <w:kern w:val="0"/>
                      <w:sz w:val="21"/>
                      <w:szCs w:val="21"/>
                    </w:rPr>
                    <w:t>厂界</w:t>
                  </w:r>
                  <w:r>
                    <w:rPr>
                      <w:rFonts w:hint="eastAsia"/>
                      <w:bCs/>
                      <w:color w:val="000000" w:themeColor="text1"/>
                      <w:sz w:val="21"/>
                      <w:szCs w:val="21"/>
                    </w:rPr>
                    <w:t>昼间噪声</w:t>
                  </w:r>
                  <w:r>
                    <w:rPr>
                      <w:color w:val="000000" w:themeColor="text1"/>
                      <w:kern w:val="0"/>
                      <w:sz w:val="21"/>
                      <w:szCs w:val="21"/>
                    </w:rPr>
                    <w:t>达</w:t>
                  </w:r>
                  <w:r>
                    <w:rPr>
                      <w:rFonts w:eastAsia="TimesNewRomanPSMT"/>
                      <w:color w:val="000000" w:themeColor="text1"/>
                      <w:kern w:val="0"/>
                      <w:sz w:val="21"/>
                      <w:szCs w:val="21"/>
                    </w:rPr>
                    <w:t>GB12348-2008</w:t>
                  </w:r>
                  <w:r>
                    <w:rPr>
                      <w:color w:val="000000" w:themeColor="text1"/>
                      <w:kern w:val="0"/>
                      <w:sz w:val="21"/>
                      <w:szCs w:val="21"/>
                    </w:rPr>
                    <w:t>《工业企业厂界环境噪声排放标准》</w:t>
                  </w:r>
                  <w:r>
                    <w:rPr>
                      <w:rFonts w:eastAsia="TimesNewRomanPSMT"/>
                      <w:color w:val="000000" w:themeColor="text1"/>
                      <w:kern w:val="0"/>
                      <w:sz w:val="21"/>
                      <w:szCs w:val="21"/>
                    </w:rPr>
                    <w:t>2</w:t>
                  </w:r>
                  <w:r>
                    <w:rPr>
                      <w:color w:val="000000" w:themeColor="text1"/>
                      <w:kern w:val="0"/>
                      <w:sz w:val="21"/>
                      <w:szCs w:val="21"/>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restar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固体废物</w:t>
                  </w:r>
                </w:p>
              </w:tc>
              <w:tc>
                <w:tcPr>
                  <w:tcW w:w="678" w:type="pct"/>
                  <w:shd w:val="clear" w:color="auto" w:fill="auto"/>
                  <w:vAlign w:val="center"/>
                </w:tcPr>
                <w:p>
                  <w:pPr>
                    <w:spacing w:line="240" w:lineRule="auto"/>
                    <w:ind w:firstLine="0" w:firstLineChars="0"/>
                    <w:rPr>
                      <w:color w:val="000000" w:themeColor="text1"/>
                      <w:sz w:val="21"/>
                      <w:szCs w:val="21"/>
                    </w:rPr>
                  </w:pPr>
                  <w:r>
                    <w:rPr>
                      <w:rFonts w:hint="eastAsia"/>
                      <w:color w:val="000000" w:themeColor="text1"/>
                      <w:sz w:val="21"/>
                      <w:szCs w:val="21"/>
                    </w:rPr>
                    <w:t>布袋除尘器收集的粉尘</w:t>
                  </w:r>
                </w:p>
              </w:tc>
              <w:tc>
                <w:tcPr>
                  <w:tcW w:w="2413" w:type="pct"/>
                  <w:shd w:val="clear" w:color="auto" w:fill="auto"/>
                  <w:vAlign w:val="center"/>
                </w:tcPr>
                <w:p>
                  <w:pPr>
                    <w:spacing w:line="240" w:lineRule="auto"/>
                    <w:ind w:firstLine="0" w:firstLineChars="0"/>
                    <w:jc w:val="center"/>
                    <w:rPr>
                      <w:rFonts w:hint="eastAsia" w:eastAsia="宋体"/>
                      <w:color w:val="000000" w:themeColor="text1"/>
                      <w:sz w:val="21"/>
                      <w:szCs w:val="21"/>
                      <w:lang w:eastAsia="zh-CN"/>
                    </w:rPr>
                  </w:pPr>
                  <w:r>
                    <w:rPr>
                      <w:rFonts w:hint="eastAsia"/>
                      <w:color w:val="000000" w:themeColor="text1"/>
                      <w:sz w:val="21"/>
                      <w:szCs w:val="21"/>
                    </w:rPr>
                    <w:t>经收集后</w:t>
                  </w:r>
                  <w:r>
                    <w:rPr>
                      <w:rFonts w:hint="eastAsia"/>
                      <w:color w:val="000000" w:themeColor="text1"/>
                      <w:lang w:eastAsia="zh-CN"/>
                    </w:rPr>
                    <w:t>作为成品售卖</w:t>
                  </w:r>
                </w:p>
              </w:tc>
              <w:tc>
                <w:tcPr>
                  <w:tcW w:w="1256" w:type="pct"/>
                  <w:vMerge w:val="restart"/>
                  <w:shd w:val="clear" w:color="auto" w:fill="auto"/>
                  <w:vAlign w:val="center"/>
                </w:tcPr>
                <w:p>
                  <w:pPr>
                    <w:autoSpaceDE w:val="0"/>
                    <w:autoSpaceDN w:val="0"/>
                    <w:adjustRightInd w:val="0"/>
                    <w:spacing w:line="240" w:lineRule="auto"/>
                    <w:ind w:firstLine="0" w:firstLineChars="0"/>
                    <w:jc w:val="center"/>
                    <w:rPr>
                      <w:color w:val="000000" w:themeColor="text1"/>
                      <w:sz w:val="21"/>
                      <w:szCs w:val="21"/>
                    </w:rPr>
                  </w:pPr>
                  <w:r>
                    <w:rPr>
                      <w:rFonts w:hint="eastAsia"/>
                      <w:color w:val="000000" w:themeColor="text1"/>
                      <w:sz w:val="21"/>
                      <w:szCs w:val="21"/>
                    </w:rPr>
                    <w:t>处置率100%，不外排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shd w:val="clear" w:color="auto" w:fill="auto"/>
                  <w:vAlign w:val="center"/>
                </w:tcPr>
                <w:p>
                  <w:pPr>
                    <w:spacing w:line="240" w:lineRule="auto"/>
                    <w:ind w:firstLine="0" w:firstLineChars="0"/>
                    <w:jc w:val="center"/>
                    <w:rPr>
                      <w:color w:val="000000" w:themeColor="text1"/>
                      <w:sz w:val="21"/>
                      <w:szCs w:val="21"/>
                    </w:rPr>
                  </w:pPr>
                </w:p>
              </w:tc>
              <w:tc>
                <w:tcPr>
                  <w:tcW w:w="678"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隔油池废油</w:t>
                  </w:r>
                </w:p>
              </w:tc>
              <w:tc>
                <w:tcPr>
                  <w:tcW w:w="2413"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lang w:val="en-US" w:eastAsia="zh-CN"/>
                    </w:rPr>
                    <w:t>2</w:t>
                  </w:r>
                  <w:r>
                    <w:rPr>
                      <w:rFonts w:hint="eastAsia"/>
                      <w:color w:val="000000" w:themeColor="text1"/>
                      <w:sz w:val="21"/>
                      <w:szCs w:val="21"/>
                    </w:rPr>
                    <w:t>个容积为50L的废油收集桶</w:t>
                  </w:r>
                </w:p>
              </w:tc>
              <w:tc>
                <w:tcPr>
                  <w:tcW w:w="1256" w:type="pct"/>
                  <w:vMerge w:val="continue"/>
                  <w:shd w:val="clear" w:color="auto" w:fill="auto"/>
                  <w:vAlign w:val="center"/>
                </w:tcPr>
                <w:p>
                  <w:pPr>
                    <w:autoSpaceDE w:val="0"/>
                    <w:autoSpaceDN w:val="0"/>
                    <w:adjustRightInd w:val="0"/>
                    <w:spacing w:line="240" w:lineRule="auto"/>
                    <w:ind w:firstLine="0" w:firstLineChars="0"/>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shd w:val="clear" w:color="auto" w:fill="auto"/>
                  <w:vAlign w:val="center"/>
                </w:tcPr>
                <w:p>
                  <w:pPr>
                    <w:spacing w:line="240" w:lineRule="auto"/>
                    <w:ind w:firstLine="0" w:firstLineChars="0"/>
                    <w:jc w:val="center"/>
                    <w:rPr>
                      <w:color w:val="000000" w:themeColor="text1"/>
                      <w:sz w:val="21"/>
                      <w:szCs w:val="21"/>
                    </w:rPr>
                  </w:pPr>
                </w:p>
              </w:tc>
              <w:tc>
                <w:tcPr>
                  <w:tcW w:w="678" w:type="pct"/>
                  <w:shd w:val="clear" w:color="auto" w:fill="auto"/>
                  <w:vAlign w:val="center"/>
                </w:tcPr>
                <w:p>
                  <w:pPr>
                    <w:spacing w:line="240" w:lineRule="auto"/>
                    <w:ind w:firstLine="0" w:firstLineChars="0"/>
                    <w:jc w:val="center"/>
                    <w:rPr>
                      <w:color w:val="000000" w:themeColor="text1"/>
                      <w:sz w:val="21"/>
                      <w:szCs w:val="21"/>
                    </w:rPr>
                  </w:pPr>
                </w:p>
                <w:p>
                  <w:pPr>
                    <w:spacing w:line="240" w:lineRule="auto"/>
                    <w:ind w:firstLine="0" w:firstLineChars="0"/>
                    <w:jc w:val="center"/>
                    <w:rPr>
                      <w:color w:val="000000" w:themeColor="text1"/>
                      <w:sz w:val="21"/>
                      <w:szCs w:val="21"/>
                    </w:rPr>
                  </w:pPr>
                </w:p>
                <w:p>
                  <w:pPr>
                    <w:spacing w:line="240" w:lineRule="auto"/>
                    <w:ind w:firstLine="0" w:firstLineChars="0"/>
                    <w:jc w:val="center"/>
                    <w:rPr>
                      <w:color w:val="000000" w:themeColor="text1"/>
                      <w:sz w:val="21"/>
                      <w:szCs w:val="21"/>
                    </w:rPr>
                  </w:pPr>
                  <w:r>
                    <w:rPr>
                      <w:rFonts w:hint="eastAsia"/>
                      <w:color w:val="000000" w:themeColor="text1"/>
                      <w:sz w:val="21"/>
                      <w:szCs w:val="21"/>
                    </w:rPr>
                    <w:t>废机油</w:t>
                  </w:r>
                </w:p>
              </w:tc>
              <w:tc>
                <w:tcPr>
                  <w:tcW w:w="2413" w:type="pct"/>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lang w:val="en-US" w:eastAsia="zh-CN"/>
                    </w:rPr>
                    <w:t>2</w:t>
                  </w:r>
                  <w:r>
                    <w:rPr>
                      <w:rFonts w:hint="eastAsia"/>
                      <w:color w:val="000000" w:themeColor="text1"/>
                      <w:sz w:val="21"/>
                      <w:szCs w:val="21"/>
                    </w:rPr>
                    <w:t>个容积为50L的废机油收集桶，并设危废暂存间，且</w:t>
                  </w:r>
                  <w:r>
                    <w:rPr>
                      <w:color w:val="000000" w:themeColor="text1"/>
                      <w:sz w:val="21"/>
                      <w:szCs w:val="21"/>
                    </w:rPr>
                    <w:t>危废暂存间</w:t>
                  </w:r>
                  <w:r>
                    <w:rPr>
                      <w:color w:val="000000" w:themeColor="text1"/>
                      <w:kern w:val="0"/>
                      <w:sz w:val="21"/>
                      <w:szCs w:val="21"/>
                    </w:rPr>
                    <w:t>地面采用</w:t>
                  </w:r>
                  <w:r>
                    <w:rPr>
                      <w:rFonts w:hint="eastAsia"/>
                      <w:color w:val="000000" w:themeColor="text1"/>
                      <w:sz w:val="21"/>
                      <w:szCs w:val="21"/>
                    </w:rPr>
                    <w:t>抗渗系数为P8的混凝土浇筑，并在混凝土地面上方刷一层2mm的环氧树脂进行防渗</w:t>
                  </w:r>
                  <w:r>
                    <w:rPr>
                      <w:color w:val="000000" w:themeColor="text1"/>
                      <w:sz w:val="21"/>
                      <w:szCs w:val="21"/>
                    </w:rPr>
                    <w:t>，</w:t>
                  </w:r>
                  <w:r>
                    <w:rPr>
                      <w:color w:val="000000" w:themeColor="text1"/>
                      <w:kern w:val="0"/>
                      <w:sz w:val="21"/>
                      <w:szCs w:val="21"/>
                    </w:rPr>
                    <w:t>渗透系数</w:t>
                  </w:r>
                  <w:r>
                    <w:rPr>
                      <w:color w:val="000000" w:themeColor="text1"/>
                      <w:sz w:val="21"/>
                      <w:szCs w:val="21"/>
                    </w:rPr>
                    <w:t>K≤1.0×10</w:t>
                  </w:r>
                  <w:r>
                    <w:rPr>
                      <w:color w:val="000000" w:themeColor="text1"/>
                      <w:sz w:val="21"/>
                      <w:szCs w:val="21"/>
                      <w:vertAlign w:val="superscript"/>
                    </w:rPr>
                    <w:t>-</w:t>
                  </w:r>
                  <w:r>
                    <w:rPr>
                      <w:rFonts w:hint="eastAsia"/>
                      <w:color w:val="000000" w:themeColor="text1"/>
                      <w:sz w:val="21"/>
                      <w:szCs w:val="21"/>
                      <w:vertAlign w:val="superscript"/>
                    </w:rPr>
                    <w:t>10</w:t>
                  </w:r>
                  <w:r>
                    <w:rPr>
                      <w:color w:val="000000" w:themeColor="text1"/>
                      <w:sz w:val="21"/>
                      <w:szCs w:val="21"/>
                    </w:rPr>
                    <w:t>cm/s，</w:t>
                  </w:r>
                  <w:r>
                    <w:rPr>
                      <w:color w:val="000000" w:themeColor="text1"/>
                      <w:kern w:val="0"/>
                      <w:sz w:val="21"/>
                      <w:szCs w:val="21"/>
                    </w:rPr>
                    <w:t>并设明显标识</w:t>
                  </w:r>
                </w:p>
              </w:tc>
              <w:tc>
                <w:tcPr>
                  <w:tcW w:w="1256" w:type="pct"/>
                  <w:vMerge w:val="continue"/>
                  <w:shd w:val="clear" w:color="auto" w:fill="auto"/>
                  <w:vAlign w:val="center"/>
                </w:tcPr>
                <w:p>
                  <w:pPr>
                    <w:autoSpaceDE w:val="0"/>
                    <w:autoSpaceDN w:val="0"/>
                    <w:adjustRightInd w:val="0"/>
                    <w:spacing w:line="240" w:lineRule="auto"/>
                    <w:ind w:firstLine="0" w:firstLineChars="0"/>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gridSpan w:val="2"/>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标识牌</w:t>
                  </w:r>
                </w:p>
              </w:tc>
              <w:tc>
                <w:tcPr>
                  <w:tcW w:w="3669" w:type="pct"/>
                  <w:gridSpan w:val="2"/>
                  <w:shd w:val="clear" w:color="auto" w:fill="auto"/>
                  <w:vAlign w:val="center"/>
                </w:tcPr>
                <w:p>
                  <w:pPr>
                    <w:autoSpaceDE w:val="0"/>
                    <w:autoSpaceDN w:val="0"/>
                    <w:adjustRightInd w:val="0"/>
                    <w:spacing w:line="240" w:lineRule="auto"/>
                    <w:ind w:firstLine="0" w:firstLineChars="0"/>
                    <w:jc w:val="center"/>
                    <w:rPr>
                      <w:color w:val="000000" w:themeColor="text1"/>
                      <w:sz w:val="21"/>
                      <w:szCs w:val="21"/>
                    </w:rPr>
                  </w:pPr>
                  <w:r>
                    <w:rPr>
                      <w:rFonts w:hint="eastAsia"/>
                      <w:color w:val="000000" w:themeColor="text1"/>
                      <w:sz w:val="21"/>
                      <w:szCs w:val="21"/>
                    </w:rPr>
                    <w:t>1块，分别设置于危废暂存间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pct"/>
                  <w:gridSpan w:val="2"/>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绿化</w:t>
                  </w:r>
                </w:p>
              </w:tc>
              <w:tc>
                <w:tcPr>
                  <w:tcW w:w="3669" w:type="pct"/>
                  <w:gridSpan w:val="2"/>
                  <w:shd w:val="clear" w:color="auto" w:fill="auto"/>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绿化面积为300m</w:t>
                  </w:r>
                  <w:r>
                    <w:rPr>
                      <w:rFonts w:hint="eastAsia"/>
                      <w:color w:val="000000" w:themeColor="text1"/>
                      <w:sz w:val="21"/>
                      <w:szCs w:val="21"/>
                      <w:vertAlign w:val="superscript"/>
                    </w:rPr>
                    <w:t>2</w:t>
                  </w:r>
                </w:p>
              </w:tc>
            </w:tr>
          </w:tbl>
          <w:p>
            <w:pPr>
              <w:pStyle w:val="3"/>
              <w:ind w:left="0" w:leftChars="0" w:firstLine="0" w:firstLineChars="0"/>
            </w:pPr>
          </w:p>
        </w:tc>
      </w:tr>
    </w:tbl>
    <w:p>
      <w:pPr>
        <w:ind w:firstLine="480"/>
      </w:pPr>
      <w:r>
        <w:br w:type="page"/>
      </w:r>
    </w:p>
    <w:p>
      <w:pPr>
        <w:pStyle w:val="4"/>
        <w:adjustRightInd w:val="0"/>
        <w:snapToGrid w:val="0"/>
        <w:spacing w:line="360" w:lineRule="auto"/>
        <w:ind w:firstLine="0" w:firstLineChars="0"/>
        <w:rPr>
          <w:color w:val="000000" w:themeColor="text1"/>
          <w:sz w:val="30"/>
          <w:szCs w:val="30"/>
        </w:rPr>
      </w:pPr>
      <w:bookmarkStart w:id="37" w:name="_Toc426044928"/>
      <w:bookmarkStart w:id="38" w:name="_Toc20244"/>
      <w:r>
        <w:rPr>
          <w:rFonts w:hint="eastAsia"/>
          <w:color w:val="000000" w:themeColor="text1"/>
          <w:sz w:val="30"/>
          <w:szCs w:val="30"/>
        </w:rPr>
        <w:t>表</w:t>
      </w:r>
      <w:r>
        <w:rPr>
          <w:color w:val="000000" w:themeColor="text1"/>
          <w:sz w:val="30"/>
          <w:szCs w:val="30"/>
        </w:rPr>
        <w:t>八、建设项目拟采取的防治措施及预期治理效果</w:t>
      </w:r>
      <w:bookmarkEnd w:id="37"/>
      <w:bookmarkEnd w:id="38"/>
    </w:p>
    <w:tbl>
      <w:tblPr>
        <w:tblStyle w:val="22"/>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380"/>
        <w:gridCol w:w="1719"/>
        <w:gridCol w:w="1133"/>
        <w:gridCol w:w="2621"/>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5" w:type="dxa"/>
            <w:gridSpan w:val="2"/>
            <w:tcBorders>
              <w:top w:val="single" w:color="000000" w:sz="4" w:space="0"/>
              <w:tl2br w:val="single" w:color="auto" w:sz="4" w:space="0"/>
            </w:tcBorders>
            <w:vAlign w:val="center"/>
          </w:tcPr>
          <w:p>
            <w:pPr>
              <w:adjustRightInd w:val="0"/>
              <w:spacing w:line="240" w:lineRule="auto"/>
              <w:ind w:firstLine="0" w:firstLineChars="0"/>
              <w:jc w:val="center"/>
              <w:rPr>
                <w:b/>
                <w:color w:val="000000" w:themeColor="text1"/>
                <w:sz w:val="21"/>
                <w:szCs w:val="21"/>
              </w:rPr>
            </w:pPr>
            <w:r>
              <w:rPr>
                <w:b/>
                <w:color w:val="000000" w:themeColor="text1"/>
                <w:sz w:val="21"/>
                <w:szCs w:val="21"/>
              </w:rPr>
              <w:t>内容</w:t>
            </w:r>
          </w:p>
          <w:p>
            <w:pPr>
              <w:adjustRightInd w:val="0"/>
              <w:spacing w:line="240" w:lineRule="auto"/>
              <w:ind w:firstLine="0" w:firstLineChars="0"/>
              <w:rPr>
                <w:b/>
                <w:color w:val="000000" w:themeColor="text1"/>
                <w:sz w:val="21"/>
                <w:szCs w:val="21"/>
              </w:rPr>
            </w:pPr>
            <w:r>
              <w:rPr>
                <w:b/>
                <w:color w:val="000000" w:themeColor="text1"/>
                <w:sz w:val="21"/>
                <w:szCs w:val="21"/>
              </w:rPr>
              <w:t>类型</w:t>
            </w:r>
          </w:p>
        </w:tc>
        <w:tc>
          <w:tcPr>
            <w:tcW w:w="1719" w:type="dxa"/>
            <w:vAlign w:val="center"/>
          </w:tcPr>
          <w:p>
            <w:pPr>
              <w:adjustRightInd w:val="0"/>
              <w:spacing w:line="240" w:lineRule="auto"/>
              <w:ind w:firstLine="0" w:firstLineChars="0"/>
              <w:jc w:val="center"/>
              <w:rPr>
                <w:b/>
                <w:color w:val="000000" w:themeColor="text1"/>
                <w:sz w:val="21"/>
                <w:szCs w:val="21"/>
              </w:rPr>
            </w:pPr>
            <w:r>
              <w:rPr>
                <w:b/>
                <w:color w:val="000000" w:themeColor="text1"/>
                <w:sz w:val="21"/>
                <w:szCs w:val="21"/>
              </w:rPr>
              <w:t>排放源</w:t>
            </w:r>
          </w:p>
        </w:tc>
        <w:tc>
          <w:tcPr>
            <w:tcW w:w="1133" w:type="dxa"/>
            <w:vAlign w:val="center"/>
          </w:tcPr>
          <w:p>
            <w:pPr>
              <w:adjustRightInd w:val="0"/>
              <w:spacing w:line="240" w:lineRule="auto"/>
              <w:ind w:firstLine="0" w:firstLineChars="0"/>
              <w:jc w:val="center"/>
              <w:rPr>
                <w:b/>
                <w:color w:val="000000" w:themeColor="text1"/>
                <w:sz w:val="21"/>
                <w:szCs w:val="21"/>
              </w:rPr>
            </w:pPr>
            <w:r>
              <w:rPr>
                <w:b/>
                <w:color w:val="000000" w:themeColor="text1"/>
                <w:sz w:val="21"/>
                <w:szCs w:val="21"/>
              </w:rPr>
              <w:t>污染物</w:t>
            </w:r>
          </w:p>
          <w:p>
            <w:pPr>
              <w:adjustRightInd w:val="0"/>
              <w:spacing w:line="240" w:lineRule="auto"/>
              <w:ind w:firstLine="0" w:firstLineChars="0"/>
              <w:jc w:val="center"/>
              <w:rPr>
                <w:b/>
                <w:color w:val="000000" w:themeColor="text1"/>
                <w:sz w:val="21"/>
                <w:szCs w:val="21"/>
              </w:rPr>
            </w:pPr>
            <w:r>
              <w:rPr>
                <w:b/>
                <w:color w:val="000000" w:themeColor="text1"/>
                <w:sz w:val="21"/>
                <w:szCs w:val="21"/>
              </w:rPr>
              <w:t>名称</w:t>
            </w:r>
          </w:p>
        </w:tc>
        <w:tc>
          <w:tcPr>
            <w:tcW w:w="2621" w:type="dxa"/>
            <w:vAlign w:val="center"/>
          </w:tcPr>
          <w:p>
            <w:pPr>
              <w:spacing w:line="240" w:lineRule="auto"/>
              <w:ind w:firstLine="0" w:firstLineChars="0"/>
              <w:jc w:val="center"/>
              <w:rPr>
                <w:b/>
                <w:color w:val="000000" w:themeColor="text1"/>
                <w:sz w:val="21"/>
                <w:szCs w:val="21"/>
              </w:rPr>
            </w:pPr>
            <w:r>
              <w:rPr>
                <w:b/>
                <w:color w:val="000000" w:themeColor="text1"/>
                <w:sz w:val="21"/>
                <w:szCs w:val="21"/>
              </w:rPr>
              <w:t>防治措施</w:t>
            </w:r>
          </w:p>
        </w:tc>
        <w:tc>
          <w:tcPr>
            <w:tcW w:w="2621" w:type="dxa"/>
            <w:vAlign w:val="center"/>
          </w:tcPr>
          <w:p>
            <w:pPr>
              <w:spacing w:line="240" w:lineRule="auto"/>
              <w:ind w:firstLine="0" w:firstLineChars="0"/>
              <w:jc w:val="center"/>
              <w:rPr>
                <w:b/>
                <w:color w:val="000000" w:themeColor="text1"/>
                <w:sz w:val="21"/>
                <w:szCs w:val="21"/>
              </w:rPr>
            </w:pPr>
            <w:r>
              <w:rPr>
                <w:rFonts w:hint="eastAsia"/>
                <w:b/>
                <w:color w:val="000000" w:themeColor="text1"/>
                <w:sz w:val="21"/>
                <w:szCs w:val="21"/>
              </w:rPr>
              <w:t>预期</w:t>
            </w:r>
            <w:r>
              <w:rPr>
                <w:b/>
                <w:color w:val="000000" w:themeColor="text1"/>
                <w:sz w:val="21"/>
                <w:szCs w:val="21"/>
              </w:rPr>
              <w:t>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05" w:type="dxa"/>
            <w:vMerge w:val="restart"/>
            <w:vAlign w:val="center"/>
          </w:tcPr>
          <w:p>
            <w:pPr>
              <w:adjustRightInd w:val="0"/>
              <w:spacing w:line="240" w:lineRule="auto"/>
              <w:ind w:firstLine="0" w:firstLineChars="0"/>
              <w:jc w:val="center"/>
              <w:rPr>
                <w:bCs/>
                <w:color w:val="000000" w:themeColor="text1"/>
                <w:sz w:val="21"/>
                <w:szCs w:val="21"/>
              </w:rPr>
            </w:pPr>
            <w:r>
              <w:rPr>
                <w:bCs/>
                <w:color w:val="000000" w:themeColor="text1"/>
                <w:sz w:val="21"/>
                <w:szCs w:val="21"/>
              </w:rPr>
              <w:t>大气污染物</w:t>
            </w:r>
          </w:p>
        </w:tc>
        <w:tc>
          <w:tcPr>
            <w:tcW w:w="380" w:type="dxa"/>
            <w:vMerge w:val="restart"/>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施工期</w:t>
            </w:r>
          </w:p>
        </w:tc>
        <w:tc>
          <w:tcPr>
            <w:tcW w:w="1719" w:type="dxa"/>
            <w:tcBorders>
              <w:right w:val="single" w:color="000000"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施工场地</w:t>
            </w:r>
          </w:p>
        </w:tc>
        <w:tc>
          <w:tcPr>
            <w:tcW w:w="1133" w:type="dxa"/>
            <w:tcBorders>
              <w:left w:val="single" w:color="000000"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扬尘</w:t>
            </w:r>
          </w:p>
        </w:tc>
        <w:tc>
          <w:tcPr>
            <w:tcW w:w="2621" w:type="dxa"/>
            <w:vAlign w:val="center"/>
          </w:tcPr>
          <w:p>
            <w:pPr>
              <w:autoSpaceDE w:val="0"/>
              <w:autoSpaceDN w:val="0"/>
              <w:adjustRightInd w:val="0"/>
              <w:spacing w:line="240" w:lineRule="auto"/>
              <w:ind w:firstLine="0" w:firstLineChars="0"/>
              <w:jc w:val="center"/>
              <w:rPr>
                <w:color w:val="000000" w:themeColor="text1"/>
                <w:sz w:val="21"/>
                <w:szCs w:val="21"/>
              </w:rPr>
            </w:pPr>
            <w:r>
              <w:rPr>
                <w:rFonts w:hint="eastAsia" w:ascii="宋体" w:cs="宋体" w:hAnsiTheme="minorHAnsi"/>
                <w:color w:val="000000" w:themeColor="text1"/>
                <w:kern w:val="0"/>
                <w:sz w:val="21"/>
                <w:szCs w:val="21"/>
              </w:rPr>
              <w:t>场地及时洒水，物料覆盖遮挡，合理安排施工时间，减少临时堆土裸露，加强施工管理</w:t>
            </w:r>
          </w:p>
        </w:tc>
        <w:tc>
          <w:tcPr>
            <w:tcW w:w="2621"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满足GB16297-1996《大气污染物综合排放标准》表2中的无组织排放监控浓度限值，即≤1.0</w:t>
            </w:r>
            <w:r>
              <w:rPr>
                <w:color w:val="000000" w:themeColor="text1"/>
                <w:sz w:val="21"/>
                <w:szCs w:val="21"/>
              </w:rPr>
              <w:t>mg/m</w:t>
            </w:r>
            <w:r>
              <w:rPr>
                <w:color w:val="000000" w:themeColor="text1"/>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tcBorders>
              <w:right w:val="single" w:color="000000"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施工机械和运输车辆</w:t>
            </w:r>
          </w:p>
        </w:tc>
        <w:tc>
          <w:tcPr>
            <w:tcW w:w="1133" w:type="dxa"/>
            <w:tcBorders>
              <w:left w:val="single" w:color="000000" w:sz="4" w:space="0"/>
            </w:tcBorders>
            <w:vAlign w:val="center"/>
          </w:tcPr>
          <w:p>
            <w:pPr>
              <w:spacing w:line="240" w:lineRule="auto"/>
              <w:ind w:firstLine="0" w:firstLineChars="0"/>
              <w:jc w:val="center"/>
              <w:rPr>
                <w:color w:val="000000" w:themeColor="text1"/>
                <w:sz w:val="21"/>
                <w:szCs w:val="21"/>
              </w:rPr>
            </w:pPr>
            <w:r>
              <w:rPr>
                <w:color w:val="000000" w:themeColor="text1"/>
                <w:sz w:val="21"/>
                <w:szCs w:val="21"/>
              </w:rPr>
              <w:t>NO</w:t>
            </w:r>
            <w:r>
              <w:rPr>
                <w:color w:val="000000" w:themeColor="text1"/>
                <w:sz w:val="21"/>
                <w:szCs w:val="21"/>
                <w:vertAlign w:val="subscript"/>
              </w:rPr>
              <w:t>x</w:t>
            </w:r>
            <w:r>
              <w:rPr>
                <w:color w:val="000000" w:themeColor="text1"/>
                <w:sz w:val="21"/>
                <w:szCs w:val="21"/>
              </w:rPr>
              <w:t>、CO、</w:t>
            </w:r>
            <w:r>
              <w:rPr>
                <w:rFonts w:hint="eastAsia"/>
                <w:color w:val="000000" w:themeColor="text1"/>
                <w:sz w:val="21"/>
                <w:szCs w:val="21"/>
              </w:rPr>
              <w:t>T</w:t>
            </w:r>
            <w:r>
              <w:rPr>
                <w:color w:val="000000" w:themeColor="text1"/>
                <w:sz w:val="21"/>
                <w:szCs w:val="21"/>
              </w:rPr>
              <w:t>HC</w:t>
            </w:r>
          </w:p>
        </w:tc>
        <w:tc>
          <w:tcPr>
            <w:tcW w:w="2621" w:type="dxa"/>
            <w:vAlign w:val="center"/>
          </w:tcPr>
          <w:p>
            <w:pPr>
              <w:adjustRightInd w:val="0"/>
              <w:snapToGrid w:val="0"/>
              <w:spacing w:line="240" w:lineRule="auto"/>
              <w:ind w:firstLine="0" w:firstLineChars="0"/>
              <w:jc w:val="center"/>
              <w:rPr>
                <w:color w:val="000000" w:themeColor="text1"/>
                <w:sz w:val="21"/>
                <w:szCs w:val="21"/>
              </w:rPr>
            </w:pPr>
            <w:r>
              <w:rPr>
                <w:color w:val="000000" w:themeColor="text1"/>
                <w:sz w:val="21"/>
                <w:szCs w:val="21"/>
              </w:rPr>
              <w:t>空气扩散，植被吸附</w:t>
            </w:r>
          </w:p>
        </w:tc>
        <w:tc>
          <w:tcPr>
            <w:tcW w:w="2621" w:type="dxa"/>
            <w:vAlign w:val="center"/>
          </w:tcPr>
          <w:p>
            <w:pPr>
              <w:adjustRightInd w:val="0"/>
              <w:snapToGrid w:val="0"/>
              <w:spacing w:line="240" w:lineRule="auto"/>
              <w:ind w:firstLine="0" w:firstLineChars="0"/>
              <w:jc w:val="center"/>
              <w:rPr>
                <w:color w:val="000000" w:themeColor="text1"/>
                <w:sz w:val="21"/>
                <w:szCs w:val="21"/>
              </w:rPr>
            </w:pPr>
            <w:r>
              <w:rPr>
                <w:rFonts w:hint="eastAsia"/>
                <w:color w:val="000000" w:themeColor="text1"/>
                <w:sz w:val="21"/>
                <w:szCs w:val="21"/>
              </w:rPr>
              <w:t>少量排放，</w:t>
            </w:r>
            <w:r>
              <w:rPr>
                <w:color w:val="000000" w:themeColor="text1"/>
                <w:sz w:val="21"/>
                <w:szCs w:val="21"/>
              </w:rPr>
              <w:t>环境影响小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restart"/>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运营期</w:t>
            </w:r>
          </w:p>
        </w:tc>
        <w:tc>
          <w:tcPr>
            <w:tcW w:w="1719" w:type="dxa"/>
            <w:tcBorders>
              <w:right w:val="single" w:color="auto"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卸料、破碎、成品转运和输送</w:t>
            </w:r>
          </w:p>
        </w:tc>
        <w:tc>
          <w:tcPr>
            <w:tcW w:w="1133" w:type="dxa"/>
            <w:vMerge w:val="restart"/>
            <w:tcBorders>
              <w:left w:val="single" w:color="auto"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无组织粉尘</w:t>
            </w:r>
          </w:p>
        </w:tc>
        <w:tc>
          <w:tcPr>
            <w:tcW w:w="2621"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厂房封闭，洒水喷淋</w:t>
            </w:r>
          </w:p>
        </w:tc>
        <w:tc>
          <w:tcPr>
            <w:tcW w:w="2621" w:type="dxa"/>
            <w:vMerge w:val="restart"/>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厂界颗粒物浓度</w:t>
            </w:r>
            <w:r>
              <w:rPr>
                <w:color w:val="000000" w:themeColor="text1"/>
                <w:sz w:val="21"/>
                <w:szCs w:val="21"/>
              </w:rPr>
              <w:t>执行</w:t>
            </w:r>
            <w:r>
              <w:rPr>
                <w:rFonts w:hint="eastAsia"/>
                <w:color w:val="000000" w:themeColor="text1"/>
                <w:sz w:val="21"/>
                <w:szCs w:val="21"/>
              </w:rPr>
              <w:t>GB16297-1996《大气污染物综合排放标准》表2中无组织排放监控浓度限值</w:t>
            </w:r>
            <w:r>
              <w:rPr>
                <w:color w:val="000000" w:themeColor="text1"/>
                <w:sz w:val="21"/>
                <w:szCs w:val="21"/>
              </w:rPr>
              <w:t>，即颗粒物≤</w:t>
            </w:r>
            <w:r>
              <w:rPr>
                <w:rFonts w:hint="eastAsia"/>
                <w:color w:val="000000" w:themeColor="text1"/>
                <w:sz w:val="21"/>
                <w:szCs w:val="21"/>
              </w:rPr>
              <w:t>1.0</w:t>
            </w:r>
            <w:r>
              <w:rPr>
                <w:color w:val="000000" w:themeColor="text1"/>
                <w:sz w:val="21"/>
                <w:szCs w:val="21"/>
              </w:rPr>
              <w:t>mg/m</w:t>
            </w:r>
            <w:r>
              <w:rPr>
                <w:color w:val="000000" w:themeColor="text1"/>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tcBorders>
              <w:right w:val="single" w:color="auto"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运输道路</w:t>
            </w:r>
          </w:p>
        </w:tc>
        <w:tc>
          <w:tcPr>
            <w:tcW w:w="1133" w:type="dxa"/>
            <w:vMerge w:val="continue"/>
            <w:tcBorders>
              <w:left w:val="single" w:color="auto" w:sz="4" w:space="0"/>
            </w:tcBorders>
            <w:vAlign w:val="center"/>
          </w:tcPr>
          <w:p>
            <w:pPr>
              <w:spacing w:line="240" w:lineRule="auto"/>
              <w:ind w:firstLine="0" w:firstLineChars="0"/>
              <w:jc w:val="center"/>
              <w:rPr>
                <w:color w:val="000000" w:themeColor="text1"/>
                <w:sz w:val="21"/>
                <w:szCs w:val="21"/>
              </w:rPr>
            </w:pPr>
          </w:p>
        </w:tc>
        <w:tc>
          <w:tcPr>
            <w:tcW w:w="2621"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洒水降尘</w:t>
            </w:r>
          </w:p>
        </w:tc>
        <w:tc>
          <w:tcPr>
            <w:tcW w:w="2621" w:type="dxa"/>
            <w:vMerge w:val="continue"/>
            <w:vAlign w:val="center"/>
          </w:tcPr>
          <w:p>
            <w:pPr>
              <w:spacing w:line="240" w:lineRule="auto"/>
              <w:ind w:firstLine="0" w:firstLineChars="0"/>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tcBorders>
              <w:right w:val="single" w:color="auto"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破碎车间</w:t>
            </w:r>
          </w:p>
        </w:tc>
        <w:tc>
          <w:tcPr>
            <w:tcW w:w="1133" w:type="dxa"/>
            <w:tcBorders>
              <w:left w:val="single" w:color="auto"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有组织粉尘</w:t>
            </w:r>
          </w:p>
        </w:tc>
        <w:tc>
          <w:tcPr>
            <w:tcW w:w="2621"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经集气罩收集进入布袋除尘器处理后经1根15m高排气筒DA001排放</w:t>
            </w:r>
          </w:p>
        </w:tc>
        <w:tc>
          <w:tcPr>
            <w:tcW w:w="2621"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厂界颗粒物浓度</w:t>
            </w:r>
            <w:r>
              <w:rPr>
                <w:color w:val="000000" w:themeColor="text1"/>
                <w:sz w:val="21"/>
                <w:szCs w:val="21"/>
              </w:rPr>
              <w:t>执行</w:t>
            </w:r>
            <w:r>
              <w:rPr>
                <w:rFonts w:hint="eastAsia"/>
                <w:color w:val="000000" w:themeColor="text1"/>
                <w:sz w:val="21"/>
                <w:szCs w:val="21"/>
              </w:rPr>
              <w:t>GB16297-1996《大气污染物综合排放标准》表2中有组织排放监控浓度限值</w:t>
            </w:r>
            <w:r>
              <w:rPr>
                <w:color w:val="000000" w:themeColor="text1"/>
                <w:sz w:val="21"/>
                <w:szCs w:val="21"/>
              </w:rPr>
              <w:t>，即颗粒物≤</w:t>
            </w:r>
            <w:r>
              <w:rPr>
                <w:rFonts w:hint="eastAsia"/>
                <w:color w:val="000000" w:themeColor="text1"/>
                <w:sz w:val="21"/>
                <w:szCs w:val="21"/>
              </w:rPr>
              <w:t>120</w:t>
            </w:r>
            <w:r>
              <w:rPr>
                <w:color w:val="000000" w:themeColor="text1"/>
                <w:sz w:val="21"/>
                <w:szCs w:val="21"/>
              </w:rPr>
              <w:t>mg/m</w:t>
            </w:r>
            <w:r>
              <w:rPr>
                <w:color w:val="000000" w:themeColor="text1"/>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tcBorders>
              <w:right w:val="single" w:color="auto"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厨房</w:t>
            </w:r>
          </w:p>
        </w:tc>
        <w:tc>
          <w:tcPr>
            <w:tcW w:w="1133" w:type="dxa"/>
            <w:tcBorders>
              <w:left w:val="single" w:color="auto"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油烟</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经抽油烟机抽吸后，经烟囱外排</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color w:val="000000" w:themeColor="text1"/>
                <w:sz w:val="21"/>
                <w:szCs w:val="21"/>
              </w:rPr>
              <w:t>少量排放</w:t>
            </w:r>
            <w:r>
              <w:rPr>
                <w:color w:val="000000" w:themeColor="text1"/>
                <w:sz w:val="21"/>
                <w:szCs w:val="21"/>
              </w:rPr>
              <w:t>，环境影响小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tcBorders>
              <w:right w:val="single" w:color="auto" w:sz="4" w:space="0"/>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汽车</w:t>
            </w:r>
          </w:p>
        </w:tc>
        <w:tc>
          <w:tcPr>
            <w:tcW w:w="1133" w:type="dxa"/>
            <w:tcBorders>
              <w:left w:val="single" w:color="auto" w:sz="4" w:space="0"/>
            </w:tcBorders>
            <w:vAlign w:val="center"/>
          </w:tcPr>
          <w:p>
            <w:pPr>
              <w:adjustRightInd w:val="0"/>
              <w:spacing w:line="240" w:lineRule="auto"/>
              <w:ind w:firstLine="0" w:firstLineChars="0"/>
              <w:jc w:val="center"/>
              <w:rPr>
                <w:bCs/>
                <w:color w:val="000000" w:themeColor="text1"/>
                <w:sz w:val="21"/>
                <w:szCs w:val="21"/>
              </w:rPr>
            </w:pPr>
            <w:r>
              <w:rPr>
                <w:color w:val="000000" w:themeColor="text1"/>
                <w:sz w:val="21"/>
                <w:szCs w:val="21"/>
              </w:rPr>
              <w:t>NO</w:t>
            </w:r>
            <w:r>
              <w:rPr>
                <w:color w:val="000000" w:themeColor="text1"/>
                <w:sz w:val="21"/>
                <w:szCs w:val="21"/>
                <w:vertAlign w:val="subscript"/>
              </w:rPr>
              <w:t>x</w:t>
            </w:r>
            <w:r>
              <w:rPr>
                <w:color w:val="000000" w:themeColor="text1"/>
                <w:sz w:val="21"/>
                <w:szCs w:val="21"/>
              </w:rPr>
              <w:t>、CO、HC</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空气</w:t>
            </w:r>
            <w:r>
              <w:rPr>
                <w:color w:val="000000" w:themeColor="text1"/>
                <w:sz w:val="21"/>
                <w:szCs w:val="21"/>
              </w:rPr>
              <w:t>扩散，植被吸附</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color w:val="000000" w:themeColor="text1"/>
                <w:sz w:val="21"/>
                <w:szCs w:val="21"/>
              </w:rPr>
              <w:t>少量排放，</w:t>
            </w:r>
            <w:r>
              <w:rPr>
                <w:color w:val="000000" w:themeColor="text1"/>
                <w:sz w:val="21"/>
                <w:szCs w:val="21"/>
              </w:rPr>
              <w:t>环境影响小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 w:type="dxa"/>
            <w:vMerge w:val="restart"/>
            <w:vAlign w:val="center"/>
          </w:tcPr>
          <w:p>
            <w:pPr>
              <w:adjustRightInd w:val="0"/>
              <w:spacing w:line="240" w:lineRule="auto"/>
              <w:ind w:firstLine="0" w:firstLineChars="0"/>
              <w:jc w:val="center"/>
              <w:rPr>
                <w:bCs/>
                <w:color w:val="000000" w:themeColor="text1"/>
                <w:sz w:val="21"/>
                <w:szCs w:val="21"/>
              </w:rPr>
            </w:pPr>
            <w:r>
              <w:rPr>
                <w:bCs/>
                <w:color w:val="000000" w:themeColor="text1"/>
                <w:sz w:val="21"/>
                <w:szCs w:val="21"/>
              </w:rPr>
              <w:t>水污染物</w:t>
            </w:r>
          </w:p>
        </w:tc>
        <w:tc>
          <w:tcPr>
            <w:tcW w:w="380" w:type="dxa"/>
            <w:vMerge w:val="restart"/>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施工期</w:t>
            </w:r>
          </w:p>
        </w:tc>
        <w:tc>
          <w:tcPr>
            <w:tcW w:w="1719" w:type="dxa"/>
            <w:tcBorders>
              <w:right w:val="single" w:color="000000" w:sz="4" w:space="0"/>
            </w:tcBorders>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施工场地</w:t>
            </w:r>
          </w:p>
        </w:tc>
        <w:tc>
          <w:tcPr>
            <w:tcW w:w="1133" w:type="dxa"/>
            <w:tcBorders>
              <w:left w:val="single" w:color="000000" w:sz="4" w:space="0"/>
            </w:tcBorders>
            <w:vAlign w:val="center"/>
          </w:tcPr>
          <w:p>
            <w:pPr>
              <w:adjustRightInd w:val="0"/>
              <w:spacing w:line="240" w:lineRule="auto"/>
              <w:ind w:firstLine="0" w:firstLineChars="0"/>
              <w:jc w:val="center"/>
              <w:rPr>
                <w:bCs/>
                <w:color w:val="000000" w:themeColor="text1"/>
                <w:sz w:val="21"/>
                <w:szCs w:val="21"/>
                <w:vertAlign w:val="subscript"/>
              </w:rPr>
            </w:pPr>
            <w:r>
              <w:rPr>
                <w:rFonts w:hint="eastAsia"/>
                <w:bCs/>
                <w:color w:val="000000" w:themeColor="text1"/>
                <w:sz w:val="21"/>
                <w:szCs w:val="21"/>
              </w:rPr>
              <w:t>施工废水</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lang w:eastAsia="zh-CN"/>
              </w:rPr>
              <w:t>依托石材厂</w:t>
            </w:r>
            <w:r>
              <w:rPr>
                <w:rFonts w:hint="eastAsia"/>
                <w:bCs/>
                <w:color w:val="000000" w:themeColor="text1"/>
                <w:sz w:val="21"/>
                <w:szCs w:val="21"/>
              </w:rPr>
              <w:t>沉淀池收集、沉淀后回用于施工生产及施工场地洒水降尘</w:t>
            </w:r>
          </w:p>
        </w:tc>
        <w:tc>
          <w:tcPr>
            <w:tcW w:w="2621"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05" w:type="dxa"/>
            <w:vMerge w:val="continue"/>
            <w:vAlign w:val="center"/>
          </w:tcPr>
          <w:p>
            <w:pPr>
              <w:adjustRightInd w:val="0"/>
              <w:spacing w:line="240" w:lineRule="auto"/>
              <w:ind w:firstLine="0" w:firstLineChars="0"/>
              <w:jc w:val="center"/>
              <w:rPr>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tcBorders>
              <w:right w:val="single" w:color="000000" w:sz="4" w:space="0"/>
            </w:tcBorders>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施工人员</w:t>
            </w:r>
          </w:p>
        </w:tc>
        <w:tc>
          <w:tcPr>
            <w:tcW w:w="1133" w:type="dxa"/>
            <w:tcBorders>
              <w:left w:val="single" w:color="000000" w:sz="4" w:space="0"/>
            </w:tcBorders>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生活污水</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lang w:eastAsia="zh-CN"/>
              </w:rPr>
              <w:t>依托石材厂</w:t>
            </w:r>
            <w:r>
              <w:rPr>
                <w:rFonts w:hint="eastAsia"/>
                <w:bCs/>
                <w:color w:val="000000" w:themeColor="text1"/>
                <w:sz w:val="21"/>
                <w:szCs w:val="21"/>
              </w:rPr>
              <w:t>沉淀池收集</w:t>
            </w:r>
            <w:r>
              <w:rPr>
                <w:rFonts w:hint="eastAsia"/>
                <w:bCs/>
                <w:color w:val="000000" w:themeColor="text1"/>
                <w:sz w:val="21"/>
                <w:szCs w:val="21"/>
                <w:lang w:eastAsia="zh-CN"/>
              </w:rPr>
              <w:t>、</w:t>
            </w:r>
            <w:r>
              <w:rPr>
                <w:rFonts w:hint="eastAsia"/>
                <w:bCs/>
                <w:color w:val="000000" w:themeColor="text1"/>
                <w:sz w:val="21"/>
                <w:szCs w:val="21"/>
              </w:rPr>
              <w:t>沉淀后回用于场地洒水降尘</w:t>
            </w:r>
          </w:p>
        </w:tc>
        <w:tc>
          <w:tcPr>
            <w:tcW w:w="2621"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05" w:type="dxa"/>
            <w:vMerge w:val="continue"/>
            <w:vAlign w:val="center"/>
          </w:tcPr>
          <w:p>
            <w:pPr>
              <w:adjustRightInd w:val="0"/>
              <w:spacing w:line="240" w:lineRule="auto"/>
              <w:ind w:firstLine="0" w:firstLineChars="0"/>
              <w:jc w:val="center"/>
              <w:rPr>
                <w:color w:val="000000" w:themeColor="text1"/>
                <w:sz w:val="21"/>
                <w:szCs w:val="21"/>
              </w:rPr>
            </w:pPr>
          </w:p>
        </w:tc>
        <w:tc>
          <w:tcPr>
            <w:tcW w:w="380" w:type="dxa"/>
            <w:vMerge w:val="restart"/>
            <w:vAlign w:val="center"/>
          </w:tcPr>
          <w:p>
            <w:pPr>
              <w:adjustRightInd w:val="0"/>
              <w:spacing w:line="240" w:lineRule="auto"/>
              <w:ind w:firstLine="0" w:firstLineChars="0"/>
              <w:jc w:val="center"/>
              <w:rPr>
                <w:rFonts w:hint="eastAsia" w:eastAsia="宋体"/>
                <w:bCs/>
                <w:color w:val="000000" w:themeColor="text1"/>
                <w:sz w:val="21"/>
                <w:szCs w:val="21"/>
                <w:lang w:eastAsia="zh-CN"/>
              </w:rPr>
            </w:pPr>
            <w:r>
              <w:rPr>
                <w:rFonts w:hint="eastAsia"/>
                <w:bCs/>
                <w:color w:val="000000" w:themeColor="text1"/>
                <w:sz w:val="21"/>
                <w:szCs w:val="21"/>
                <w:lang w:eastAsia="zh-CN"/>
              </w:rPr>
              <w:t>运营期</w:t>
            </w:r>
          </w:p>
        </w:tc>
        <w:tc>
          <w:tcPr>
            <w:tcW w:w="1719" w:type="dxa"/>
            <w:tcBorders>
              <w:right w:val="single" w:color="000000" w:sz="4" w:space="0"/>
            </w:tcBorders>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厂区</w:t>
            </w:r>
          </w:p>
        </w:tc>
        <w:tc>
          <w:tcPr>
            <w:tcW w:w="1133" w:type="dxa"/>
            <w:tcBorders>
              <w:left w:val="single" w:color="000000" w:sz="4" w:space="0"/>
            </w:tcBorders>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初期雨水</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经初期雨水收集池收集、沉淀后，池内雨水晴天全部回用于原有石材加工项目</w:t>
            </w:r>
          </w:p>
        </w:tc>
        <w:tc>
          <w:tcPr>
            <w:tcW w:w="2621"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05" w:type="dxa"/>
            <w:vMerge w:val="continue"/>
            <w:vAlign w:val="center"/>
          </w:tcPr>
          <w:p>
            <w:pPr>
              <w:adjustRightInd w:val="0"/>
              <w:spacing w:line="240" w:lineRule="auto"/>
              <w:ind w:firstLine="0" w:firstLineChars="0"/>
              <w:jc w:val="center"/>
              <w:rPr>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tcBorders>
              <w:right w:val="single" w:color="000000" w:sz="4" w:space="0"/>
            </w:tcBorders>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办公、生活</w:t>
            </w:r>
          </w:p>
        </w:tc>
        <w:tc>
          <w:tcPr>
            <w:tcW w:w="1133" w:type="dxa"/>
            <w:tcBorders>
              <w:left w:val="single" w:color="000000" w:sz="4" w:space="0"/>
            </w:tcBorders>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生活污水</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lang w:eastAsia="zh-CN"/>
              </w:rPr>
              <w:t>新建</w:t>
            </w:r>
            <w:r>
              <w:rPr>
                <w:rFonts w:hint="eastAsia"/>
                <w:bCs/>
                <w:color w:val="000000" w:themeColor="text1"/>
                <w:sz w:val="21"/>
                <w:szCs w:val="21"/>
              </w:rPr>
              <w:t>隔油池</w:t>
            </w:r>
            <w:r>
              <w:rPr>
                <w:rFonts w:hint="eastAsia"/>
                <w:bCs/>
                <w:color w:val="000000" w:themeColor="text1"/>
                <w:sz w:val="21"/>
                <w:szCs w:val="21"/>
                <w:lang w:eastAsia="zh-CN"/>
              </w:rPr>
              <w:t>、依托石材厂沉淀池</w:t>
            </w:r>
            <w:r>
              <w:rPr>
                <w:rFonts w:hint="eastAsia"/>
                <w:bCs/>
                <w:color w:val="000000" w:themeColor="text1"/>
                <w:sz w:val="21"/>
                <w:szCs w:val="21"/>
              </w:rPr>
              <w:t>处理后，全部回用于原有石材加工项目</w:t>
            </w:r>
          </w:p>
        </w:tc>
        <w:tc>
          <w:tcPr>
            <w:tcW w:w="2621"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05" w:type="dxa"/>
            <w:vMerge w:val="restart"/>
            <w:vAlign w:val="center"/>
          </w:tcPr>
          <w:p>
            <w:pPr>
              <w:adjustRightInd w:val="0"/>
              <w:spacing w:line="240" w:lineRule="auto"/>
              <w:ind w:firstLine="0" w:firstLineChars="0"/>
              <w:jc w:val="center"/>
              <w:rPr>
                <w:bCs/>
                <w:color w:val="000000" w:themeColor="text1"/>
                <w:sz w:val="21"/>
                <w:szCs w:val="21"/>
              </w:rPr>
            </w:pPr>
            <w:r>
              <w:rPr>
                <w:bCs/>
                <w:color w:val="000000" w:themeColor="text1"/>
                <w:sz w:val="21"/>
                <w:szCs w:val="21"/>
              </w:rPr>
              <w:t>固体</w:t>
            </w:r>
            <w:r>
              <w:rPr>
                <w:rFonts w:hint="eastAsia"/>
                <w:bCs/>
                <w:color w:val="000000" w:themeColor="text1"/>
                <w:sz w:val="21"/>
                <w:szCs w:val="21"/>
              </w:rPr>
              <w:t>废</w:t>
            </w:r>
            <w:r>
              <w:rPr>
                <w:bCs/>
                <w:color w:val="000000" w:themeColor="text1"/>
                <w:sz w:val="21"/>
                <w:szCs w:val="21"/>
              </w:rPr>
              <w:t>物</w:t>
            </w:r>
          </w:p>
        </w:tc>
        <w:tc>
          <w:tcPr>
            <w:tcW w:w="380" w:type="dxa"/>
            <w:vMerge w:val="restart"/>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施工期</w:t>
            </w:r>
          </w:p>
        </w:tc>
        <w:tc>
          <w:tcPr>
            <w:tcW w:w="1719" w:type="dxa"/>
            <w:vMerge w:val="restart"/>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施工场地</w:t>
            </w:r>
          </w:p>
        </w:tc>
        <w:tc>
          <w:tcPr>
            <w:tcW w:w="1133"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土石方</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color w:val="000000" w:themeColor="text1"/>
                <w:sz w:val="21"/>
                <w:szCs w:val="21"/>
              </w:rPr>
              <w:t>全部回用于场区回填及绿化覆土</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color w:val="000000" w:themeColor="text1"/>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vMerge w:val="continue"/>
            <w:vAlign w:val="center"/>
          </w:tcPr>
          <w:p>
            <w:pPr>
              <w:adjustRightInd w:val="0"/>
              <w:spacing w:line="240" w:lineRule="auto"/>
              <w:ind w:firstLine="0" w:firstLineChars="0"/>
              <w:jc w:val="center"/>
              <w:rPr>
                <w:bCs/>
                <w:color w:val="000000" w:themeColor="text1"/>
                <w:sz w:val="21"/>
                <w:szCs w:val="21"/>
              </w:rPr>
            </w:pPr>
          </w:p>
        </w:tc>
        <w:tc>
          <w:tcPr>
            <w:tcW w:w="1133"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建筑垃圾</w:t>
            </w:r>
          </w:p>
        </w:tc>
        <w:tc>
          <w:tcPr>
            <w:tcW w:w="2621" w:type="dxa"/>
            <w:vAlign w:val="center"/>
          </w:tcPr>
          <w:p>
            <w:pPr>
              <w:adjustRightInd w:val="0"/>
              <w:spacing w:line="240" w:lineRule="auto"/>
              <w:ind w:firstLine="0" w:firstLineChars="0"/>
              <w:jc w:val="center"/>
              <w:rPr>
                <w:bCs/>
                <w:color w:val="000000" w:themeColor="text1"/>
                <w:sz w:val="21"/>
                <w:szCs w:val="21"/>
                <w:vertAlign w:val="superscript"/>
              </w:rPr>
            </w:pPr>
            <w:r>
              <w:rPr>
                <w:rFonts w:hint="eastAsia" w:hAnsiTheme="minorEastAsia" w:eastAsiaTheme="minorEastAsia"/>
                <w:bCs/>
                <w:color w:val="000000" w:themeColor="text1"/>
                <w:sz w:val="21"/>
                <w:szCs w:val="21"/>
              </w:rPr>
              <w:t>可利用部分经收集后外售，其余委托有资质单位清运至指定的建筑垃圾堆放场，禁止随意处置和堆放</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color w:val="000000" w:themeColor="text1"/>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施工人员</w:t>
            </w:r>
          </w:p>
        </w:tc>
        <w:tc>
          <w:tcPr>
            <w:tcW w:w="1133" w:type="dxa"/>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生活垃圾</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经垃圾桶统一收集后，与项目区员工产生的垃圾一起清运至周边村庄指定的垃圾堆存点</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color w:val="000000" w:themeColor="text1"/>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restart"/>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运营期</w:t>
            </w:r>
          </w:p>
        </w:tc>
        <w:tc>
          <w:tcPr>
            <w:tcW w:w="1719"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除尘器</w:t>
            </w:r>
          </w:p>
        </w:tc>
        <w:tc>
          <w:tcPr>
            <w:tcW w:w="1133"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收集的粉尘</w:t>
            </w:r>
          </w:p>
        </w:tc>
        <w:tc>
          <w:tcPr>
            <w:tcW w:w="2621" w:type="dxa"/>
            <w:vAlign w:val="center"/>
          </w:tcPr>
          <w:p>
            <w:pPr>
              <w:pStyle w:val="8"/>
              <w:adjustRightInd w:val="0"/>
              <w:spacing w:line="240" w:lineRule="auto"/>
              <w:ind w:firstLine="0" w:firstLineChars="0"/>
              <w:jc w:val="center"/>
              <w:rPr>
                <w:rFonts w:hint="eastAsia" w:eastAsia="宋体"/>
                <w:color w:val="000000" w:themeColor="text1"/>
                <w:sz w:val="21"/>
                <w:szCs w:val="21"/>
                <w:lang w:eastAsia="zh-CN"/>
              </w:rPr>
            </w:pPr>
            <w:r>
              <w:rPr>
                <w:rFonts w:hint="eastAsia"/>
                <w:sz w:val="21"/>
                <w:szCs w:val="21"/>
              </w:rPr>
              <w:t>收集后</w:t>
            </w:r>
            <w:r>
              <w:rPr>
                <w:rFonts w:hint="eastAsia"/>
                <w:color w:val="000000" w:themeColor="text1"/>
                <w:sz w:val="21"/>
                <w:szCs w:val="21"/>
                <w:lang w:eastAsia="zh-CN"/>
              </w:rPr>
              <w:t>作为成品售卖</w:t>
            </w:r>
          </w:p>
        </w:tc>
        <w:tc>
          <w:tcPr>
            <w:tcW w:w="2621" w:type="dxa"/>
            <w:vMerge w:val="restart"/>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处置率达100%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rFonts w:hint="eastAsia"/>
                <w:bCs/>
                <w:color w:val="000000" w:themeColor="text1"/>
                <w:sz w:val="21"/>
                <w:szCs w:val="21"/>
              </w:rPr>
            </w:pPr>
          </w:p>
        </w:tc>
        <w:tc>
          <w:tcPr>
            <w:tcW w:w="1719" w:type="dxa"/>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bCs/>
                <w:color w:val="000000" w:themeColor="text1"/>
                <w:sz w:val="21"/>
                <w:szCs w:val="21"/>
              </w:rPr>
            </w:pPr>
            <w:r>
              <w:rPr>
                <w:rFonts w:hint="eastAsia"/>
                <w:bCs/>
                <w:color w:val="000000" w:themeColor="text1"/>
                <w:sz w:val="21"/>
                <w:szCs w:val="21"/>
              </w:rPr>
              <w:t>隔油池</w:t>
            </w:r>
          </w:p>
        </w:tc>
        <w:tc>
          <w:tcPr>
            <w:tcW w:w="1133" w:type="dxa"/>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bCs/>
                <w:color w:val="000000" w:themeColor="text1"/>
                <w:sz w:val="21"/>
                <w:szCs w:val="21"/>
              </w:rPr>
            </w:pPr>
            <w:r>
              <w:rPr>
                <w:rFonts w:hint="eastAsia"/>
                <w:bCs/>
                <w:color w:val="000000" w:themeColor="text1"/>
                <w:sz w:val="21"/>
                <w:szCs w:val="21"/>
              </w:rPr>
              <w:t>浮油</w:t>
            </w:r>
          </w:p>
        </w:tc>
        <w:tc>
          <w:tcPr>
            <w:tcW w:w="2621" w:type="dxa"/>
            <w:vAlign w:val="center"/>
          </w:tcPr>
          <w:p>
            <w:pPr>
              <w:pStyle w:val="8"/>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sz w:val="21"/>
                <w:szCs w:val="21"/>
              </w:rPr>
            </w:pPr>
            <w:r>
              <w:rPr>
                <w:rFonts w:hint="eastAsia"/>
                <w:color w:val="000000" w:themeColor="text1"/>
                <w:sz w:val="21"/>
                <w:szCs w:val="21"/>
              </w:rPr>
              <w:t>委托有资质的单位处置</w:t>
            </w:r>
          </w:p>
        </w:tc>
        <w:tc>
          <w:tcPr>
            <w:tcW w:w="2621" w:type="dxa"/>
            <w:vMerge w:val="continue"/>
            <w:vAlign w:val="center"/>
          </w:tcPr>
          <w:p>
            <w:pPr>
              <w:adjustRightInd w:val="0"/>
              <w:spacing w:line="240" w:lineRule="auto"/>
              <w:ind w:firstLine="0" w:firstLineChars="0"/>
              <w:jc w:val="center"/>
              <w:rPr>
                <w:rFonts w:hint="eastAsia"/>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rFonts w:hint="eastAsia"/>
                <w:bCs/>
                <w:color w:val="000000" w:themeColor="text1"/>
                <w:sz w:val="21"/>
                <w:szCs w:val="21"/>
              </w:rPr>
            </w:pPr>
          </w:p>
        </w:tc>
        <w:tc>
          <w:tcPr>
            <w:tcW w:w="1719" w:type="dxa"/>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bCs/>
                <w:color w:val="000000" w:themeColor="text1"/>
                <w:sz w:val="21"/>
                <w:szCs w:val="21"/>
              </w:rPr>
            </w:pPr>
            <w:r>
              <w:rPr>
                <w:rFonts w:hint="eastAsia"/>
                <w:bCs/>
                <w:color w:val="000000" w:themeColor="text1"/>
                <w:sz w:val="21"/>
                <w:szCs w:val="21"/>
              </w:rPr>
              <w:t>食堂</w:t>
            </w:r>
          </w:p>
        </w:tc>
        <w:tc>
          <w:tcPr>
            <w:tcW w:w="1133" w:type="dxa"/>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bCs/>
                <w:color w:val="000000" w:themeColor="text1"/>
                <w:sz w:val="21"/>
                <w:szCs w:val="21"/>
              </w:rPr>
            </w:pPr>
            <w:r>
              <w:rPr>
                <w:rFonts w:hint="eastAsia"/>
                <w:bCs/>
                <w:color w:val="000000" w:themeColor="text1"/>
                <w:sz w:val="21"/>
                <w:szCs w:val="21"/>
              </w:rPr>
              <w:t>泔水</w:t>
            </w:r>
          </w:p>
        </w:tc>
        <w:tc>
          <w:tcPr>
            <w:tcW w:w="2621" w:type="dxa"/>
            <w:vAlign w:val="center"/>
          </w:tcPr>
          <w:p>
            <w:pPr>
              <w:pStyle w:val="8"/>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sz w:val="21"/>
                <w:szCs w:val="21"/>
              </w:rPr>
            </w:pPr>
            <w:r>
              <w:rPr>
                <w:rFonts w:hint="eastAsia"/>
                <w:color w:val="000000" w:themeColor="text1"/>
                <w:sz w:val="21"/>
                <w:szCs w:val="21"/>
              </w:rPr>
              <w:t>经泔水桶收集后，</w:t>
            </w:r>
            <w:r>
              <w:rPr>
                <w:rFonts w:hint="eastAsia"/>
                <w:color w:val="000000" w:themeColor="text1"/>
                <w:sz w:val="21"/>
                <w:szCs w:val="21"/>
                <w:lang w:eastAsia="zh-CN"/>
              </w:rPr>
              <w:t>由周围农户定期清运作为饲料</w:t>
            </w:r>
          </w:p>
        </w:tc>
        <w:tc>
          <w:tcPr>
            <w:tcW w:w="2621" w:type="dxa"/>
            <w:vMerge w:val="continue"/>
            <w:vAlign w:val="center"/>
          </w:tcPr>
          <w:p>
            <w:pPr>
              <w:adjustRightInd w:val="0"/>
              <w:spacing w:line="240" w:lineRule="auto"/>
              <w:ind w:firstLine="0" w:firstLineChars="0"/>
              <w:jc w:val="center"/>
              <w:rPr>
                <w:rFonts w:hint="eastAsia"/>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rFonts w:hint="eastAsia"/>
                <w:bCs/>
                <w:color w:val="000000" w:themeColor="text1"/>
                <w:sz w:val="21"/>
                <w:szCs w:val="21"/>
              </w:rPr>
            </w:pPr>
          </w:p>
        </w:tc>
        <w:tc>
          <w:tcPr>
            <w:tcW w:w="1719" w:type="dxa"/>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bCs/>
                <w:color w:val="000000" w:themeColor="text1"/>
                <w:sz w:val="21"/>
                <w:szCs w:val="21"/>
              </w:rPr>
            </w:pPr>
            <w:r>
              <w:rPr>
                <w:rFonts w:hint="eastAsia"/>
                <w:bCs/>
                <w:color w:val="000000" w:themeColor="text1"/>
                <w:sz w:val="21"/>
                <w:szCs w:val="21"/>
              </w:rPr>
              <w:t>办公、生活</w:t>
            </w:r>
          </w:p>
        </w:tc>
        <w:tc>
          <w:tcPr>
            <w:tcW w:w="1133" w:type="dxa"/>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bCs/>
                <w:color w:val="000000" w:themeColor="text1"/>
                <w:sz w:val="21"/>
                <w:szCs w:val="21"/>
              </w:rPr>
            </w:pPr>
            <w:r>
              <w:rPr>
                <w:rFonts w:hint="eastAsia"/>
                <w:bCs/>
                <w:color w:val="000000" w:themeColor="text1"/>
                <w:sz w:val="21"/>
                <w:szCs w:val="21"/>
              </w:rPr>
              <w:t>生活垃圾</w:t>
            </w:r>
          </w:p>
        </w:tc>
        <w:tc>
          <w:tcPr>
            <w:tcW w:w="2621" w:type="dxa"/>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textAlignment w:val="auto"/>
              <w:rPr>
                <w:rFonts w:hint="eastAsia"/>
                <w:sz w:val="21"/>
                <w:szCs w:val="21"/>
              </w:rPr>
            </w:pPr>
            <w:r>
              <w:rPr>
                <w:rFonts w:hint="eastAsia"/>
                <w:color w:val="000000" w:themeColor="text1"/>
                <w:sz w:val="21"/>
                <w:szCs w:val="21"/>
              </w:rPr>
              <w:t>经垃圾桶收集后，定期</w:t>
            </w:r>
            <w:r>
              <w:rPr>
                <w:rFonts w:hint="eastAsia"/>
                <w:bCs/>
                <w:color w:val="000000" w:themeColor="text1"/>
                <w:sz w:val="21"/>
                <w:szCs w:val="21"/>
              </w:rPr>
              <w:t>清运至周边村庄指定的垃圾堆存点</w:t>
            </w:r>
          </w:p>
        </w:tc>
        <w:tc>
          <w:tcPr>
            <w:tcW w:w="2621" w:type="dxa"/>
            <w:vMerge w:val="continue"/>
            <w:vAlign w:val="center"/>
          </w:tcPr>
          <w:p>
            <w:pPr>
              <w:adjustRightInd w:val="0"/>
              <w:spacing w:line="240" w:lineRule="auto"/>
              <w:ind w:firstLine="0" w:firstLineChars="0"/>
              <w:jc w:val="center"/>
              <w:rPr>
                <w:rFonts w:hint="eastAsia"/>
                <w:bCs/>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vMerge w:val="restart"/>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设备维修</w:t>
            </w:r>
          </w:p>
        </w:tc>
        <w:tc>
          <w:tcPr>
            <w:tcW w:w="1133"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含油抹布及手套</w:t>
            </w:r>
          </w:p>
        </w:tc>
        <w:tc>
          <w:tcPr>
            <w:tcW w:w="2621"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与生活垃圾一起处置</w:t>
            </w:r>
          </w:p>
        </w:tc>
        <w:tc>
          <w:tcPr>
            <w:tcW w:w="2621" w:type="dxa"/>
            <w:vMerge w:val="continue"/>
            <w:vAlign w:val="center"/>
          </w:tcPr>
          <w:p>
            <w:pPr>
              <w:adjustRightInd w:val="0"/>
              <w:spacing w:line="240" w:lineRule="auto"/>
              <w:ind w:firstLine="0" w:firstLineChars="0"/>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Merge w:val="continue"/>
            <w:vAlign w:val="center"/>
          </w:tcPr>
          <w:p>
            <w:pPr>
              <w:adjustRightInd w:val="0"/>
              <w:spacing w:line="240" w:lineRule="auto"/>
              <w:ind w:firstLine="0" w:firstLineChars="0"/>
              <w:jc w:val="center"/>
              <w:rPr>
                <w:bCs/>
                <w:color w:val="000000" w:themeColor="text1"/>
                <w:sz w:val="21"/>
                <w:szCs w:val="21"/>
              </w:rPr>
            </w:pPr>
          </w:p>
        </w:tc>
        <w:tc>
          <w:tcPr>
            <w:tcW w:w="1719" w:type="dxa"/>
            <w:vMerge w:val="continue"/>
            <w:vAlign w:val="center"/>
          </w:tcPr>
          <w:p>
            <w:pPr>
              <w:adjustRightInd w:val="0"/>
              <w:spacing w:line="240" w:lineRule="auto"/>
              <w:ind w:firstLine="0" w:firstLineChars="0"/>
              <w:jc w:val="center"/>
              <w:rPr>
                <w:bCs/>
                <w:color w:val="000000" w:themeColor="text1"/>
                <w:sz w:val="21"/>
                <w:szCs w:val="21"/>
              </w:rPr>
            </w:pPr>
          </w:p>
        </w:tc>
        <w:tc>
          <w:tcPr>
            <w:tcW w:w="1133"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废机油</w:t>
            </w:r>
          </w:p>
        </w:tc>
        <w:tc>
          <w:tcPr>
            <w:tcW w:w="2621"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经废机油桶收集后，暂存于危废暂存间，并委托有资质单位清运处置</w:t>
            </w:r>
          </w:p>
        </w:tc>
        <w:tc>
          <w:tcPr>
            <w:tcW w:w="2621" w:type="dxa"/>
            <w:vMerge w:val="continue"/>
            <w:vAlign w:val="center"/>
          </w:tcPr>
          <w:p>
            <w:pPr>
              <w:adjustRightInd w:val="0"/>
              <w:spacing w:line="240" w:lineRule="auto"/>
              <w:ind w:firstLine="0" w:firstLineChars="0"/>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05" w:type="dxa"/>
            <w:vMerge w:val="restart"/>
            <w:vAlign w:val="center"/>
          </w:tcPr>
          <w:p>
            <w:pPr>
              <w:adjustRightInd w:val="0"/>
              <w:spacing w:line="240" w:lineRule="auto"/>
              <w:ind w:firstLine="0" w:firstLineChars="0"/>
              <w:jc w:val="center"/>
              <w:rPr>
                <w:bCs/>
                <w:color w:val="000000" w:themeColor="text1"/>
                <w:sz w:val="21"/>
                <w:szCs w:val="21"/>
              </w:rPr>
            </w:pPr>
            <w:r>
              <w:rPr>
                <w:bCs/>
                <w:color w:val="000000" w:themeColor="text1"/>
                <w:sz w:val="21"/>
                <w:szCs w:val="21"/>
              </w:rPr>
              <w:t>噪声</w:t>
            </w:r>
          </w:p>
        </w:tc>
        <w:tc>
          <w:tcPr>
            <w:tcW w:w="380"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施工期</w:t>
            </w:r>
          </w:p>
        </w:tc>
        <w:tc>
          <w:tcPr>
            <w:tcW w:w="1719"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施工阶段</w:t>
            </w:r>
          </w:p>
        </w:tc>
        <w:tc>
          <w:tcPr>
            <w:tcW w:w="1133"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w:t>
            </w:r>
            <w:r>
              <w:rPr>
                <w:bCs/>
                <w:color w:val="000000" w:themeColor="text1"/>
                <w:sz w:val="21"/>
                <w:szCs w:val="21"/>
              </w:rPr>
              <w:t>机械设备噪声</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施工机械处于正常工作状态，优化施工方式、禁止夜间施工、距离衰减等</w:t>
            </w:r>
          </w:p>
        </w:tc>
        <w:tc>
          <w:tcPr>
            <w:tcW w:w="2621"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达到GB12523-2011《建筑施工场界环境噪声排放标准》要求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05" w:type="dxa"/>
            <w:vMerge w:val="continue"/>
            <w:vAlign w:val="center"/>
          </w:tcPr>
          <w:p>
            <w:pPr>
              <w:adjustRightInd w:val="0"/>
              <w:spacing w:line="240" w:lineRule="auto"/>
              <w:ind w:firstLine="0" w:firstLineChars="0"/>
              <w:jc w:val="center"/>
              <w:rPr>
                <w:bCs/>
                <w:color w:val="000000" w:themeColor="text1"/>
                <w:sz w:val="21"/>
                <w:szCs w:val="21"/>
              </w:rPr>
            </w:pPr>
          </w:p>
        </w:tc>
        <w:tc>
          <w:tcPr>
            <w:tcW w:w="380"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运营期</w:t>
            </w:r>
          </w:p>
        </w:tc>
        <w:tc>
          <w:tcPr>
            <w:tcW w:w="1719"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生产设备</w:t>
            </w:r>
          </w:p>
        </w:tc>
        <w:tc>
          <w:tcPr>
            <w:tcW w:w="1133" w:type="dxa"/>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设备噪声</w:t>
            </w:r>
          </w:p>
        </w:tc>
        <w:tc>
          <w:tcPr>
            <w:tcW w:w="2621" w:type="dxa"/>
            <w:vAlign w:val="center"/>
          </w:tcPr>
          <w:p>
            <w:pPr>
              <w:adjustRightInd w:val="0"/>
              <w:spacing w:line="240" w:lineRule="auto"/>
              <w:ind w:firstLine="0" w:firstLineChars="0"/>
              <w:jc w:val="center"/>
              <w:rPr>
                <w:bCs/>
                <w:color w:val="000000" w:themeColor="text1"/>
                <w:sz w:val="21"/>
                <w:szCs w:val="21"/>
              </w:rPr>
            </w:pPr>
            <w:r>
              <w:rPr>
                <w:bCs/>
                <w:color w:val="000000" w:themeColor="text1"/>
                <w:sz w:val="21"/>
                <w:szCs w:val="21"/>
              </w:rPr>
              <w:t>基础减震、厂房隔声</w:t>
            </w:r>
          </w:p>
        </w:tc>
        <w:tc>
          <w:tcPr>
            <w:tcW w:w="2621" w:type="dxa"/>
            <w:vAlign w:val="center"/>
          </w:tcPr>
          <w:p>
            <w:pPr>
              <w:adjustRightInd w:val="0"/>
              <w:spacing w:line="240" w:lineRule="auto"/>
              <w:ind w:firstLine="0" w:firstLineChars="0"/>
              <w:jc w:val="center"/>
              <w:rPr>
                <w:rFonts w:hint="eastAsia" w:eastAsia="宋体"/>
                <w:color w:val="000000" w:themeColor="text1"/>
                <w:sz w:val="21"/>
                <w:szCs w:val="21"/>
                <w:lang w:eastAsia="zh-CN"/>
              </w:rPr>
            </w:pPr>
            <w:r>
              <w:rPr>
                <w:rFonts w:hint="eastAsia"/>
                <w:bCs/>
                <w:color w:val="000000" w:themeColor="text1"/>
                <w:sz w:val="21"/>
                <w:szCs w:val="21"/>
              </w:rPr>
              <w:t>项目厂界昼间噪声可达GB12348-2008《工业企业厂界环境噪声排放标准》2 类标准，即昼间</w:t>
            </w:r>
            <w:r>
              <w:rPr>
                <w:rFonts w:hint="eastAsia" w:ascii="宋体" w:hAnsi="宋体"/>
                <w:bCs/>
                <w:color w:val="000000" w:themeColor="text1"/>
                <w:sz w:val="21"/>
                <w:szCs w:val="21"/>
              </w:rPr>
              <w:t>≤</w:t>
            </w:r>
            <w:r>
              <w:rPr>
                <w:rFonts w:hint="eastAsia"/>
                <w:bCs/>
                <w:color w:val="000000" w:themeColor="text1"/>
                <w:sz w:val="21"/>
                <w:szCs w:val="21"/>
              </w:rPr>
              <w:t>60dB（A）</w:t>
            </w:r>
            <w:r>
              <w:rPr>
                <w:rFonts w:hint="eastAsia"/>
                <w:bCs/>
                <w:color w:val="000000" w:themeColor="text1"/>
                <w:sz w:val="21"/>
                <w:szCs w:val="21"/>
                <w:lang w:eastAsia="zh-CN"/>
              </w:rPr>
              <w:t>，夜</w:t>
            </w:r>
            <w:r>
              <w:rPr>
                <w:rFonts w:hint="eastAsia"/>
                <w:bCs/>
                <w:color w:val="000000" w:themeColor="text1"/>
                <w:sz w:val="21"/>
                <w:szCs w:val="21"/>
              </w:rPr>
              <w:t>间</w:t>
            </w:r>
            <w:r>
              <w:rPr>
                <w:rFonts w:hint="eastAsia" w:ascii="宋体" w:hAnsi="宋体"/>
                <w:bCs/>
                <w:color w:val="000000" w:themeColor="text1"/>
                <w:sz w:val="21"/>
                <w:szCs w:val="21"/>
              </w:rPr>
              <w:t>≤</w:t>
            </w:r>
            <w:r>
              <w:rPr>
                <w:rFonts w:hint="eastAsia"/>
                <w:bCs/>
                <w:color w:val="000000" w:themeColor="text1"/>
                <w:sz w:val="21"/>
                <w:szCs w:val="21"/>
                <w:lang w:val="en-US" w:eastAsia="zh-CN"/>
              </w:rPr>
              <w:t>5</w:t>
            </w:r>
            <w:r>
              <w:rPr>
                <w:rFonts w:hint="eastAsia"/>
                <w:bCs/>
                <w:color w:val="000000" w:themeColor="text1"/>
                <w:sz w:val="21"/>
                <w:szCs w:val="21"/>
              </w:rPr>
              <w:t>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5" w:type="dxa"/>
            <w:gridSpan w:val="2"/>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其他</w:t>
            </w:r>
          </w:p>
        </w:tc>
        <w:tc>
          <w:tcPr>
            <w:tcW w:w="8094" w:type="dxa"/>
            <w:gridSpan w:val="4"/>
            <w:vAlign w:val="center"/>
          </w:tcPr>
          <w:p>
            <w:pPr>
              <w:adjustRightInd w:val="0"/>
              <w:spacing w:line="240" w:lineRule="auto"/>
              <w:ind w:firstLine="0" w:firstLineChars="0"/>
              <w:jc w:val="center"/>
              <w:rPr>
                <w:bCs/>
                <w:color w:val="000000" w:themeColor="text1"/>
                <w:sz w:val="21"/>
                <w:szCs w:val="21"/>
              </w:rPr>
            </w:pPr>
            <w:r>
              <w:rPr>
                <w:rFonts w:hint="eastAsia"/>
                <w:bCs/>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879" w:type="dxa"/>
            <w:gridSpan w:val="6"/>
            <w:vAlign w:val="center"/>
          </w:tcPr>
          <w:p>
            <w:pPr>
              <w:adjustRightInd w:val="0"/>
              <w:snapToGrid w:val="0"/>
              <w:ind w:firstLine="0" w:firstLineChars="0"/>
              <w:rPr>
                <w:b/>
                <w:color w:val="000000" w:themeColor="text1"/>
              </w:rPr>
            </w:pPr>
            <w:r>
              <w:rPr>
                <w:rFonts w:hint="eastAsia"/>
                <w:b/>
                <w:color w:val="000000" w:themeColor="text1"/>
              </w:rPr>
              <w:t>生态保护措施及预期效果：</w:t>
            </w:r>
          </w:p>
          <w:p>
            <w:pPr>
              <w:snapToGrid w:val="0"/>
              <w:ind w:firstLine="480"/>
              <w:rPr>
                <w:color w:val="000000" w:themeColor="text1"/>
                <w:sz w:val="21"/>
                <w:szCs w:val="21"/>
              </w:rPr>
            </w:pPr>
            <w:r>
              <w:rPr>
                <w:color w:val="000000" w:themeColor="text1"/>
              </w:rPr>
              <w:t>项目</w:t>
            </w:r>
            <w:r>
              <w:rPr>
                <w:rFonts w:hint="eastAsia"/>
                <w:color w:val="000000" w:themeColor="text1"/>
              </w:rPr>
              <w:t>主要生态影响集中在施工期，根据现场调查，项目施工期主要主要进行厂房厂区截排水沟及雨水收集池进行建设，</w:t>
            </w:r>
            <w:r>
              <w:rPr>
                <w:rFonts w:hint="eastAsia" w:hAnsi="宋体"/>
                <w:color w:val="000000" w:themeColor="text1"/>
              </w:rPr>
              <w:t>施工</w:t>
            </w:r>
            <w:r>
              <w:rPr>
                <w:rFonts w:hint="eastAsia" w:ascii="宋体" w:cs="宋体" w:hAnsiTheme="minorHAnsi"/>
                <w:color w:val="000000" w:themeColor="text1"/>
                <w:kern w:val="0"/>
              </w:rPr>
              <w:t>工程量较小，施工时间短，在落实好工程施工区域围挡、建筑物遮盖等措施的前提下，</w:t>
            </w:r>
            <w:r>
              <w:rPr>
                <w:rFonts w:hint="eastAsia"/>
                <w:color w:val="000000" w:themeColor="text1"/>
              </w:rPr>
              <w:t>项目施工期对周围生态环境影响小。</w:t>
            </w:r>
            <w:r>
              <w:rPr>
                <w:rFonts w:hint="eastAsia"/>
                <w:color w:val="000000" w:themeColor="text1"/>
                <w:sz w:val="21"/>
                <w:szCs w:val="21"/>
              </w:rPr>
              <w:t xml:space="preserve"> </w:t>
            </w:r>
          </w:p>
          <w:p>
            <w:pPr>
              <w:adjustRightInd w:val="0"/>
              <w:spacing w:line="240" w:lineRule="auto"/>
              <w:ind w:firstLine="0" w:firstLineChars="0"/>
              <w:rPr>
                <w:color w:val="000000" w:themeColor="text1"/>
                <w:sz w:val="21"/>
                <w:szCs w:val="21"/>
              </w:rPr>
            </w:pPr>
          </w:p>
        </w:tc>
      </w:tr>
    </w:tbl>
    <w:p>
      <w:pPr>
        <w:ind w:firstLine="480"/>
        <w:rPr>
          <w:bCs/>
          <w:color w:val="000000" w:themeColor="text1"/>
          <w:szCs w:val="32"/>
        </w:rPr>
      </w:pPr>
      <w:bookmarkStart w:id="39" w:name="_Toc426044929"/>
      <w:r>
        <w:rPr>
          <w:bCs/>
          <w:color w:val="000000" w:themeColor="text1"/>
          <w:szCs w:val="32"/>
        </w:rPr>
        <w:br w:type="page"/>
      </w:r>
    </w:p>
    <w:p>
      <w:pPr>
        <w:pStyle w:val="4"/>
        <w:adjustRightInd w:val="0"/>
        <w:snapToGrid w:val="0"/>
        <w:spacing w:line="360" w:lineRule="auto"/>
        <w:ind w:firstLine="0" w:firstLineChars="0"/>
        <w:rPr>
          <w:bCs/>
          <w:color w:val="000000" w:themeColor="text1"/>
          <w:sz w:val="30"/>
          <w:szCs w:val="30"/>
        </w:rPr>
      </w:pPr>
      <w:bookmarkStart w:id="40" w:name="_Toc26813"/>
      <w:r>
        <w:rPr>
          <w:bCs/>
          <w:color w:val="000000" w:themeColor="text1"/>
          <w:sz w:val="30"/>
          <w:szCs w:val="30"/>
        </w:rPr>
        <w:t>表</w:t>
      </w:r>
      <w:r>
        <w:rPr>
          <w:rFonts w:hint="eastAsia"/>
          <w:bCs/>
          <w:color w:val="000000" w:themeColor="text1"/>
          <w:sz w:val="30"/>
          <w:szCs w:val="30"/>
        </w:rPr>
        <w:t>九、</w:t>
      </w:r>
      <w:r>
        <w:rPr>
          <w:bCs/>
          <w:color w:val="000000" w:themeColor="text1"/>
          <w:sz w:val="30"/>
          <w:szCs w:val="30"/>
        </w:rPr>
        <w:t>结论</w:t>
      </w:r>
      <w:r>
        <w:rPr>
          <w:rFonts w:hint="eastAsia"/>
          <w:bCs/>
          <w:color w:val="000000" w:themeColor="text1"/>
          <w:sz w:val="30"/>
          <w:szCs w:val="30"/>
        </w:rPr>
        <w:t>与</w:t>
      </w:r>
      <w:r>
        <w:rPr>
          <w:bCs/>
          <w:color w:val="000000" w:themeColor="text1"/>
          <w:sz w:val="30"/>
          <w:szCs w:val="30"/>
        </w:rPr>
        <w:t>建议</w:t>
      </w:r>
      <w:bookmarkEnd w:id="39"/>
      <w:bookmarkEnd w:id="40"/>
    </w:p>
    <w:tbl>
      <w:tblPr>
        <w:tblStyle w:val="22"/>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9" w:type="dxa"/>
          </w:tcPr>
          <w:p>
            <w:pPr>
              <w:adjustRightInd w:val="0"/>
              <w:snapToGrid w:val="0"/>
              <w:ind w:firstLine="482"/>
              <w:outlineLvl w:val="0"/>
              <w:rPr>
                <w:b/>
                <w:color w:val="000000" w:themeColor="text1"/>
                <w:kern w:val="0"/>
              </w:rPr>
            </w:pPr>
            <w:bookmarkStart w:id="41" w:name="_Toc425156279"/>
            <w:bookmarkStart w:id="42" w:name="_Toc426044930"/>
            <w:bookmarkStart w:id="43" w:name="_Toc8342"/>
            <w:r>
              <w:rPr>
                <w:b/>
                <w:color w:val="000000" w:themeColor="text1"/>
                <w:kern w:val="0"/>
              </w:rPr>
              <w:t>一、</w:t>
            </w:r>
            <w:bookmarkEnd w:id="41"/>
            <w:bookmarkEnd w:id="42"/>
            <w:r>
              <w:rPr>
                <w:rFonts w:hint="eastAsia"/>
                <w:b/>
                <w:color w:val="000000" w:themeColor="text1"/>
                <w:kern w:val="0"/>
              </w:rPr>
              <w:t>项目基本情况</w:t>
            </w:r>
            <w:bookmarkEnd w:id="43"/>
          </w:p>
          <w:p>
            <w:pPr>
              <w:ind w:firstLine="480"/>
              <w:rPr>
                <w:kern w:val="0"/>
              </w:rPr>
            </w:pPr>
            <w:r>
              <w:rPr>
                <w:rFonts w:hint="eastAsia"/>
                <w:color w:val="000000" w:themeColor="text1"/>
              </w:rPr>
              <w:t>“</w:t>
            </w:r>
            <w:r>
              <w:rPr>
                <w:rFonts w:hint="eastAsia"/>
              </w:rPr>
              <w:t>宜良县益林石材厂废料加工利用项目</w:t>
            </w:r>
            <w:r>
              <w:rPr>
                <w:rFonts w:hint="eastAsia"/>
                <w:color w:val="000000" w:themeColor="text1"/>
              </w:rPr>
              <w:t>”由宜良县益林石材厂投资建设。项目建设地址为</w:t>
            </w:r>
            <w:r>
              <w:rPr>
                <w:rFonts w:hint="eastAsia"/>
              </w:rPr>
              <w:t>云南省昆明市宜良县匡远镇瑞星村委会麦冲村</w:t>
            </w:r>
            <w:r>
              <w:rPr>
                <w:rFonts w:hint="eastAsia"/>
                <w:color w:val="000000" w:themeColor="text1"/>
              </w:rPr>
              <w:t>，项目拟建场址中心地理坐标为：</w:t>
            </w:r>
            <w:r>
              <w:rPr>
                <w:color w:val="000000" w:themeColor="text1"/>
                <w:lang w:val="en-GB" w:eastAsia="zh-TW"/>
              </w:rPr>
              <w:t>东经</w:t>
            </w:r>
            <w:r>
              <w:t>103°13′8.58″</w:t>
            </w:r>
            <w:r>
              <w:rPr>
                <w:color w:val="000000" w:themeColor="text1"/>
                <w:lang w:val="en-GB"/>
              </w:rPr>
              <w:t>，</w:t>
            </w:r>
            <w:r>
              <w:rPr>
                <w:color w:val="000000" w:themeColor="text1"/>
                <w:lang w:val="en-GB" w:eastAsia="zh-TW"/>
              </w:rPr>
              <w:t>北纬</w:t>
            </w:r>
            <w:r>
              <w:t xml:space="preserve"> 25°51′18.94″</w:t>
            </w:r>
            <w:r>
              <w:rPr>
                <w:rFonts w:hint="eastAsia"/>
                <w:color w:val="000000" w:themeColor="text1"/>
              </w:rPr>
              <w:t>。项目属新建，</w:t>
            </w:r>
            <w:r>
              <w:rPr>
                <w:rFonts w:hint="eastAsia"/>
              </w:rPr>
              <w:t>为解决建设单位石材加工项目产生的废石料，建设单位利用预留用地拟建本项目将石材加工项目产生的废石料作为原料</w:t>
            </w:r>
            <w:r>
              <w:rPr>
                <w:rFonts w:hint="eastAsia"/>
                <w:lang w:eastAsia="zh-CN"/>
              </w:rPr>
              <w:t>进行破碎生产细石料并</w:t>
            </w:r>
            <w:r>
              <w:rPr>
                <w:rFonts w:hint="eastAsia"/>
              </w:rPr>
              <w:t>售卖，年生产</w:t>
            </w:r>
            <w:r>
              <w:rPr>
                <w:rFonts w:hint="eastAsia"/>
                <w:lang w:eastAsia="zh-CN"/>
              </w:rPr>
              <w:t>细石料</w:t>
            </w:r>
            <w:r>
              <w:rPr>
                <w:rFonts w:hint="eastAsia"/>
              </w:rPr>
              <w:t>1800t。</w:t>
            </w:r>
            <w:r>
              <w:rPr>
                <w:rFonts w:hint="eastAsia"/>
                <w:kern w:val="0"/>
              </w:rPr>
              <w:t>本项目区内主要建设原料堆存间、破碎车间及成品堆存间，</w:t>
            </w:r>
            <w:r>
              <w:rPr>
                <w:kern w:val="0"/>
              </w:rPr>
              <w:t>计划于202</w:t>
            </w:r>
            <w:r>
              <w:rPr>
                <w:rFonts w:hint="eastAsia"/>
                <w:kern w:val="0"/>
              </w:rPr>
              <w:t>1</w:t>
            </w:r>
            <w:r>
              <w:rPr>
                <w:kern w:val="0"/>
              </w:rPr>
              <w:t>年</w:t>
            </w:r>
            <w:r>
              <w:rPr>
                <w:rFonts w:hint="eastAsia"/>
                <w:kern w:val="0"/>
              </w:rPr>
              <w:t>1</w:t>
            </w:r>
            <w:r>
              <w:rPr>
                <w:kern w:val="0"/>
              </w:rPr>
              <w:t>月</w:t>
            </w:r>
            <w:r>
              <w:rPr>
                <w:rFonts w:hint="eastAsia"/>
                <w:kern w:val="0"/>
              </w:rPr>
              <w:t>初</w:t>
            </w:r>
            <w:r>
              <w:rPr>
                <w:kern w:val="0"/>
              </w:rPr>
              <w:t>开工建设，</w:t>
            </w:r>
            <w:r>
              <w:rPr>
                <w:rFonts w:hint="eastAsia"/>
                <w:kern w:val="0"/>
              </w:rPr>
              <w:t>2021年5</w:t>
            </w:r>
            <w:r>
              <w:rPr>
                <w:kern w:val="0"/>
              </w:rPr>
              <w:t>月</w:t>
            </w:r>
            <w:r>
              <w:rPr>
                <w:rFonts w:hint="eastAsia"/>
                <w:kern w:val="0"/>
              </w:rPr>
              <w:t>末</w:t>
            </w:r>
            <w:r>
              <w:rPr>
                <w:kern w:val="0"/>
              </w:rPr>
              <w:t>竣工</w:t>
            </w:r>
            <w:r>
              <w:rPr>
                <w:rFonts w:hint="eastAsia"/>
              </w:rPr>
              <w:t>。</w:t>
            </w:r>
          </w:p>
          <w:p>
            <w:pPr>
              <w:snapToGrid w:val="0"/>
              <w:ind w:firstLine="480"/>
              <w:rPr>
                <w:color w:val="000000" w:themeColor="text1"/>
              </w:rPr>
            </w:pPr>
            <w:r>
              <w:rPr>
                <w:rFonts w:hint="eastAsia"/>
                <w:color w:val="000000" w:themeColor="text1"/>
              </w:rPr>
              <w:t>项目总投资为</w:t>
            </w:r>
            <w:r>
              <w:rPr>
                <w:rFonts w:hint="eastAsia"/>
                <w:color w:val="000000" w:themeColor="text1"/>
                <w:szCs w:val="28"/>
              </w:rPr>
              <w:t>30</w:t>
            </w:r>
            <w:r>
              <w:rPr>
                <w:rFonts w:hint="eastAsia" w:hAnsi="宋体"/>
                <w:color w:val="000000" w:themeColor="text1"/>
              </w:rPr>
              <w:t>万元</w:t>
            </w:r>
            <w:r>
              <w:rPr>
                <w:rFonts w:hint="eastAsia"/>
                <w:color w:val="000000" w:themeColor="text1"/>
                <w:kern w:val="0"/>
              </w:rPr>
              <w:t>，</w:t>
            </w:r>
            <w:r>
              <w:rPr>
                <w:szCs w:val="32"/>
              </w:rPr>
              <w:t>其中环保投资</w:t>
            </w:r>
            <w:r>
              <w:rPr>
                <w:rFonts w:hint="eastAsia"/>
                <w:szCs w:val="32"/>
                <w:lang w:val="en-US" w:eastAsia="zh-CN"/>
              </w:rPr>
              <w:t>11.535</w:t>
            </w:r>
            <w:r>
              <w:rPr>
                <w:szCs w:val="32"/>
              </w:rPr>
              <w:t>元，占总投资的</w:t>
            </w:r>
            <w:r>
              <w:rPr>
                <w:rFonts w:hint="eastAsia"/>
                <w:szCs w:val="32"/>
                <w:lang w:val="en-US" w:eastAsia="zh-CN"/>
              </w:rPr>
              <w:t>38.45</w:t>
            </w:r>
            <w:r>
              <w:rPr>
                <w:szCs w:val="32"/>
              </w:rPr>
              <w:t>%</w:t>
            </w:r>
            <w:r>
              <w:rPr>
                <w:rFonts w:hint="eastAsia"/>
                <w:color w:val="000000" w:themeColor="text1"/>
              </w:rPr>
              <w:t>。</w:t>
            </w:r>
          </w:p>
          <w:p>
            <w:pPr>
              <w:adjustRightInd w:val="0"/>
              <w:snapToGrid w:val="0"/>
              <w:ind w:firstLine="482"/>
              <w:outlineLvl w:val="0"/>
              <w:rPr>
                <w:b/>
                <w:color w:val="000000" w:themeColor="text1"/>
                <w:kern w:val="0"/>
              </w:rPr>
            </w:pPr>
            <w:bookmarkStart w:id="44" w:name="_Toc7673"/>
            <w:r>
              <w:rPr>
                <w:rFonts w:hint="eastAsia"/>
                <w:b/>
                <w:color w:val="000000" w:themeColor="text1"/>
                <w:kern w:val="0"/>
              </w:rPr>
              <w:t>二</w:t>
            </w:r>
            <w:r>
              <w:rPr>
                <w:b/>
                <w:color w:val="000000" w:themeColor="text1"/>
                <w:kern w:val="0"/>
              </w:rPr>
              <w:t>、</w:t>
            </w:r>
            <w:r>
              <w:rPr>
                <w:b/>
                <w:color w:val="000000" w:themeColor="text1"/>
              </w:rPr>
              <w:t>产业政策</w:t>
            </w:r>
            <w:r>
              <w:rPr>
                <w:rFonts w:hint="eastAsia"/>
                <w:b/>
                <w:color w:val="000000" w:themeColor="text1"/>
              </w:rPr>
              <w:t>符合性分析</w:t>
            </w:r>
            <w:bookmarkEnd w:id="44"/>
          </w:p>
          <w:p>
            <w:pPr>
              <w:snapToGrid w:val="0"/>
              <w:ind w:firstLine="480"/>
              <w:rPr>
                <w:color w:val="000000" w:themeColor="text1"/>
              </w:rPr>
            </w:pPr>
            <w:r>
              <w:rPr>
                <w:rFonts w:hint="eastAsia"/>
                <w:color w:val="000000" w:themeColor="text1"/>
              </w:rPr>
              <w:t>本项目为</w:t>
            </w:r>
            <w:r>
              <w:rPr>
                <w:rFonts w:hint="eastAsia"/>
                <w:color w:val="000000" w:themeColor="text1"/>
                <w:lang w:eastAsia="zh-CN"/>
              </w:rPr>
              <w:t>其他非金属矿物制品制造</w:t>
            </w:r>
            <w:r>
              <w:rPr>
                <w:rFonts w:hint="eastAsia"/>
                <w:color w:val="000000" w:themeColor="text1"/>
              </w:rPr>
              <w:t>项目，根据中华人民共和国国家发展和改革委员会令第29号</w:t>
            </w:r>
            <w:r>
              <w:rPr>
                <w:color w:val="000000" w:themeColor="text1"/>
              </w:rPr>
              <w:t>《</w:t>
            </w:r>
            <w:r>
              <w:rPr>
                <w:rFonts w:hint="eastAsia"/>
                <w:color w:val="000000" w:themeColor="text1"/>
                <w:kern w:val="0"/>
                <w:szCs w:val="20"/>
              </w:rPr>
              <w:t>产业结构调整指导目录（2019年本）</w:t>
            </w:r>
            <w:r>
              <w:rPr>
                <w:color w:val="000000" w:themeColor="text1"/>
              </w:rPr>
              <w:t>》</w:t>
            </w:r>
            <w:r>
              <w:rPr>
                <w:rFonts w:hint="eastAsia"/>
                <w:color w:val="000000" w:themeColor="text1"/>
              </w:rPr>
              <w:t>可知，本项目生产工艺、规模、设备均不属于其中的限制类和淘汰类项目，为允许类项目。此外，对照《部分工业行业淘汰落后生产工艺装备和产品指导目录（2010 年本）》，本项目未使用淘汰落后生产工艺设备。</w:t>
            </w:r>
          </w:p>
          <w:p>
            <w:pPr>
              <w:snapToGrid w:val="0"/>
              <w:ind w:firstLine="480"/>
              <w:rPr>
                <w:color w:val="000000" w:themeColor="text1"/>
              </w:rPr>
            </w:pPr>
            <w:r>
              <w:rPr>
                <w:rFonts w:hint="eastAsia"/>
                <w:color w:val="000000" w:themeColor="text1"/>
              </w:rPr>
              <w:t>综上所述，本项目建设符合国家及云南省产业政策要求。</w:t>
            </w:r>
          </w:p>
          <w:p>
            <w:pPr>
              <w:adjustRightInd w:val="0"/>
              <w:snapToGrid w:val="0"/>
              <w:ind w:firstLine="482"/>
              <w:outlineLvl w:val="0"/>
              <w:rPr>
                <w:b/>
                <w:color w:val="000000" w:themeColor="text1"/>
                <w:kern w:val="0"/>
              </w:rPr>
            </w:pPr>
            <w:bookmarkStart w:id="45" w:name="_Toc23737"/>
            <w:r>
              <w:rPr>
                <w:rFonts w:hint="eastAsia"/>
                <w:b/>
                <w:color w:val="000000" w:themeColor="text1"/>
                <w:kern w:val="0"/>
              </w:rPr>
              <w:t>三</w:t>
            </w:r>
            <w:r>
              <w:rPr>
                <w:b/>
                <w:color w:val="000000" w:themeColor="text1"/>
                <w:kern w:val="0"/>
              </w:rPr>
              <w:t>、</w:t>
            </w:r>
            <w:r>
              <w:rPr>
                <w:rFonts w:hint="eastAsia"/>
                <w:b/>
                <w:color w:val="000000" w:themeColor="text1"/>
              </w:rPr>
              <w:t>项目与相关规划符合性分析</w:t>
            </w:r>
            <w:bookmarkEnd w:id="45"/>
          </w:p>
          <w:p>
            <w:pPr>
              <w:snapToGrid w:val="0"/>
              <w:ind w:firstLine="480"/>
              <w:rPr>
                <w:color w:val="000000" w:themeColor="text1"/>
              </w:rPr>
            </w:pPr>
            <w:r>
              <w:rPr>
                <w:rFonts w:hint="eastAsia"/>
                <w:color w:val="000000" w:themeColor="text1"/>
              </w:rPr>
              <w:t>根据前文分析，项目建设符合《云南省主体功能区规划》、《云南省生态功能区划》、《大气污染防治行动计划》的要求。</w:t>
            </w:r>
          </w:p>
          <w:p>
            <w:pPr>
              <w:adjustRightInd w:val="0"/>
              <w:snapToGrid w:val="0"/>
              <w:ind w:firstLine="482"/>
              <w:outlineLvl w:val="0"/>
              <w:rPr>
                <w:b/>
                <w:color w:val="000000" w:themeColor="text1"/>
                <w:kern w:val="0"/>
              </w:rPr>
            </w:pPr>
            <w:bookmarkStart w:id="46" w:name="_Toc19123"/>
            <w:r>
              <w:rPr>
                <w:rFonts w:hint="eastAsia"/>
                <w:b/>
                <w:color w:val="000000" w:themeColor="text1"/>
                <w:kern w:val="0"/>
              </w:rPr>
              <w:t>四</w:t>
            </w:r>
            <w:r>
              <w:rPr>
                <w:b/>
                <w:color w:val="000000" w:themeColor="text1"/>
                <w:kern w:val="0"/>
              </w:rPr>
              <w:t>、</w:t>
            </w:r>
            <w:r>
              <w:rPr>
                <w:rFonts w:hint="eastAsia"/>
                <w:b/>
                <w:color w:val="000000" w:themeColor="text1"/>
              </w:rPr>
              <w:t>环境质量现状</w:t>
            </w:r>
            <w:bookmarkEnd w:id="46"/>
          </w:p>
          <w:p>
            <w:pPr>
              <w:snapToGrid w:val="0"/>
              <w:ind w:firstLine="482"/>
              <w:rPr>
                <w:b/>
                <w:color w:val="000000" w:themeColor="text1"/>
              </w:rPr>
            </w:pPr>
            <w:r>
              <w:rPr>
                <w:rFonts w:hint="eastAsia"/>
                <w:b/>
                <w:color w:val="000000" w:themeColor="text1"/>
              </w:rPr>
              <w:t>（1）大气环境质量现状</w:t>
            </w:r>
          </w:p>
          <w:p>
            <w:pPr>
              <w:snapToGrid w:val="0"/>
              <w:ind w:firstLine="480"/>
              <w:rPr>
                <w:color w:val="000000" w:themeColor="text1"/>
              </w:rPr>
            </w:pPr>
            <w:r>
              <w:rPr>
                <w:rFonts w:hint="eastAsia"/>
              </w:rPr>
              <w:t>根据昆明市生态环境局发布的《2019 年度昆明市生态环境状况公报》所述</w:t>
            </w:r>
            <w:r>
              <w:rPr>
                <w:rFonts w:hint="eastAsia"/>
                <w:bCs/>
                <w:color w:val="000000" w:themeColor="text1"/>
              </w:rPr>
              <w:t>，本项目所在区域</w:t>
            </w:r>
            <w:r>
              <w:rPr>
                <w:rFonts w:hint="eastAsia"/>
                <w:bCs/>
                <w:color w:val="000000" w:themeColor="text1"/>
                <w:lang w:eastAsia="zh-CN"/>
              </w:rPr>
              <w:t>宜良县</w:t>
            </w:r>
            <w:r>
              <w:rPr>
                <w:rFonts w:hint="eastAsia"/>
                <w:bCs/>
                <w:color w:val="000000" w:themeColor="text1"/>
              </w:rPr>
              <w:t>的6项基本污染物（SO</w:t>
            </w:r>
            <w:r>
              <w:rPr>
                <w:rFonts w:hint="eastAsia"/>
                <w:bCs/>
                <w:color w:val="000000" w:themeColor="text1"/>
                <w:vertAlign w:val="subscript"/>
              </w:rPr>
              <w:t>2</w:t>
            </w:r>
            <w:r>
              <w:rPr>
                <w:rFonts w:hint="eastAsia"/>
                <w:bCs/>
                <w:color w:val="000000" w:themeColor="text1"/>
              </w:rPr>
              <w:t>、NO</w:t>
            </w:r>
            <w:r>
              <w:rPr>
                <w:rFonts w:hint="eastAsia"/>
                <w:bCs/>
                <w:color w:val="000000" w:themeColor="text1"/>
                <w:vertAlign w:val="subscript"/>
              </w:rPr>
              <w:t>2</w:t>
            </w:r>
            <w:r>
              <w:rPr>
                <w:rFonts w:hint="eastAsia"/>
                <w:bCs/>
                <w:color w:val="000000" w:themeColor="text1"/>
              </w:rPr>
              <w:t>、CO、PM</w:t>
            </w:r>
            <w:r>
              <w:rPr>
                <w:rFonts w:hint="eastAsia"/>
                <w:bCs/>
                <w:color w:val="000000" w:themeColor="text1"/>
                <w:vertAlign w:val="subscript"/>
              </w:rPr>
              <w:t>2.5</w:t>
            </w:r>
            <w:r>
              <w:rPr>
                <w:rFonts w:hint="eastAsia"/>
                <w:bCs/>
                <w:color w:val="000000" w:themeColor="text1"/>
              </w:rPr>
              <w:t>、PM</w:t>
            </w:r>
            <w:r>
              <w:rPr>
                <w:rFonts w:hint="eastAsia"/>
                <w:bCs/>
                <w:color w:val="000000" w:themeColor="text1"/>
                <w:vertAlign w:val="subscript"/>
              </w:rPr>
              <w:t>10</w:t>
            </w:r>
            <w:r>
              <w:rPr>
                <w:rFonts w:hint="eastAsia"/>
                <w:bCs/>
                <w:color w:val="000000" w:themeColor="text1"/>
              </w:rPr>
              <w:t>及O</w:t>
            </w:r>
            <w:r>
              <w:rPr>
                <w:rFonts w:hint="eastAsia"/>
                <w:bCs/>
                <w:color w:val="000000" w:themeColor="text1"/>
                <w:vertAlign w:val="subscript"/>
              </w:rPr>
              <w:t>3</w:t>
            </w:r>
            <w:r>
              <w:rPr>
                <w:rFonts w:hint="eastAsia"/>
                <w:bCs/>
                <w:color w:val="000000" w:themeColor="text1"/>
              </w:rPr>
              <w:t>）年均值均满足</w:t>
            </w:r>
            <w:r>
              <w:rPr>
                <w:rFonts w:hint="eastAsia"/>
                <w:color w:val="000000" w:themeColor="text1"/>
              </w:rPr>
              <w:t>《环境空气质量标准》（GB3095-2012）二级标准。项目所在区域大气环境属于达标区域。</w:t>
            </w:r>
          </w:p>
          <w:p>
            <w:pPr>
              <w:snapToGrid w:val="0"/>
              <w:ind w:firstLine="482"/>
              <w:rPr>
                <w:b/>
                <w:color w:val="000000" w:themeColor="text1"/>
              </w:rPr>
            </w:pPr>
            <w:r>
              <w:rPr>
                <w:rFonts w:hint="eastAsia"/>
                <w:b/>
                <w:color w:val="000000" w:themeColor="text1"/>
              </w:rPr>
              <w:t>（2）地表水环境质量现状</w:t>
            </w:r>
          </w:p>
          <w:p>
            <w:pPr>
              <w:pStyle w:val="3"/>
              <w:ind w:firstLine="480"/>
              <w:rPr>
                <w:b/>
                <w:bCs/>
              </w:rPr>
            </w:pPr>
            <w:r>
              <w:rPr>
                <w:rFonts w:hint="eastAsia"/>
              </w:rPr>
              <w:t>根据昆明市生态环境局发布的《2019 年度昆明市生态环境状况公报》所述，</w:t>
            </w:r>
            <w:r>
              <w:rPr>
                <w:rFonts w:hint="eastAsia"/>
                <w:lang w:eastAsia="zh-CN"/>
              </w:rPr>
              <w:t>距离项目最近的南盘江</w:t>
            </w:r>
            <w:r>
              <w:rPr>
                <w:rFonts w:hint="eastAsia"/>
              </w:rPr>
              <w:t>柴石滩断面水质类别为</w:t>
            </w:r>
            <w:r>
              <w:rPr>
                <w:rFonts w:hint="eastAsia"/>
              </w:rPr>
              <w:fldChar w:fldCharType="begin"/>
            </w:r>
            <w:r>
              <w:rPr>
                <w:rFonts w:hint="eastAsia"/>
              </w:rPr>
              <w:instrText xml:space="preserve"> = 2 \* ROMAN \* MERGEFORMAT </w:instrText>
            </w:r>
            <w:r>
              <w:rPr>
                <w:rFonts w:hint="eastAsia"/>
              </w:rPr>
              <w:fldChar w:fldCharType="separate"/>
            </w:r>
            <w:r>
              <w:t>II</w:t>
            </w:r>
            <w:r>
              <w:rPr>
                <w:rFonts w:hint="eastAsia"/>
              </w:rPr>
              <w:fldChar w:fldCharType="end"/>
            </w:r>
            <w:r>
              <w:rPr>
                <w:rFonts w:hint="eastAsia"/>
              </w:rPr>
              <w:t>类，南盘</w:t>
            </w:r>
            <w:r>
              <w:t>江狗街断面水质为</w:t>
            </w:r>
            <w:r>
              <w:rPr>
                <w:color w:val="000000"/>
                <w:kern w:val="0"/>
              </w:rPr>
              <w:t>Ⅳ类，2个断面均达到水质阶段目标。</w:t>
            </w:r>
          </w:p>
          <w:p>
            <w:pPr>
              <w:snapToGrid w:val="0"/>
              <w:ind w:firstLine="482"/>
              <w:rPr>
                <w:b/>
                <w:color w:val="000000" w:themeColor="text1"/>
              </w:rPr>
            </w:pPr>
            <w:r>
              <w:rPr>
                <w:rFonts w:hint="eastAsia"/>
                <w:b/>
                <w:color w:val="000000" w:themeColor="text1"/>
              </w:rPr>
              <w:t>（3）声环境质量现状</w:t>
            </w:r>
          </w:p>
          <w:p>
            <w:pPr>
              <w:snapToGrid w:val="0"/>
              <w:ind w:firstLine="480"/>
              <w:rPr>
                <w:color w:val="000000" w:themeColor="text1"/>
              </w:rPr>
            </w:pPr>
            <w:r>
              <w:rPr>
                <w:rFonts w:hint="eastAsia"/>
                <w:color w:val="000000" w:themeColor="text1"/>
              </w:rPr>
              <w:t>项目区所在区域的声环境能达到《声环境质量标准》（GB3096-2008）</w:t>
            </w:r>
            <w:r>
              <w:rPr>
                <w:color w:val="000000" w:themeColor="text1"/>
              </w:rPr>
              <w:t>2</w:t>
            </w:r>
            <w:r>
              <w:rPr>
                <w:rFonts w:hint="eastAsia"/>
                <w:color w:val="000000" w:themeColor="text1"/>
              </w:rPr>
              <w:t>类标准。</w:t>
            </w:r>
          </w:p>
          <w:p>
            <w:pPr>
              <w:snapToGrid w:val="0"/>
              <w:ind w:firstLine="482"/>
              <w:rPr>
                <w:b/>
                <w:color w:val="000000" w:themeColor="text1"/>
              </w:rPr>
            </w:pPr>
            <w:r>
              <w:rPr>
                <w:rFonts w:hint="eastAsia"/>
                <w:b/>
                <w:color w:val="000000" w:themeColor="text1"/>
              </w:rPr>
              <w:t>（4）生态环境质量现状</w:t>
            </w:r>
          </w:p>
          <w:p>
            <w:pPr>
              <w:adjustRightInd w:val="0"/>
              <w:snapToGrid w:val="0"/>
              <w:ind w:firstLine="480"/>
              <w:rPr>
                <w:color w:val="000000" w:themeColor="text1"/>
              </w:rPr>
            </w:pPr>
            <w:r>
              <w:rPr>
                <w:rFonts w:hint="eastAsia"/>
                <w:color w:val="000000" w:themeColor="text1"/>
              </w:rPr>
              <w:t>项目</w:t>
            </w:r>
            <w:r>
              <w:rPr>
                <w:color w:val="000000" w:themeColor="text1"/>
              </w:rPr>
              <w:t>位于</w:t>
            </w:r>
            <w:r>
              <w:rPr>
                <w:rFonts w:hint="eastAsia"/>
              </w:rPr>
              <w:t>云南省昆明市宜良县匡远镇瑞星村委会麦冲村，</w:t>
            </w:r>
            <w:r>
              <w:rPr>
                <w:rFonts w:hint="eastAsia"/>
                <w:color w:val="000000" w:themeColor="text1"/>
              </w:rPr>
              <w:t>所在区域受人为活动影响较为明显，区内没有野生动物栖息生存场所，区内野生动物的种类和数量均不丰富，多为常见种</w:t>
            </w:r>
            <w:r>
              <w:rPr>
                <w:rFonts w:hint="eastAsia" w:hAnsi="宋体"/>
                <w:color w:val="000000" w:themeColor="text1"/>
                <w:lang w:val="zh-CN"/>
              </w:rPr>
              <w:t>。</w:t>
            </w:r>
            <w:r>
              <w:rPr>
                <w:rFonts w:hint="eastAsia" w:hAnsi="宋体"/>
                <w:color w:val="000000" w:themeColor="text1"/>
              </w:rPr>
              <w:t>评价区未见有国家和省级重点保护野生动物分布，也未发现有狭域特有种分布。</w:t>
            </w:r>
          </w:p>
          <w:p>
            <w:pPr>
              <w:adjustRightInd w:val="0"/>
              <w:snapToGrid w:val="0"/>
              <w:ind w:firstLine="482"/>
              <w:outlineLvl w:val="0"/>
              <w:rPr>
                <w:b/>
                <w:color w:val="000000" w:themeColor="text1"/>
                <w:kern w:val="0"/>
              </w:rPr>
            </w:pPr>
            <w:bookmarkStart w:id="47" w:name="_Toc21828"/>
            <w:r>
              <w:rPr>
                <w:rFonts w:hint="eastAsia"/>
                <w:b/>
                <w:color w:val="000000" w:themeColor="text1"/>
                <w:kern w:val="0"/>
              </w:rPr>
              <w:t>五</w:t>
            </w:r>
            <w:r>
              <w:rPr>
                <w:b/>
                <w:color w:val="000000" w:themeColor="text1"/>
                <w:kern w:val="0"/>
              </w:rPr>
              <w:t>、</w:t>
            </w:r>
            <w:r>
              <w:rPr>
                <w:b/>
                <w:color w:val="000000" w:themeColor="text1"/>
              </w:rPr>
              <w:t>环境影响分析结论</w:t>
            </w:r>
            <w:bookmarkEnd w:id="47"/>
          </w:p>
          <w:p>
            <w:pPr>
              <w:adjustRightInd w:val="0"/>
              <w:snapToGrid w:val="0"/>
              <w:ind w:firstLine="482"/>
              <w:rPr>
                <w:b/>
                <w:color w:val="000000" w:themeColor="text1"/>
              </w:rPr>
            </w:pPr>
            <w:r>
              <w:rPr>
                <w:rFonts w:hint="eastAsia"/>
                <w:b/>
                <w:color w:val="000000" w:themeColor="text1"/>
              </w:rPr>
              <w:t>（1）施工期环境影响分析结论</w:t>
            </w:r>
          </w:p>
          <w:p>
            <w:pPr>
              <w:pStyle w:val="3"/>
              <w:snapToGrid w:val="0"/>
              <w:ind w:firstLine="480"/>
              <w:rPr>
                <w:rFonts w:hAnsi="宋体"/>
                <w:color w:val="000000" w:themeColor="text1"/>
              </w:rPr>
            </w:pPr>
            <w:r>
              <w:rPr>
                <w:rFonts w:hint="eastAsia" w:hAnsi="宋体"/>
                <w:color w:val="000000" w:themeColor="text1"/>
              </w:rPr>
              <w:t>项目施工过程中产生的扬尘采取堆放原料覆盖、洒水降尘的方式减小排放；施工废水和施工人员清洗废水经沉淀池沉淀处理后用于厂区洒水降尘；噪声主要通过合理安排施工时间（夜间和午休时段不施工）的方式减小影响；开挖过程产生的土石方全部用于项目区回填，不外排；建筑垃圾经分类收集后，其中</w:t>
            </w:r>
            <w:r>
              <w:rPr>
                <w:rFonts w:hint="eastAsia"/>
                <w:bCs/>
                <w:color w:val="000000" w:themeColor="text1"/>
              </w:rPr>
              <w:t>可利用部分外售给废品收购站，</w:t>
            </w:r>
            <w:r>
              <w:rPr>
                <w:rFonts w:hint="eastAsia"/>
                <w:bCs/>
                <w:color w:val="000000" w:themeColor="text1"/>
                <w:szCs w:val="24"/>
              </w:rPr>
              <w:t>不可利用的</w:t>
            </w:r>
            <w:r>
              <w:rPr>
                <w:rFonts w:hint="eastAsia"/>
                <w:bCs/>
                <w:color w:val="000000" w:themeColor="text1"/>
              </w:rPr>
              <w:t>统一收集后清运至周边村庄指定的垃圾堆存点</w:t>
            </w:r>
            <w:r>
              <w:rPr>
                <w:rFonts w:hint="eastAsia"/>
                <w:bCs/>
                <w:color w:val="000000" w:themeColor="text1"/>
                <w:szCs w:val="24"/>
              </w:rPr>
              <w:t>，不外排</w:t>
            </w:r>
            <w:r>
              <w:rPr>
                <w:rFonts w:hint="eastAsia"/>
                <w:color w:val="000000" w:themeColor="text1"/>
              </w:rPr>
              <w:t>；</w:t>
            </w:r>
            <w:r>
              <w:rPr>
                <w:rFonts w:hint="eastAsia" w:hAnsi="宋体"/>
                <w:color w:val="000000" w:themeColor="text1"/>
              </w:rPr>
              <w:t>施工人员生活垃圾集中收集后，</w:t>
            </w:r>
            <w:r>
              <w:rPr>
                <w:rFonts w:hint="eastAsia"/>
                <w:bCs/>
                <w:color w:val="000000" w:themeColor="text1"/>
              </w:rPr>
              <w:t>与项目区员工产生的垃圾一起清运至周边村庄指定的垃圾堆存点</w:t>
            </w:r>
            <w:r>
              <w:rPr>
                <w:rFonts w:hint="eastAsia" w:hAnsi="宋体"/>
                <w:color w:val="000000" w:themeColor="text1"/>
              </w:rPr>
              <w:t>。</w:t>
            </w:r>
          </w:p>
          <w:p>
            <w:pPr>
              <w:adjustRightInd w:val="0"/>
              <w:snapToGrid w:val="0"/>
              <w:ind w:firstLine="480"/>
              <w:rPr>
                <w:color w:val="000000" w:themeColor="text1"/>
              </w:rPr>
            </w:pPr>
            <w:r>
              <w:rPr>
                <w:rFonts w:hint="eastAsia"/>
                <w:color w:val="000000" w:themeColor="text1"/>
              </w:rPr>
              <w:t>综上，项目施工过程中产生的污染物较小，经采取合理的防治措施后对周围环境影响小。</w:t>
            </w:r>
          </w:p>
          <w:p>
            <w:pPr>
              <w:adjustRightInd w:val="0"/>
              <w:snapToGrid w:val="0"/>
              <w:ind w:firstLine="482"/>
              <w:rPr>
                <w:b/>
                <w:color w:val="000000" w:themeColor="text1"/>
              </w:rPr>
            </w:pPr>
            <w:r>
              <w:rPr>
                <w:rFonts w:hint="eastAsia"/>
                <w:b/>
                <w:color w:val="000000" w:themeColor="text1"/>
              </w:rPr>
              <w:t>（2）运营期环境影响分析结论</w:t>
            </w:r>
          </w:p>
          <w:p>
            <w:pPr>
              <w:adjustRightInd w:val="0"/>
              <w:snapToGrid w:val="0"/>
              <w:ind w:firstLine="482"/>
              <w:rPr>
                <w:b/>
                <w:color w:val="000000" w:themeColor="text1"/>
              </w:rPr>
            </w:pPr>
            <w:r>
              <w:rPr>
                <w:rFonts w:hint="eastAsia"/>
                <w:b/>
                <w:color w:val="000000" w:themeColor="text1"/>
              </w:rPr>
              <w:t>①大气环境影响分析</w:t>
            </w:r>
          </w:p>
          <w:p>
            <w:pPr>
              <w:ind w:firstLine="480"/>
            </w:pPr>
            <w:r>
              <w:rPr>
                <w:rFonts w:hint="eastAsia"/>
                <w:color w:val="000000" w:themeColor="text1"/>
              </w:rPr>
              <w:t>项目区无组织排放的颗粒物最大落地浓度为0.00</w:t>
            </w:r>
            <w:r>
              <w:rPr>
                <w:rFonts w:hint="eastAsia"/>
                <w:color w:val="000000" w:themeColor="text1"/>
                <w:lang w:val="en-US" w:eastAsia="zh-CN"/>
              </w:rPr>
              <w:t>55</w:t>
            </w:r>
            <w:r>
              <w:rPr>
                <w:color w:val="000000" w:themeColor="text1"/>
              </w:rPr>
              <w:t>mg/m</w:t>
            </w:r>
            <w:r>
              <w:rPr>
                <w:color w:val="000000" w:themeColor="text1"/>
                <w:vertAlign w:val="superscript"/>
              </w:rPr>
              <w:t>3</w:t>
            </w:r>
            <w:r>
              <w:rPr>
                <w:rFonts w:hint="eastAsia"/>
                <w:color w:val="000000" w:themeColor="text1"/>
              </w:rPr>
              <w:t>，最大落地浓度出现在下风向23m处，其占标率为0.</w:t>
            </w:r>
            <w:r>
              <w:rPr>
                <w:rFonts w:hint="eastAsia"/>
                <w:color w:val="000000" w:themeColor="text1"/>
                <w:lang w:val="en-US" w:eastAsia="zh-CN"/>
              </w:rPr>
              <w:t>61</w:t>
            </w:r>
            <w:r>
              <w:rPr>
                <w:rFonts w:hint="eastAsia"/>
                <w:color w:val="000000" w:themeColor="text1"/>
              </w:rPr>
              <w:t>%。</w:t>
            </w:r>
            <w:r>
              <w:rPr>
                <w:rFonts w:hint="eastAsia" w:asciiTheme="minorEastAsia" w:hAnsiTheme="minorEastAsia" w:eastAsiaTheme="minorEastAsia" w:cstheme="minorEastAsia"/>
              </w:rPr>
              <w:t>最大落地浓度</w:t>
            </w:r>
            <w:r>
              <w:t>远小于《环境空气质量标准》（GB 3095-2012）表1值即TSP浓度限值900μg/m³</w:t>
            </w:r>
            <w:r>
              <w:rPr>
                <w:rFonts w:hint="eastAsia"/>
              </w:rPr>
              <w:t>。</w:t>
            </w:r>
            <w:r>
              <w:t>因此，本项目</w:t>
            </w:r>
            <w:r>
              <w:rPr>
                <w:rFonts w:hint="eastAsia"/>
              </w:rPr>
              <w:t>无</w:t>
            </w:r>
            <w:r>
              <w:t>组织排放的TSP对周围环境影响轻微。</w:t>
            </w:r>
            <w:r>
              <w:rPr>
                <w:rFonts w:hint="eastAsia"/>
                <w:color w:val="000000" w:themeColor="text1"/>
              </w:rPr>
              <w:t>项目区</w:t>
            </w:r>
            <w:r>
              <w:rPr>
                <w:rFonts w:hint="eastAsia"/>
              </w:rPr>
              <w:t>有组织</w:t>
            </w:r>
            <w:r>
              <w:t>排放的</w:t>
            </w:r>
            <w:r>
              <w:rPr>
                <w:rFonts w:hint="eastAsia"/>
              </w:rPr>
              <w:t>PM</w:t>
            </w:r>
            <w:r>
              <w:rPr>
                <w:rFonts w:hint="eastAsia"/>
                <w:vertAlign w:val="subscript"/>
              </w:rPr>
              <w:t>10</w:t>
            </w:r>
            <w:r>
              <w:rPr>
                <w:rFonts w:hint="eastAsia"/>
              </w:rPr>
              <w:t>最大占标率为0.0</w:t>
            </w:r>
            <w:r>
              <w:rPr>
                <w:rFonts w:hint="eastAsia"/>
                <w:lang w:val="en-US" w:eastAsia="zh-CN"/>
              </w:rPr>
              <w:t>1</w:t>
            </w:r>
            <w:r>
              <w:rPr>
                <w:rFonts w:hint="eastAsia"/>
              </w:rPr>
              <w:t>%，</w:t>
            </w:r>
            <w:r>
              <w:t>最大落地浓度为</w:t>
            </w:r>
            <w:r>
              <w:rPr>
                <w:rFonts w:hint="eastAsia"/>
              </w:rPr>
              <w:t>0.000</w:t>
            </w:r>
            <w:r>
              <w:rPr>
                <w:rFonts w:hint="eastAsia"/>
                <w:lang w:val="en-US" w:eastAsia="zh-CN"/>
              </w:rPr>
              <w:t>1</w:t>
            </w:r>
            <w:r>
              <w:t>ug/m</w:t>
            </w:r>
            <w:r>
              <w:rPr>
                <w:vertAlign w:val="superscript"/>
              </w:rPr>
              <w:t>3</w:t>
            </w:r>
            <w:r>
              <w:rPr>
                <w:rFonts w:hint="eastAsia" w:asciiTheme="minorEastAsia" w:hAnsiTheme="minorEastAsia" w:eastAsiaTheme="minorEastAsia" w:cstheme="minorEastAsia"/>
              </w:rPr>
              <w:t>，</w:t>
            </w:r>
            <w:r>
              <w:rPr>
                <w:rFonts w:hint="eastAsia"/>
                <w:color w:val="000000" w:themeColor="text1"/>
              </w:rPr>
              <w:t>出现在下风向15m处，</w:t>
            </w:r>
            <w:r>
              <w:rPr>
                <w:rFonts w:hint="eastAsia" w:asciiTheme="minorEastAsia" w:hAnsiTheme="minorEastAsia" w:eastAsiaTheme="minorEastAsia" w:cstheme="minorEastAsia"/>
              </w:rPr>
              <w:t>最大落地浓度</w:t>
            </w:r>
            <w:r>
              <w:t>远小于《环境空气质量标准》（GB 3095-2012）表1</w:t>
            </w:r>
            <w:r>
              <w:rPr>
                <w:rFonts w:hint="eastAsia"/>
              </w:rPr>
              <w:t>限</w:t>
            </w:r>
            <w:r>
              <w:t>值即</w:t>
            </w:r>
            <w:r>
              <w:rPr>
                <w:rFonts w:hint="eastAsia"/>
              </w:rPr>
              <w:t>PM</w:t>
            </w:r>
            <w:r>
              <w:rPr>
                <w:rFonts w:hint="eastAsia"/>
                <w:vertAlign w:val="subscript"/>
              </w:rPr>
              <w:t>10</w:t>
            </w:r>
            <w:r>
              <w:t>浓度限值</w:t>
            </w:r>
            <w:r>
              <w:rPr>
                <w:rFonts w:hint="eastAsia"/>
              </w:rPr>
              <w:t>450</w:t>
            </w:r>
            <w:r>
              <w:t>μg/m³</w:t>
            </w:r>
            <w:r>
              <w:rPr>
                <w:rFonts w:hint="eastAsia"/>
              </w:rPr>
              <w:t>。</w:t>
            </w:r>
            <w:r>
              <w:t>因此，</w:t>
            </w:r>
            <w:r>
              <w:rPr>
                <w:rFonts w:hint="eastAsia"/>
              </w:rPr>
              <w:t>排气筒有组织</w:t>
            </w:r>
            <w:r>
              <w:t>排放的</w:t>
            </w:r>
            <w:r>
              <w:rPr>
                <w:rFonts w:hint="eastAsia"/>
              </w:rPr>
              <w:t>PM</w:t>
            </w:r>
            <w:r>
              <w:rPr>
                <w:rFonts w:hint="eastAsia"/>
                <w:vertAlign w:val="subscript"/>
              </w:rPr>
              <w:t>10</w:t>
            </w:r>
            <w:r>
              <w:t>对周围环境影响轻微。</w:t>
            </w:r>
          </w:p>
          <w:p>
            <w:pPr>
              <w:pStyle w:val="41"/>
              <w:snapToGrid w:val="0"/>
              <w:spacing w:line="360" w:lineRule="auto"/>
              <w:ind w:firstLine="480"/>
              <w:jc w:val="both"/>
              <w:rPr>
                <w:color w:val="000000" w:themeColor="text1"/>
                <w:sz w:val="24"/>
              </w:rPr>
            </w:pPr>
            <w:r>
              <w:rPr>
                <w:rFonts w:hint="eastAsia" w:cs="Times New Roman"/>
                <w:color w:val="000000" w:themeColor="text1"/>
                <w:sz w:val="24"/>
                <w:szCs w:val="24"/>
              </w:rPr>
              <w:t>项目区经洒水降尘后，可有效减少粉尘产生；厨房油烟经</w:t>
            </w:r>
            <w:r>
              <w:rPr>
                <w:rFonts w:hint="eastAsia"/>
                <w:color w:val="000000" w:themeColor="text1"/>
                <w:sz w:val="24"/>
              </w:rPr>
              <w:t>抽油烟机抽吸后通过烟囱外排，最终通过大气稀释扩散，对周围环境影响小；车辆尾气产生量较少，通过大气稀释扩散后对周围环境影响小。</w:t>
            </w:r>
          </w:p>
          <w:p>
            <w:pPr>
              <w:pStyle w:val="41"/>
              <w:snapToGrid w:val="0"/>
              <w:spacing w:line="360" w:lineRule="auto"/>
              <w:ind w:firstLine="480"/>
              <w:jc w:val="both"/>
              <w:rPr>
                <w:color w:val="000000" w:themeColor="text1"/>
                <w:sz w:val="24"/>
              </w:rPr>
            </w:pPr>
            <w:r>
              <w:rPr>
                <w:rFonts w:hint="eastAsia"/>
                <w:color w:val="000000" w:themeColor="text1"/>
                <w:sz w:val="24"/>
              </w:rPr>
              <w:t>综上，本项目运营期在采取环评提出的各项措施后，对大气环境影响是可以接受的。</w:t>
            </w:r>
          </w:p>
          <w:p>
            <w:pPr>
              <w:adjustRightInd w:val="0"/>
              <w:snapToGrid w:val="0"/>
              <w:ind w:firstLine="482"/>
              <w:rPr>
                <w:b/>
                <w:color w:val="000000" w:themeColor="text1"/>
              </w:rPr>
            </w:pPr>
            <w:r>
              <w:rPr>
                <w:rFonts w:hint="eastAsia"/>
                <w:b/>
                <w:color w:val="000000" w:themeColor="text1"/>
              </w:rPr>
              <w:t>②地表水环境影响分析</w:t>
            </w:r>
          </w:p>
          <w:p>
            <w:pPr>
              <w:snapToGrid w:val="0"/>
              <w:ind w:firstLine="480"/>
              <w:rPr>
                <w:color w:val="000000" w:themeColor="text1"/>
              </w:rPr>
            </w:pPr>
            <w:r>
              <w:rPr>
                <w:rFonts w:hint="eastAsia"/>
                <w:color w:val="000000" w:themeColor="text1"/>
              </w:rPr>
              <w:t>项目无生产废水产生，员工依托石材厂，不新增人员，无生活污水产生。初期雨水经雨水收集池收集后，回用原有石材加工项目，其余清净雨水经雨水沟流出场外。</w:t>
            </w:r>
          </w:p>
          <w:p>
            <w:pPr>
              <w:adjustRightInd w:val="0"/>
              <w:snapToGrid w:val="0"/>
              <w:ind w:firstLine="480"/>
              <w:rPr>
                <w:color w:val="000000" w:themeColor="text1"/>
              </w:rPr>
            </w:pPr>
            <w:r>
              <w:rPr>
                <w:rFonts w:hint="eastAsia"/>
                <w:color w:val="000000" w:themeColor="text1"/>
              </w:rPr>
              <w:t>综上，项目产生的污废水均不外排，对周围地表水环境影响小。</w:t>
            </w:r>
          </w:p>
          <w:p>
            <w:pPr>
              <w:adjustRightInd w:val="0"/>
              <w:snapToGrid w:val="0"/>
              <w:ind w:firstLine="482"/>
              <w:rPr>
                <w:b/>
                <w:color w:val="000000" w:themeColor="text1"/>
              </w:rPr>
            </w:pPr>
            <w:r>
              <w:rPr>
                <w:rFonts w:hint="eastAsia" w:ascii="宋体" w:hAnsi="宋体" w:cs="宋体"/>
                <w:b/>
                <w:color w:val="000000" w:themeColor="text1"/>
              </w:rPr>
              <w:t>③</w:t>
            </w:r>
            <w:r>
              <w:rPr>
                <w:rFonts w:hint="eastAsia"/>
                <w:b/>
                <w:color w:val="000000" w:themeColor="text1"/>
              </w:rPr>
              <w:t>声环境影响分析</w:t>
            </w:r>
          </w:p>
          <w:p>
            <w:pPr>
              <w:adjustRightInd w:val="0"/>
              <w:snapToGrid w:val="0"/>
              <w:ind w:firstLine="480"/>
              <w:rPr>
                <w:color w:val="000000" w:themeColor="text1"/>
              </w:rPr>
            </w:pPr>
            <w:r>
              <w:rPr>
                <w:rFonts w:hint="eastAsia"/>
                <w:color w:val="000000" w:themeColor="text1"/>
              </w:rPr>
              <w:t>项目运营期产生的噪声在通过合理布局主要产噪设备的位置、采取安装减震垫片的措施，经过车间墙体隔声、距离衰减后，昼间厂界噪声贡献值35.77</w:t>
            </w:r>
            <w:r>
              <w:rPr>
                <w:color w:val="000000" w:themeColor="text1"/>
              </w:rPr>
              <w:t>~</w:t>
            </w:r>
            <w:r>
              <w:rPr>
                <w:rFonts w:hint="eastAsia"/>
                <w:color w:val="000000" w:themeColor="text1"/>
              </w:rPr>
              <w:t>54.75dB(A)之间，项目仅昼间生产夜间不生产，项目厂界噪声昼间能达到《工业企业厂界环境噪声排放标准》（GB12348-2008）2类区标准，即昼间≤60dB(A) ，对周围环境影响小。</w:t>
            </w:r>
          </w:p>
          <w:p>
            <w:pPr>
              <w:adjustRightInd w:val="0"/>
              <w:snapToGrid w:val="0"/>
              <w:ind w:firstLine="480"/>
              <w:rPr>
                <w:color w:val="000000" w:themeColor="text1"/>
              </w:rPr>
            </w:pPr>
            <w:r>
              <w:rPr>
                <w:rFonts w:hint="eastAsia"/>
                <w:color w:val="000000" w:themeColor="text1"/>
              </w:rPr>
              <w:t>此外，项目周边最近的敏感点为西北侧的麦冲村，距离项目区275m，结合预测结果可知，噪声经距离衰减后，对居民点的影响可忽略。</w:t>
            </w:r>
          </w:p>
          <w:p>
            <w:pPr>
              <w:adjustRightInd w:val="0"/>
              <w:snapToGrid w:val="0"/>
              <w:ind w:firstLine="482"/>
              <w:rPr>
                <w:b/>
                <w:color w:val="000000" w:themeColor="text1"/>
              </w:rPr>
            </w:pPr>
            <w:r>
              <w:rPr>
                <w:rFonts w:hint="eastAsia"/>
                <w:b/>
                <w:color w:val="000000" w:themeColor="text1"/>
              </w:rPr>
              <w:t>④固体废物影响分析</w:t>
            </w:r>
          </w:p>
          <w:p>
            <w:pPr>
              <w:numPr>
                <w:ilvl w:val="0"/>
                <w:numId w:val="0"/>
              </w:numPr>
              <w:snapToGrid w:val="0"/>
              <w:spacing w:line="360" w:lineRule="auto"/>
              <w:ind w:firstLine="480" w:firstLineChars="200"/>
              <w:rPr>
                <w:color w:val="000000" w:themeColor="text1"/>
                <w:sz w:val="24"/>
              </w:rPr>
            </w:pPr>
            <w:r>
              <w:rPr>
                <w:rFonts w:hint="eastAsia"/>
                <w:color w:val="000000" w:themeColor="text1"/>
                <w:sz w:val="24"/>
              </w:rPr>
              <w:t>项目生产过程中产生的</w:t>
            </w:r>
            <w:r>
              <w:rPr>
                <w:rFonts w:hint="eastAsia"/>
                <w:color w:val="auto"/>
                <w:sz w:val="24"/>
              </w:rPr>
              <w:t>除尘器收集的粉尘</w:t>
            </w:r>
            <w:r>
              <w:rPr>
                <w:rFonts w:hint="eastAsia"/>
                <w:color w:val="auto"/>
                <w:sz w:val="24"/>
                <w:lang w:eastAsia="zh-CN"/>
              </w:rPr>
              <w:t>经</w:t>
            </w:r>
            <w:r>
              <w:rPr>
                <w:rFonts w:hint="eastAsia"/>
                <w:color w:val="000000" w:themeColor="text1"/>
                <w:sz w:val="24"/>
                <w:lang w:eastAsia="zh-CN"/>
              </w:rPr>
              <w:t>收集后同成品一起售卖</w:t>
            </w:r>
            <w:r>
              <w:rPr>
                <w:rFonts w:hint="eastAsia"/>
                <w:color w:val="000000" w:themeColor="text1"/>
                <w:sz w:val="24"/>
              </w:rPr>
              <w:t>，不外排；项目食堂废水隔油池浮油委托有资质的单位进行处理；食堂泔水经</w:t>
            </w:r>
            <w:r>
              <w:rPr>
                <w:rFonts w:hint="eastAsia"/>
                <w:color w:val="000000" w:themeColor="text1"/>
                <w:sz w:val="24"/>
                <w:lang w:val="en-US" w:eastAsia="zh-CN"/>
              </w:rPr>
              <w:t>2</w:t>
            </w:r>
            <w:r>
              <w:rPr>
                <w:rFonts w:hint="eastAsia"/>
                <w:color w:val="000000" w:themeColor="text1"/>
                <w:sz w:val="24"/>
              </w:rPr>
              <w:t>个容积为50L的泔水桶收集后，</w:t>
            </w:r>
            <w:r>
              <w:rPr>
                <w:rFonts w:hint="eastAsia"/>
                <w:color w:val="000000" w:themeColor="text1"/>
                <w:sz w:val="24"/>
                <w:lang w:eastAsia="zh-CN"/>
              </w:rPr>
              <w:t>由周围农户定期清运作为饲料</w:t>
            </w:r>
            <w:r>
              <w:rPr>
                <w:rFonts w:hint="eastAsia"/>
                <w:color w:val="000000" w:themeColor="text1"/>
                <w:sz w:val="24"/>
              </w:rPr>
              <w:t>；员工生活垃圾经厂区内的垃圾桶收集后，定期清运至周边村庄指定的垃圾堆存点；</w:t>
            </w:r>
            <w:r>
              <w:rPr>
                <w:color w:val="000000" w:themeColor="text1"/>
                <w:sz w:val="24"/>
              </w:rPr>
              <w:t>项目生产过程中</w:t>
            </w:r>
            <w:r>
              <w:rPr>
                <w:rFonts w:hint="eastAsia"/>
                <w:color w:val="000000" w:themeColor="text1"/>
                <w:sz w:val="24"/>
              </w:rPr>
              <w:t>养护维修机械设备时</w:t>
            </w:r>
            <w:r>
              <w:rPr>
                <w:color w:val="000000" w:themeColor="text1"/>
                <w:sz w:val="24"/>
              </w:rPr>
              <w:t>产生</w:t>
            </w:r>
            <w:r>
              <w:rPr>
                <w:rFonts w:hint="eastAsia"/>
                <w:color w:val="000000" w:themeColor="text1"/>
                <w:sz w:val="24"/>
              </w:rPr>
              <w:t>的</w:t>
            </w:r>
            <w:r>
              <w:rPr>
                <w:color w:val="000000" w:themeColor="text1"/>
                <w:sz w:val="24"/>
              </w:rPr>
              <w:t>废机油</w:t>
            </w:r>
            <w:r>
              <w:rPr>
                <w:rFonts w:hint="eastAsia"/>
                <w:color w:val="000000" w:themeColor="text1"/>
                <w:sz w:val="24"/>
              </w:rPr>
              <w:t>经</w:t>
            </w:r>
            <w:r>
              <w:rPr>
                <w:rFonts w:hint="eastAsia"/>
                <w:color w:val="000000" w:themeColor="text1"/>
                <w:sz w:val="24"/>
                <w:lang w:val="en-US" w:eastAsia="zh-CN"/>
              </w:rPr>
              <w:t>2</w:t>
            </w:r>
            <w:r>
              <w:rPr>
                <w:rFonts w:hint="eastAsia"/>
                <w:color w:val="000000" w:themeColor="text1"/>
                <w:sz w:val="24"/>
              </w:rPr>
              <w:t>个容积为50L的废机油桶</w:t>
            </w:r>
            <w:r>
              <w:rPr>
                <w:color w:val="000000" w:themeColor="text1"/>
                <w:sz w:val="24"/>
              </w:rPr>
              <w:t>收集后</w:t>
            </w:r>
            <w:r>
              <w:rPr>
                <w:rFonts w:hint="eastAsia"/>
                <w:color w:val="000000" w:themeColor="text1"/>
                <w:sz w:val="24"/>
              </w:rPr>
              <w:t>，暂存于</w:t>
            </w:r>
            <w:r>
              <w:rPr>
                <w:rFonts w:hint="eastAsia"/>
                <w:color w:val="000000" w:themeColor="text1"/>
                <w:sz w:val="24"/>
                <w:lang w:eastAsia="zh-CN"/>
              </w:rPr>
              <w:t>新建</w:t>
            </w:r>
            <w:r>
              <w:rPr>
                <w:rFonts w:hint="eastAsia"/>
                <w:color w:val="000000" w:themeColor="text1"/>
                <w:sz w:val="24"/>
              </w:rPr>
              <w:t>的危废暂存间，并委托有资质单位清运处置；设备养护维修过程中会产生含油手套、含油纱布等废物，可与生活垃圾一起进行处理。</w:t>
            </w:r>
          </w:p>
          <w:p>
            <w:pPr>
              <w:snapToGrid w:val="0"/>
              <w:ind w:firstLine="480"/>
              <w:rPr>
                <w:color w:val="000000" w:themeColor="text1"/>
              </w:rPr>
            </w:pPr>
            <w:r>
              <w:rPr>
                <w:rFonts w:hint="eastAsia"/>
                <w:color w:val="000000" w:themeColor="text1"/>
              </w:rPr>
              <w:t>综上，项目产生的固废均可得到妥善的处置，处置方式合理，对环境影响较小。</w:t>
            </w:r>
          </w:p>
          <w:p>
            <w:pPr>
              <w:adjustRightInd w:val="0"/>
              <w:snapToGrid w:val="0"/>
              <w:ind w:firstLine="482"/>
              <w:outlineLvl w:val="0"/>
              <w:rPr>
                <w:b/>
                <w:color w:val="000000" w:themeColor="text1"/>
                <w:kern w:val="0"/>
              </w:rPr>
            </w:pPr>
            <w:bookmarkStart w:id="48" w:name="_Toc32389"/>
            <w:r>
              <w:rPr>
                <w:rFonts w:hint="eastAsia"/>
                <w:b/>
                <w:color w:val="000000" w:themeColor="text1"/>
                <w:kern w:val="0"/>
              </w:rPr>
              <w:t>六</w:t>
            </w:r>
            <w:r>
              <w:rPr>
                <w:b/>
                <w:color w:val="000000" w:themeColor="text1"/>
                <w:kern w:val="0"/>
              </w:rPr>
              <w:t>、</w:t>
            </w:r>
            <w:r>
              <w:rPr>
                <w:rFonts w:hint="eastAsia"/>
                <w:b/>
                <w:color w:val="000000" w:themeColor="text1"/>
              </w:rPr>
              <w:t>评价总结论</w:t>
            </w:r>
            <w:bookmarkEnd w:id="48"/>
          </w:p>
          <w:p>
            <w:pPr>
              <w:adjustRightInd w:val="0"/>
              <w:snapToGrid w:val="0"/>
              <w:ind w:firstLine="480"/>
              <w:rPr>
                <w:color w:val="000000" w:themeColor="text1"/>
              </w:rPr>
            </w:pPr>
            <w:r>
              <w:rPr>
                <w:rFonts w:hint="eastAsia"/>
                <w:color w:val="000000" w:themeColor="text1"/>
              </w:rPr>
              <w:t>“</w:t>
            </w:r>
            <w:r>
              <w:rPr>
                <w:rFonts w:hint="eastAsia"/>
              </w:rPr>
              <w:t>宜良县益林石材厂废料加工利用项目</w:t>
            </w:r>
            <w:r>
              <w:rPr>
                <w:rFonts w:hint="eastAsia"/>
                <w:color w:val="000000" w:themeColor="text1"/>
              </w:rPr>
              <w:t>”的建设符合国家及地方产业政策，符合相关规划要求，选址合理可行。通过对项目所在地区的环境现状以及项目产生的环境影响进行分析，项目产生的环境影响包括废气、噪声、废水、固体废物等，在采取环评提出的防治措施后，噪声和废气均能达标排放，废水经处理后能够全部回用，固体废物均能妥善处置，处置率达100%。在认真执行本次环评提出的污染防治措施后，项目产生的污染物对环境的影响较小，不会改变当地环境功能。从环境保护的角度分析，该项目的建设是可行的。</w:t>
            </w:r>
          </w:p>
          <w:p>
            <w:pPr>
              <w:adjustRightInd w:val="0"/>
              <w:snapToGrid w:val="0"/>
              <w:ind w:firstLine="482"/>
              <w:outlineLvl w:val="0"/>
              <w:rPr>
                <w:b/>
                <w:color w:val="000000" w:themeColor="text1"/>
                <w:kern w:val="0"/>
              </w:rPr>
            </w:pPr>
            <w:bookmarkStart w:id="49" w:name="_Toc5272"/>
            <w:r>
              <w:rPr>
                <w:rFonts w:hint="eastAsia"/>
                <w:b/>
                <w:color w:val="000000" w:themeColor="text1"/>
                <w:kern w:val="0"/>
              </w:rPr>
              <w:t>七</w:t>
            </w:r>
            <w:r>
              <w:rPr>
                <w:b/>
                <w:color w:val="000000" w:themeColor="text1"/>
                <w:kern w:val="0"/>
              </w:rPr>
              <w:t>、</w:t>
            </w:r>
            <w:r>
              <w:rPr>
                <w:rFonts w:hint="eastAsia"/>
                <w:b/>
                <w:color w:val="000000" w:themeColor="text1"/>
              </w:rPr>
              <w:t>污染防治措施汇总</w:t>
            </w:r>
            <w:bookmarkEnd w:id="49"/>
          </w:p>
          <w:p>
            <w:pPr>
              <w:adjustRightInd w:val="0"/>
              <w:snapToGrid w:val="0"/>
              <w:ind w:firstLine="480"/>
              <w:rPr>
                <w:color w:val="000000" w:themeColor="text1"/>
              </w:rPr>
            </w:pPr>
            <w:r>
              <w:rPr>
                <w:rFonts w:hint="eastAsia"/>
                <w:color w:val="000000" w:themeColor="text1"/>
              </w:rPr>
              <w:t>项目施工期及运营期污染防治措施汇总见表9-1。</w:t>
            </w:r>
          </w:p>
          <w:p>
            <w:pPr>
              <w:adjustRightInd w:val="0"/>
              <w:snapToGrid w:val="0"/>
              <w:ind w:firstLine="482"/>
              <w:jc w:val="center"/>
              <w:rPr>
                <w:b/>
                <w:color w:val="000000" w:themeColor="text1"/>
                <w:szCs w:val="21"/>
              </w:rPr>
            </w:pPr>
            <w:r>
              <w:rPr>
                <w:rFonts w:hint="eastAsia"/>
                <w:b/>
                <w:color w:val="000000" w:themeColor="text1"/>
                <w:szCs w:val="21"/>
              </w:rPr>
              <w:t>表9-1  项目污染防治措施汇总一览表</w:t>
            </w:r>
          </w:p>
          <w:tbl>
            <w:tblPr>
              <w:tblStyle w:val="23"/>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34"/>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djustRightInd w:val="0"/>
                    <w:spacing w:line="240" w:lineRule="auto"/>
                    <w:ind w:firstLine="0" w:firstLineChars="0"/>
                    <w:jc w:val="center"/>
                    <w:rPr>
                      <w:b/>
                      <w:color w:val="000000" w:themeColor="text1"/>
                      <w:sz w:val="21"/>
                      <w:szCs w:val="21"/>
                    </w:rPr>
                  </w:pPr>
                  <w:r>
                    <w:rPr>
                      <w:rFonts w:hint="eastAsia"/>
                      <w:b/>
                      <w:color w:val="000000" w:themeColor="text1"/>
                      <w:sz w:val="21"/>
                      <w:szCs w:val="21"/>
                    </w:rPr>
                    <w:t>时期</w:t>
                  </w:r>
                </w:p>
              </w:tc>
              <w:tc>
                <w:tcPr>
                  <w:tcW w:w="1134" w:type="dxa"/>
                </w:tcPr>
                <w:p>
                  <w:pPr>
                    <w:adjustRightInd w:val="0"/>
                    <w:spacing w:line="240" w:lineRule="auto"/>
                    <w:ind w:firstLine="0" w:firstLineChars="0"/>
                    <w:jc w:val="center"/>
                    <w:rPr>
                      <w:b/>
                      <w:color w:val="000000" w:themeColor="text1"/>
                      <w:sz w:val="21"/>
                      <w:szCs w:val="21"/>
                    </w:rPr>
                  </w:pPr>
                  <w:r>
                    <w:rPr>
                      <w:rFonts w:hint="eastAsia"/>
                      <w:b/>
                      <w:color w:val="000000" w:themeColor="text1"/>
                      <w:sz w:val="21"/>
                      <w:szCs w:val="21"/>
                    </w:rPr>
                    <w:t>项目</w:t>
                  </w:r>
                </w:p>
              </w:tc>
              <w:tc>
                <w:tcPr>
                  <w:tcW w:w="6631" w:type="dxa"/>
                </w:tcPr>
                <w:p>
                  <w:pPr>
                    <w:adjustRightInd w:val="0"/>
                    <w:spacing w:line="240" w:lineRule="auto"/>
                    <w:ind w:firstLine="0" w:firstLineChars="0"/>
                    <w:jc w:val="center"/>
                    <w:rPr>
                      <w:b/>
                      <w:color w:val="000000" w:themeColor="text1"/>
                      <w:sz w:val="21"/>
                      <w:szCs w:val="21"/>
                    </w:rPr>
                  </w:pPr>
                  <w:r>
                    <w:rPr>
                      <w:rFonts w:hint="eastAsia"/>
                      <w:b/>
                      <w:color w:val="000000" w:themeColor="text1"/>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restart"/>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施工期</w:t>
                  </w:r>
                </w:p>
              </w:tc>
              <w:tc>
                <w:tcPr>
                  <w:tcW w:w="1134"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废气</w:t>
                  </w:r>
                </w:p>
              </w:tc>
              <w:tc>
                <w:tcPr>
                  <w:tcW w:w="6631" w:type="dxa"/>
                </w:tcPr>
                <w:p>
                  <w:pPr>
                    <w:adjustRightInd w:val="0"/>
                    <w:spacing w:line="240" w:lineRule="auto"/>
                    <w:ind w:firstLine="0" w:firstLineChars="0"/>
                    <w:rPr>
                      <w:rFonts w:eastAsiaTheme="minorEastAsia"/>
                      <w:color w:val="000000" w:themeColor="text1"/>
                      <w:kern w:val="0"/>
                      <w:sz w:val="21"/>
                      <w:szCs w:val="21"/>
                    </w:rPr>
                  </w:pPr>
                  <w:r>
                    <w:rPr>
                      <w:color w:val="000000" w:themeColor="text1"/>
                      <w:kern w:val="0"/>
                      <w:sz w:val="21"/>
                      <w:szCs w:val="21"/>
                    </w:rPr>
                    <w:t>1、</w:t>
                  </w:r>
                  <w:r>
                    <w:rPr>
                      <w:rFonts w:hint="eastAsia" w:eastAsiaTheme="minorEastAsia"/>
                      <w:color w:val="000000" w:themeColor="text1"/>
                      <w:kern w:val="0"/>
                      <w:sz w:val="21"/>
                      <w:szCs w:val="21"/>
                    </w:rPr>
                    <w:t>施工现场内的建筑材料、临时堆土、施工垃圾必须进行遮盖围挡，必要时应加盖工棚</w:t>
                  </w:r>
                  <w:r>
                    <w:rPr>
                      <w:rFonts w:eastAsiaTheme="minorEastAsia"/>
                      <w:color w:val="000000" w:themeColor="text1"/>
                      <w:kern w:val="0"/>
                      <w:sz w:val="21"/>
                      <w:szCs w:val="21"/>
                    </w:rPr>
                    <w:t>；</w:t>
                  </w:r>
                </w:p>
                <w:p>
                  <w:pPr>
                    <w:adjustRightInd w:val="0"/>
                    <w:spacing w:line="240" w:lineRule="auto"/>
                    <w:ind w:firstLine="0" w:firstLineChars="0"/>
                    <w:rPr>
                      <w:rFonts w:eastAsiaTheme="minorEastAsia"/>
                      <w:color w:val="000000" w:themeColor="text1"/>
                      <w:kern w:val="0"/>
                      <w:sz w:val="21"/>
                      <w:szCs w:val="21"/>
                    </w:rPr>
                  </w:pPr>
                  <w:r>
                    <w:rPr>
                      <w:color w:val="000000" w:themeColor="text1"/>
                      <w:kern w:val="0"/>
                      <w:sz w:val="21"/>
                      <w:szCs w:val="21"/>
                    </w:rPr>
                    <w:t>2、</w:t>
                  </w:r>
                  <w:r>
                    <w:rPr>
                      <w:rFonts w:eastAsiaTheme="minorEastAsia"/>
                      <w:color w:val="000000" w:themeColor="text1"/>
                      <w:kern w:val="0"/>
                      <w:sz w:val="21"/>
                      <w:szCs w:val="21"/>
                    </w:rPr>
                    <w:t>每天定时对施工场地洒水4~5次进行降尘；</w:t>
                  </w:r>
                </w:p>
                <w:p>
                  <w:pPr>
                    <w:adjustRightInd w:val="0"/>
                    <w:spacing w:line="240" w:lineRule="auto"/>
                    <w:ind w:firstLine="0" w:firstLineChars="0"/>
                    <w:rPr>
                      <w:rFonts w:eastAsiaTheme="minorEastAsia"/>
                      <w:color w:val="000000" w:themeColor="text1"/>
                      <w:kern w:val="0"/>
                      <w:sz w:val="21"/>
                      <w:szCs w:val="21"/>
                    </w:rPr>
                  </w:pPr>
                  <w:r>
                    <w:rPr>
                      <w:rFonts w:hint="eastAsia"/>
                      <w:color w:val="000000" w:themeColor="text1"/>
                      <w:kern w:val="0"/>
                      <w:sz w:val="21"/>
                      <w:szCs w:val="21"/>
                    </w:rPr>
                    <w:t>3</w:t>
                  </w:r>
                  <w:r>
                    <w:rPr>
                      <w:color w:val="000000" w:themeColor="text1"/>
                      <w:kern w:val="0"/>
                      <w:sz w:val="21"/>
                      <w:szCs w:val="21"/>
                    </w:rPr>
                    <w:t>、</w:t>
                  </w:r>
                  <w:r>
                    <w:rPr>
                      <w:rFonts w:hint="eastAsia" w:eastAsiaTheme="minorEastAsia"/>
                      <w:color w:val="000000" w:themeColor="text1"/>
                      <w:kern w:val="0"/>
                      <w:sz w:val="21"/>
                      <w:szCs w:val="21"/>
                    </w:rPr>
                    <w:t>装运建筑材料及建筑垃圾的车辆采用篷布覆盖</w:t>
                  </w:r>
                  <w:r>
                    <w:rPr>
                      <w:rFonts w:eastAsiaTheme="minorEastAsia"/>
                      <w:color w:val="000000" w:themeColor="text1"/>
                      <w:kern w:val="0"/>
                      <w:sz w:val="21"/>
                      <w:szCs w:val="21"/>
                    </w:rPr>
                    <w:t>；</w:t>
                  </w:r>
                </w:p>
                <w:p>
                  <w:pPr>
                    <w:adjustRightInd w:val="0"/>
                    <w:spacing w:line="240" w:lineRule="auto"/>
                    <w:ind w:firstLine="0" w:firstLineChars="0"/>
                    <w:rPr>
                      <w:rFonts w:eastAsiaTheme="minorEastAsia"/>
                      <w:color w:val="000000" w:themeColor="text1"/>
                      <w:kern w:val="0"/>
                      <w:sz w:val="21"/>
                      <w:szCs w:val="21"/>
                    </w:rPr>
                  </w:pPr>
                  <w:r>
                    <w:rPr>
                      <w:rFonts w:hint="eastAsia"/>
                      <w:color w:val="000000" w:themeColor="text1"/>
                      <w:kern w:val="0"/>
                      <w:sz w:val="21"/>
                      <w:szCs w:val="21"/>
                    </w:rPr>
                    <w:t>4</w:t>
                  </w:r>
                  <w:r>
                    <w:rPr>
                      <w:color w:val="000000" w:themeColor="text1"/>
                      <w:kern w:val="0"/>
                      <w:sz w:val="21"/>
                      <w:szCs w:val="21"/>
                    </w:rPr>
                    <w:t>、</w:t>
                  </w:r>
                  <w:r>
                    <w:rPr>
                      <w:rFonts w:eastAsiaTheme="minorEastAsia"/>
                      <w:color w:val="000000" w:themeColor="text1"/>
                      <w:kern w:val="0"/>
                      <w:sz w:val="21"/>
                      <w:szCs w:val="21"/>
                    </w:rPr>
                    <w:t>车辆出施工场地前应对轮胎进行冲洗，避免将泥沙带出遗撒在路途中；</w:t>
                  </w:r>
                </w:p>
                <w:p>
                  <w:pPr>
                    <w:adjustRightInd w:val="0"/>
                    <w:spacing w:line="240" w:lineRule="auto"/>
                    <w:ind w:firstLine="0" w:firstLineChars="0"/>
                    <w:rPr>
                      <w:rFonts w:eastAsiaTheme="minorEastAsia"/>
                      <w:color w:val="000000" w:themeColor="text1"/>
                      <w:kern w:val="0"/>
                      <w:sz w:val="21"/>
                      <w:szCs w:val="21"/>
                    </w:rPr>
                  </w:pPr>
                  <w:r>
                    <w:rPr>
                      <w:rFonts w:hint="eastAsia"/>
                      <w:color w:val="000000" w:themeColor="text1"/>
                      <w:kern w:val="0"/>
                      <w:sz w:val="21"/>
                      <w:szCs w:val="21"/>
                    </w:rPr>
                    <w:t>5</w:t>
                  </w:r>
                  <w:r>
                    <w:rPr>
                      <w:color w:val="000000" w:themeColor="text1"/>
                      <w:kern w:val="0"/>
                      <w:sz w:val="21"/>
                      <w:szCs w:val="21"/>
                    </w:rPr>
                    <w:t>、</w:t>
                  </w:r>
                  <w:r>
                    <w:rPr>
                      <w:rFonts w:eastAsiaTheme="minorEastAsia"/>
                      <w:color w:val="000000" w:themeColor="text1"/>
                      <w:kern w:val="0"/>
                      <w:sz w:val="21"/>
                      <w:szCs w:val="21"/>
                    </w:rPr>
                    <w:t>选择尾气排放达到国家排放标准的施工机械设备和运输车辆，并加强施工机械和运输车辆的维护和保养；</w:t>
                  </w:r>
                </w:p>
                <w:p>
                  <w:pPr>
                    <w:adjustRightInd w:val="0"/>
                    <w:spacing w:line="240" w:lineRule="auto"/>
                    <w:ind w:firstLine="0" w:firstLineChars="0"/>
                    <w:rPr>
                      <w:color w:val="000000" w:themeColor="text1"/>
                      <w:sz w:val="21"/>
                      <w:szCs w:val="21"/>
                    </w:rPr>
                  </w:pPr>
                  <w:r>
                    <w:rPr>
                      <w:rFonts w:hint="eastAsia"/>
                      <w:color w:val="000000" w:themeColor="text1"/>
                      <w:kern w:val="0"/>
                      <w:sz w:val="21"/>
                      <w:szCs w:val="21"/>
                    </w:rPr>
                    <w:t>6</w:t>
                  </w:r>
                  <w:r>
                    <w:rPr>
                      <w:color w:val="000000" w:themeColor="text1"/>
                      <w:kern w:val="0"/>
                      <w:sz w:val="21"/>
                      <w:szCs w:val="21"/>
                    </w:rPr>
                    <w:t>、</w:t>
                  </w:r>
                  <w:r>
                    <w:rPr>
                      <w:rFonts w:eastAsiaTheme="minorEastAsia"/>
                      <w:color w:val="000000" w:themeColor="text1"/>
                      <w:kern w:val="0"/>
                      <w:sz w:val="21"/>
                      <w:szCs w:val="21"/>
                    </w:rPr>
                    <w:t>合理安排施工，尽量缩短施工时间，尤其是地表裸露、表土及建筑材料堆存的时间。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vAlign w:val="center"/>
                </w:tcPr>
                <w:p>
                  <w:pPr>
                    <w:adjustRightInd w:val="0"/>
                    <w:spacing w:line="240" w:lineRule="auto"/>
                    <w:ind w:firstLine="0" w:firstLineChars="0"/>
                    <w:jc w:val="center"/>
                    <w:rPr>
                      <w:color w:val="000000" w:themeColor="text1"/>
                      <w:sz w:val="21"/>
                      <w:szCs w:val="21"/>
                    </w:rPr>
                  </w:pPr>
                </w:p>
              </w:tc>
              <w:tc>
                <w:tcPr>
                  <w:tcW w:w="1134"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废水</w:t>
                  </w:r>
                </w:p>
              </w:tc>
              <w:tc>
                <w:tcPr>
                  <w:tcW w:w="6631" w:type="dxa"/>
                </w:tcPr>
                <w:p>
                  <w:pPr>
                    <w:adjustRightInd w:val="0"/>
                    <w:spacing w:line="240" w:lineRule="auto"/>
                    <w:ind w:firstLine="0" w:firstLineChars="0"/>
                    <w:rPr>
                      <w:color w:val="000000" w:themeColor="text1"/>
                      <w:sz w:val="21"/>
                      <w:szCs w:val="21"/>
                    </w:rPr>
                  </w:pPr>
                  <w:r>
                    <w:rPr>
                      <w:rFonts w:hint="eastAsia"/>
                      <w:color w:val="000000" w:themeColor="text1"/>
                      <w:sz w:val="21"/>
                      <w:szCs w:val="21"/>
                    </w:rPr>
                    <w:t>1、对混凝土养护、设备清洗、运输车辆清洗产生的废水依托石材厂环保设施进行收集沉淀处理，处理后的水全部循环回用于场地洒水降尘或车辆冲洗，禁止外排。</w:t>
                  </w:r>
                </w:p>
                <w:p>
                  <w:pPr>
                    <w:adjustRightInd w:val="0"/>
                    <w:spacing w:line="240" w:lineRule="auto"/>
                    <w:ind w:firstLine="0" w:firstLineChars="0"/>
                    <w:rPr>
                      <w:color w:val="000000" w:themeColor="text1"/>
                      <w:sz w:val="21"/>
                      <w:szCs w:val="21"/>
                    </w:rPr>
                  </w:pPr>
                  <w:r>
                    <w:rPr>
                      <w:rFonts w:hint="eastAsia"/>
                      <w:color w:val="000000" w:themeColor="text1"/>
                      <w:sz w:val="21"/>
                      <w:szCs w:val="21"/>
                    </w:rPr>
                    <w:t>2、建筑材料需集中堆放，并采取一定的防雨淋措施。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Pr>
                <w:p>
                  <w:pPr>
                    <w:adjustRightInd w:val="0"/>
                    <w:spacing w:line="240" w:lineRule="auto"/>
                    <w:ind w:firstLine="0" w:firstLineChars="0"/>
                    <w:jc w:val="center"/>
                    <w:rPr>
                      <w:color w:val="000000" w:themeColor="text1"/>
                      <w:sz w:val="21"/>
                      <w:szCs w:val="21"/>
                    </w:rPr>
                  </w:pPr>
                </w:p>
              </w:tc>
              <w:tc>
                <w:tcPr>
                  <w:tcW w:w="1134"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噪声</w:t>
                  </w:r>
                </w:p>
              </w:tc>
              <w:tc>
                <w:tcPr>
                  <w:tcW w:w="6631" w:type="dxa"/>
                </w:tcPr>
                <w:p>
                  <w:pPr>
                    <w:adjustRightInd w:val="0"/>
                    <w:spacing w:line="240" w:lineRule="auto"/>
                    <w:ind w:firstLine="0" w:firstLineChars="0"/>
                    <w:rPr>
                      <w:color w:val="000000" w:themeColor="text1"/>
                      <w:sz w:val="21"/>
                      <w:szCs w:val="21"/>
                    </w:rPr>
                  </w:pPr>
                  <w:r>
                    <w:rPr>
                      <w:rFonts w:hint="eastAsia"/>
                      <w:color w:val="000000" w:themeColor="text1"/>
                      <w:sz w:val="21"/>
                      <w:szCs w:val="21"/>
                    </w:rPr>
                    <w:t>1、施工期间，施工单位应选用低噪声的施工设备，从源头上控制噪声排放；加强施工机械的维修、管理，保证施工机械处于低噪声、高效率的良好工作状态。</w:t>
                  </w:r>
                </w:p>
                <w:p>
                  <w:pPr>
                    <w:adjustRightInd w:val="0"/>
                    <w:spacing w:line="240" w:lineRule="auto"/>
                    <w:ind w:firstLine="0" w:firstLineChars="0"/>
                    <w:rPr>
                      <w:color w:val="000000" w:themeColor="text1"/>
                      <w:sz w:val="21"/>
                      <w:szCs w:val="21"/>
                    </w:rPr>
                  </w:pPr>
                  <w:r>
                    <w:rPr>
                      <w:rFonts w:hint="eastAsia"/>
                      <w:color w:val="000000" w:themeColor="text1"/>
                      <w:sz w:val="21"/>
                      <w:szCs w:val="21"/>
                    </w:rPr>
                    <w:t>2、合理安排作业时间，禁止夜间施工。</w:t>
                  </w:r>
                </w:p>
                <w:p>
                  <w:pPr>
                    <w:adjustRightInd w:val="0"/>
                    <w:spacing w:line="240" w:lineRule="auto"/>
                    <w:ind w:firstLine="0" w:firstLineChars="0"/>
                    <w:rPr>
                      <w:color w:val="000000" w:themeColor="text1"/>
                      <w:sz w:val="21"/>
                      <w:szCs w:val="21"/>
                    </w:rPr>
                  </w:pPr>
                  <w:r>
                    <w:rPr>
                      <w:rFonts w:hint="eastAsia"/>
                      <w:color w:val="000000" w:themeColor="text1"/>
                      <w:sz w:val="21"/>
                      <w:szCs w:val="21"/>
                    </w:rPr>
                    <w:t>3、车辆出入施工场地及经过居民区时，应低速、禁鸣。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Pr>
                <w:p>
                  <w:pPr>
                    <w:adjustRightInd w:val="0"/>
                    <w:spacing w:line="240" w:lineRule="auto"/>
                    <w:ind w:firstLine="0" w:firstLineChars="0"/>
                    <w:jc w:val="center"/>
                    <w:rPr>
                      <w:color w:val="000000" w:themeColor="text1"/>
                      <w:sz w:val="21"/>
                      <w:szCs w:val="21"/>
                    </w:rPr>
                  </w:pPr>
                </w:p>
              </w:tc>
              <w:tc>
                <w:tcPr>
                  <w:tcW w:w="1134"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固体废物</w:t>
                  </w:r>
                </w:p>
              </w:tc>
              <w:tc>
                <w:tcPr>
                  <w:tcW w:w="6631" w:type="dxa"/>
                </w:tcPr>
                <w:p>
                  <w:pPr>
                    <w:adjustRightInd w:val="0"/>
                    <w:spacing w:line="240" w:lineRule="auto"/>
                    <w:ind w:firstLine="0" w:firstLineChars="0"/>
                    <w:rPr>
                      <w:color w:val="000000" w:themeColor="text1"/>
                      <w:sz w:val="21"/>
                      <w:szCs w:val="21"/>
                    </w:rPr>
                  </w:pPr>
                  <w:r>
                    <w:rPr>
                      <w:rFonts w:hint="eastAsia"/>
                      <w:color w:val="000000" w:themeColor="text1"/>
                      <w:sz w:val="21"/>
                      <w:szCs w:val="21"/>
                    </w:rPr>
                    <w:t>1、开挖产生的土石方全部用于场地回填及后期绿化覆土，不外排。</w:t>
                  </w:r>
                </w:p>
                <w:p>
                  <w:pPr>
                    <w:adjustRightInd w:val="0"/>
                    <w:spacing w:line="240" w:lineRule="auto"/>
                    <w:ind w:firstLine="0" w:firstLineChars="0"/>
                    <w:rPr>
                      <w:color w:val="000000" w:themeColor="text1"/>
                      <w:sz w:val="21"/>
                      <w:szCs w:val="21"/>
                    </w:rPr>
                  </w:pPr>
                  <w:r>
                    <w:rPr>
                      <w:rFonts w:hint="eastAsia"/>
                      <w:color w:val="000000" w:themeColor="text1"/>
                      <w:sz w:val="21"/>
                      <w:szCs w:val="21"/>
                    </w:rPr>
                    <w:t>2、建筑垃圾经分类收集后，其中可利用部分外售给废品收购站，不可利用的</w:t>
                  </w:r>
                  <w:r>
                    <w:rPr>
                      <w:rFonts w:hint="eastAsia" w:hAnsiTheme="minorEastAsia" w:eastAsiaTheme="minorEastAsia"/>
                      <w:bCs/>
                      <w:color w:val="000000" w:themeColor="text1"/>
                      <w:sz w:val="21"/>
                      <w:szCs w:val="21"/>
                    </w:rPr>
                    <w:t>委托有资质单位清运至指定的建筑垃圾堆放场，禁止随意处置和堆放</w:t>
                  </w:r>
                </w:p>
                <w:p>
                  <w:pPr>
                    <w:adjustRightInd w:val="0"/>
                    <w:spacing w:line="240" w:lineRule="auto"/>
                    <w:ind w:firstLine="0" w:firstLineChars="0"/>
                    <w:rPr>
                      <w:color w:val="000000" w:themeColor="text1"/>
                      <w:sz w:val="21"/>
                      <w:szCs w:val="21"/>
                    </w:rPr>
                  </w:pPr>
                  <w:r>
                    <w:rPr>
                      <w:rFonts w:hint="eastAsia"/>
                      <w:color w:val="000000" w:themeColor="text1"/>
                      <w:sz w:val="21"/>
                      <w:szCs w:val="21"/>
                    </w:rPr>
                    <w:t>3、施工人员生活垃圾经垃圾桶统一收集后，与项目区员工产生的垃圾一起清运至周边村庄指定的垃圾堆存点。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restart"/>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运营期</w:t>
                  </w:r>
                </w:p>
              </w:tc>
              <w:tc>
                <w:tcPr>
                  <w:tcW w:w="1134"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废气</w:t>
                  </w:r>
                </w:p>
              </w:tc>
              <w:tc>
                <w:tcPr>
                  <w:tcW w:w="6631" w:type="dxa"/>
                </w:tcPr>
                <w:p>
                  <w:pPr>
                    <w:adjustRightInd w:val="0"/>
                    <w:spacing w:line="240" w:lineRule="auto"/>
                    <w:ind w:firstLine="0" w:firstLineChars="0"/>
                    <w:rPr>
                      <w:color w:val="000000" w:themeColor="text1"/>
                      <w:sz w:val="21"/>
                      <w:szCs w:val="21"/>
                    </w:rPr>
                  </w:pPr>
                  <w:r>
                    <w:rPr>
                      <w:color w:val="000000" w:themeColor="text1"/>
                      <w:sz w:val="21"/>
                      <w:szCs w:val="21"/>
                    </w:rPr>
                    <w:t>1、</w:t>
                  </w:r>
                  <w:r>
                    <w:rPr>
                      <w:rFonts w:hint="eastAsia"/>
                      <w:color w:val="000000" w:themeColor="text1"/>
                      <w:sz w:val="21"/>
                      <w:szCs w:val="21"/>
                    </w:rPr>
                    <w:t>项目破碎车间及成品堆存间全封闭，且进料时喷淋洒水；</w:t>
                  </w:r>
                </w:p>
                <w:p>
                  <w:pPr>
                    <w:adjustRightInd w:val="0"/>
                    <w:spacing w:line="240" w:lineRule="auto"/>
                    <w:ind w:firstLine="0" w:firstLineChars="0"/>
                    <w:rPr>
                      <w:color w:val="000000" w:themeColor="text1"/>
                      <w:sz w:val="21"/>
                      <w:szCs w:val="21"/>
                    </w:rPr>
                  </w:pPr>
                  <w:r>
                    <w:rPr>
                      <w:color w:val="000000" w:themeColor="text1"/>
                      <w:sz w:val="21"/>
                      <w:szCs w:val="21"/>
                    </w:rPr>
                    <w:t>2、</w:t>
                  </w:r>
                  <w:r>
                    <w:rPr>
                      <w:rFonts w:hint="eastAsia"/>
                      <w:color w:val="000000" w:themeColor="text1"/>
                      <w:sz w:val="21"/>
                      <w:szCs w:val="21"/>
                    </w:rPr>
                    <w:t>破碎机及打砂机上方设置集气罩，粉尘经集气罩收集由布袋除尘器处理，最终由15m高排气筒DA001排放；</w:t>
                  </w:r>
                </w:p>
                <w:p>
                  <w:pPr>
                    <w:adjustRightInd w:val="0"/>
                    <w:spacing w:line="240" w:lineRule="auto"/>
                    <w:ind w:firstLine="0" w:firstLineChars="0"/>
                    <w:rPr>
                      <w:color w:val="000000" w:themeColor="text1"/>
                      <w:sz w:val="21"/>
                      <w:szCs w:val="21"/>
                    </w:rPr>
                  </w:pPr>
                  <w:r>
                    <w:rPr>
                      <w:rFonts w:hint="eastAsia"/>
                      <w:color w:val="000000" w:themeColor="text1"/>
                      <w:sz w:val="21"/>
                      <w:szCs w:val="21"/>
                    </w:rPr>
                    <w:t>3、食堂油烟经油烟净化器处理后，通过烟囱外排。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83" w:type="dxa"/>
                  <w:vMerge w:val="continue"/>
                </w:tcPr>
                <w:p>
                  <w:pPr>
                    <w:adjustRightInd w:val="0"/>
                    <w:spacing w:line="240" w:lineRule="auto"/>
                    <w:ind w:firstLine="0" w:firstLineChars="0"/>
                    <w:jc w:val="center"/>
                    <w:rPr>
                      <w:color w:val="000000" w:themeColor="text1"/>
                      <w:sz w:val="21"/>
                      <w:szCs w:val="21"/>
                    </w:rPr>
                  </w:pPr>
                </w:p>
              </w:tc>
              <w:tc>
                <w:tcPr>
                  <w:tcW w:w="1134"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废水</w:t>
                  </w:r>
                </w:p>
              </w:tc>
              <w:tc>
                <w:tcPr>
                  <w:tcW w:w="6631" w:type="dxa"/>
                </w:tcPr>
                <w:p>
                  <w:pPr>
                    <w:adjustRightInd w:val="0"/>
                    <w:spacing w:line="240" w:lineRule="auto"/>
                    <w:ind w:firstLine="0" w:firstLineChars="0"/>
                    <w:rPr>
                      <w:color w:val="000000" w:themeColor="text1"/>
                      <w:sz w:val="21"/>
                      <w:szCs w:val="21"/>
                    </w:rPr>
                  </w:pPr>
                  <w:r>
                    <w:rPr>
                      <w:rFonts w:hint="eastAsia"/>
                      <w:color w:val="000000" w:themeColor="text1"/>
                      <w:sz w:val="21"/>
                      <w:szCs w:val="21"/>
                    </w:rPr>
                    <w:t>1、项目区厨房废水经1个0.5m</w:t>
                  </w:r>
                  <w:r>
                    <w:rPr>
                      <w:rFonts w:hint="eastAsia"/>
                      <w:color w:val="000000" w:themeColor="text1"/>
                      <w:sz w:val="21"/>
                      <w:szCs w:val="21"/>
                      <w:vertAlign w:val="superscript"/>
                    </w:rPr>
                    <w:t>3</w:t>
                  </w:r>
                  <w:r>
                    <w:rPr>
                      <w:rFonts w:hint="eastAsia"/>
                      <w:color w:val="000000" w:themeColor="text1"/>
                      <w:sz w:val="21"/>
                      <w:szCs w:val="21"/>
                    </w:rPr>
                    <w:t>的隔油池处理后与员工清洗废水进入石材加工项目沉淀池沉淀后，回用于石材加工品项目生产。</w:t>
                  </w:r>
                </w:p>
                <w:p>
                  <w:pPr>
                    <w:adjustRightInd w:val="0"/>
                    <w:spacing w:line="240" w:lineRule="auto"/>
                    <w:ind w:firstLine="0" w:firstLineChars="0"/>
                    <w:rPr>
                      <w:color w:val="000000" w:themeColor="text1"/>
                      <w:sz w:val="21"/>
                      <w:szCs w:val="21"/>
                    </w:rPr>
                  </w:pPr>
                  <w:r>
                    <w:rPr>
                      <w:rFonts w:hint="eastAsia"/>
                      <w:color w:val="000000" w:themeColor="text1"/>
                      <w:sz w:val="21"/>
                      <w:szCs w:val="21"/>
                    </w:rPr>
                    <w:t>2、初期雨水经收集池收集、沉淀后回用于石材加工项目生产，其余清净雨水则通过雨水沟外排至场外。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Pr>
                <w:p>
                  <w:pPr>
                    <w:adjustRightInd w:val="0"/>
                    <w:spacing w:line="240" w:lineRule="auto"/>
                    <w:ind w:firstLine="0" w:firstLineChars="0"/>
                    <w:jc w:val="center"/>
                    <w:rPr>
                      <w:color w:val="000000" w:themeColor="text1"/>
                      <w:sz w:val="21"/>
                      <w:szCs w:val="21"/>
                    </w:rPr>
                  </w:pPr>
                </w:p>
              </w:tc>
              <w:tc>
                <w:tcPr>
                  <w:tcW w:w="1134" w:type="dxa"/>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噪声</w:t>
                  </w:r>
                </w:p>
              </w:tc>
              <w:tc>
                <w:tcPr>
                  <w:tcW w:w="6631" w:type="dxa"/>
                </w:tcPr>
                <w:p>
                  <w:pPr>
                    <w:adjustRightInd w:val="0"/>
                    <w:spacing w:line="240" w:lineRule="auto"/>
                    <w:ind w:firstLine="0" w:firstLineChars="0"/>
                    <w:rPr>
                      <w:color w:val="000000" w:themeColor="text1"/>
                      <w:sz w:val="21"/>
                      <w:szCs w:val="21"/>
                    </w:rPr>
                  </w:pPr>
                  <w:r>
                    <w:rPr>
                      <w:rFonts w:hint="eastAsia"/>
                      <w:color w:val="000000" w:themeColor="text1"/>
                      <w:sz w:val="21"/>
                      <w:szCs w:val="21"/>
                    </w:rPr>
                    <w:t>生产设备置于厂房内，且底部安装减震垫等进行降噪、隔声。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tcPr>
                <w:p>
                  <w:pPr>
                    <w:adjustRightInd w:val="0"/>
                    <w:spacing w:line="240" w:lineRule="auto"/>
                    <w:ind w:firstLine="0" w:firstLineChars="0"/>
                    <w:jc w:val="center"/>
                    <w:rPr>
                      <w:color w:val="000000" w:themeColor="text1"/>
                      <w:sz w:val="21"/>
                      <w:szCs w:val="21"/>
                    </w:rPr>
                  </w:pPr>
                </w:p>
              </w:tc>
              <w:tc>
                <w:tcPr>
                  <w:tcW w:w="1134" w:type="dxa"/>
                  <w:vAlign w:val="center"/>
                </w:tcPr>
                <w:p>
                  <w:pPr>
                    <w:adjustRightInd w:val="0"/>
                    <w:spacing w:line="240" w:lineRule="auto"/>
                    <w:ind w:firstLine="0" w:firstLineChars="0"/>
                    <w:jc w:val="center"/>
                    <w:rPr>
                      <w:color w:val="000000" w:themeColor="text1"/>
                      <w:sz w:val="21"/>
                      <w:szCs w:val="21"/>
                    </w:rPr>
                  </w:pPr>
                  <w:r>
                    <w:rPr>
                      <w:rFonts w:hint="eastAsia"/>
                      <w:color w:val="000000" w:themeColor="text1"/>
                      <w:sz w:val="21"/>
                      <w:szCs w:val="21"/>
                    </w:rPr>
                    <w:t>固体废物</w:t>
                  </w:r>
                </w:p>
              </w:tc>
              <w:tc>
                <w:tcPr>
                  <w:tcW w:w="6631" w:type="dxa"/>
                </w:tcPr>
                <w:p>
                  <w:pPr>
                    <w:adjustRightInd w:val="0"/>
                    <w:spacing w:line="240" w:lineRule="auto"/>
                    <w:ind w:firstLine="0" w:firstLineChars="0"/>
                    <w:rPr>
                      <w:color w:val="000000" w:themeColor="text1"/>
                      <w:sz w:val="21"/>
                      <w:szCs w:val="21"/>
                    </w:rPr>
                  </w:pPr>
                  <w:r>
                    <w:rPr>
                      <w:rFonts w:hint="eastAsia"/>
                      <w:color w:val="000000" w:themeColor="text1"/>
                      <w:sz w:val="21"/>
                      <w:szCs w:val="21"/>
                    </w:rPr>
                    <w:t>1、除尘器收集的粉尘经收集后</w:t>
                  </w:r>
                  <w:r>
                    <w:rPr>
                      <w:rFonts w:hint="eastAsia"/>
                      <w:color w:val="000000" w:themeColor="text1"/>
                      <w:sz w:val="21"/>
                      <w:szCs w:val="21"/>
                      <w:lang w:eastAsia="zh-CN"/>
                    </w:rPr>
                    <w:t>作为成品售卖</w:t>
                  </w:r>
                  <w:r>
                    <w:rPr>
                      <w:rFonts w:hint="eastAsia"/>
                      <w:color w:val="000000" w:themeColor="text1"/>
                      <w:sz w:val="21"/>
                      <w:szCs w:val="21"/>
                    </w:rPr>
                    <w:t>不外排；</w:t>
                  </w:r>
                </w:p>
                <w:p>
                  <w:pPr>
                    <w:adjustRightInd w:val="0"/>
                    <w:spacing w:line="240" w:lineRule="auto"/>
                    <w:ind w:firstLine="0" w:firstLineChars="0"/>
                    <w:rPr>
                      <w:color w:val="000000" w:themeColor="text1"/>
                      <w:sz w:val="21"/>
                      <w:szCs w:val="21"/>
                    </w:rPr>
                  </w:pPr>
                  <w:r>
                    <w:rPr>
                      <w:rFonts w:hint="eastAsia"/>
                      <w:color w:val="000000" w:themeColor="text1"/>
                      <w:sz w:val="21"/>
                      <w:szCs w:val="21"/>
                      <w:lang w:val="en-US" w:eastAsia="zh-CN"/>
                    </w:rPr>
                    <w:t>2</w:t>
                  </w:r>
                  <w:r>
                    <w:rPr>
                      <w:rFonts w:hint="eastAsia"/>
                      <w:color w:val="000000" w:themeColor="text1"/>
                      <w:sz w:val="21"/>
                      <w:szCs w:val="21"/>
                    </w:rPr>
                    <w:t>、项目生产过程中养护维修机械设备时产生的废机油经1个容积为50L的废机油桶收集后，暂存于危废暂存间，并委托有资质单位清运处置；</w:t>
                  </w:r>
                </w:p>
                <w:p>
                  <w:pPr>
                    <w:adjustRightInd w:val="0"/>
                    <w:spacing w:line="240" w:lineRule="auto"/>
                    <w:ind w:firstLine="0" w:firstLineChars="0"/>
                    <w:rPr>
                      <w:color w:val="000000" w:themeColor="text1"/>
                      <w:sz w:val="21"/>
                      <w:szCs w:val="21"/>
                    </w:rPr>
                  </w:pPr>
                  <w:r>
                    <w:rPr>
                      <w:rFonts w:hint="eastAsia"/>
                      <w:color w:val="000000" w:themeColor="text1"/>
                      <w:sz w:val="21"/>
                      <w:szCs w:val="21"/>
                      <w:lang w:val="en-US" w:eastAsia="zh-CN"/>
                    </w:rPr>
                    <w:t>3</w:t>
                  </w:r>
                  <w:r>
                    <w:rPr>
                      <w:rFonts w:hint="eastAsia"/>
                      <w:color w:val="000000" w:themeColor="text1"/>
                      <w:sz w:val="21"/>
                      <w:szCs w:val="21"/>
                    </w:rPr>
                    <w:t>、设备养护维修过程中会产生含油手套、含油纱布等废物，可与生活垃圾一起进行处理。</w:t>
                  </w:r>
                </w:p>
              </w:tc>
            </w:tr>
          </w:tbl>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color w:val="000000" w:themeColor="text1"/>
                <w:lang w:eastAsia="zh-CN"/>
              </w:rPr>
            </w:pPr>
          </w:p>
          <w:p>
            <w:pPr>
              <w:adjustRightInd w:val="0"/>
              <w:snapToGrid w:val="0"/>
              <w:ind w:firstLine="0" w:firstLineChars="0"/>
              <w:rPr>
                <w:rFonts w:hint="eastAsia" w:eastAsia="宋体"/>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9" w:type="dxa"/>
          </w:tcPr>
          <w:p>
            <w:pPr>
              <w:pStyle w:val="9"/>
              <w:adjustRightInd w:val="0"/>
              <w:snapToGrid w:val="0"/>
              <w:rPr>
                <w:b/>
                <w:color w:val="000000" w:themeColor="text1"/>
                <w:sz w:val="28"/>
              </w:rPr>
            </w:pPr>
            <w:r>
              <w:rPr>
                <w:b/>
                <w:color w:val="000000" w:themeColor="text1"/>
                <w:sz w:val="28"/>
              </w:rPr>
              <w:t>预审意见：</w:t>
            </w: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right="560" w:firstLine="7140" w:firstLineChars="2550"/>
              <w:rPr>
                <w:color w:val="000000" w:themeColor="text1"/>
                <w:sz w:val="28"/>
              </w:rPr>
            </w:pPr>
            <w:r>
              <w:rPr>
                <w:color w:val="000000" w:themeColor="text1"/>
                <w:sz w:val="28"/>
              </w:rPr>
              <w:t>公章</w:t>
            </w:r>
          </w:p>
          <w:p>
            <w:pPr>
              <w:pStyle w:val="9"/>
              <w:adjustRightInd w:val="0"/>
              <w:snapToGrid w:val="0"/>
              <w:ind w:firstLine="560"/>
              <w:jc w:val="right"/>
              <w:rPr>
                <w:color w:val="000000" w:themeColor="text1"/>
                <w:sz w:val="28"/>
              </w:rPr>
            </w:pPr>
          </w:p>
          <w:p>
            <w:pPr>
              <w:autoSpaceDE w:val="0"/>
              <w:autoSpaceDN w:val="0"/>
              <w:adjustRightInd w:val="0"/>
              <w:snapToGrid w:val="0"/>
              <w:ind w:firstLine="560"/>
              <w:jc w:val="right"/>
              <w:rPr>
                <w:color w:val="000000" w:themeColor="text1"/>
                <w:kern w:val="0"/>
                <w:sz w:val="28"/>
                <w:szCs w:val="18"/>
              </w:rPr>
            </w:pPr>
            <w:r>
              <w:rPr>
                <w:color w:val="000000" w:themeColor="text1"/>
                <w:sz w:val="28"/>
              </w:rPr>
              <w:t>经办人：年</w:t>
            </w:r>
            <w:r>
              <w:rPr>
                <w:rFonts w:hint="eastAsia"/>
                <w:color w:val="000000" w:themeColor="text1"/>
                <w:sz w:val="28"/>
              </w:rPr>
              <w:t xml:space="preserve">  </w:t>
            </w:r>
            <w:r>
              <w:rPr>
                <w:color w:val="000000" w:themeColor="text1"/>
                <w:sz w:val="28"/>
              </w:rPr>
              <w:t>月</w:t>
            </w:r>
            <w:r>
              <w:rPr>
                <w:rFonts w:hint="eastAsia"/>
                <w:color w:val="000000" w:themeColor="text1"/>
                <w:sz w:val="28"/>
              </w:rPr>
              <w:t xml:space="preserve">   </w:t>
            </w:r>
            <w:r>
              <w:rPr>
                <w:color w:val="000000" w:themeColor="text1"/>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9" w:type="dxa"/>
          </w:tcPr>
          <w:p>
            <w:pPr>
              <w:pStyle w:val="9"/>
              <w:adjustRightInd w:val="0"/>
              <w:snapToGrid w:val="0"/>
              <w:rPr>
                <w:b/>
                <w:color w:val="000000" w:themeColor="text1"/>
                <w:sz w:val="28"/>
              </w:rPr>
            </w:pPr>
            <w:r>
              <w:rPr>
                <w:b/>
                <w:color w:val="000000" w:themeColor="text1"/>
                <w:sz w:val="28"/>
              </w:rPr>
              <w:t>下一级环境保护行政主管部门审查意见：</w:t>
            </w: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firstLine="560"/>
              <w:rPr>
                <w:color w:val="000000" w:themeColor="text1"/>
                <w:sz w:val="28"/>
              </w:rPr>
            </w:pPr>
          </w:p>
          <w:p>
            <w:pPr>
              <w:pStyle w:val="9"/>
              <w:adjustRightInd w:val="0"/>
              <w:snapToGrid w:val="0"/>
              <w:ind w:right="560" w:firstLine="7000" w:firstLineChars="2500"/>
              <w:rPr>
                <w:color w:val="000000" w:themeColor="text1"/>
                <w:sz w:val="28"/>
              </w:rPr>
            </w:pPr>
            <w:r>
              <w:rPr>
                <w:color w:val="000000" w:themeColor="text1"/>
                <w:sz w:val="28"/>
              </w:rPr>
              <w:t>公章</w:t>
            </w:r>
          </w:p>
          <w:p>
            <w:pPr>
              <w:pStyle w:val="9"/>
              <w:adjustRightInd w:val="0"/>
              <w:snapToGrid w:val="0"/>
              <w:ind w:firstLine="560"/>
              <w:jc w:val="right"/>
              <w:rPr>
                <w:color w:val="000000" w:themeColor="text1"/>
                <w:sz w:val="28"/>
              </w:rPr>
            </w:pPr>
          </w:p>
          <w:p>
            <w:pPr>
              <w:pStyle w:val="9"/>
              <w:adjustRightInd w:val="0"/>
              <w:snapToGrid w:val="0"/>
              <w:ind w:firstLine="560"/>
              <w:jc w:val="right"/>
              <w:rPr>
                <w:color w:val="000000" w:themeColor="text1"/>
                <w:sz w:val="28"/>
              </w:rPr>
            </w:pPr>
            <w:r>
              <w:rPr>
                <w:color w:val="000000" w:themeColor="text1"/>
                <w:sz w:val="28"/>
              </w:rPr>
              <w:t>经办人：年</w:t>
            </w:r>
            <w:r>
              <w:rPr>
                <w:rFonts w:hint="eastAsia"/>
                <w:color w:val="000000" w:themeColor="text1"/>
                <w:sz w:val="28"/>
              </w:rPr>
              <w:t xml:space="preserve">  </w:t>
            </w:r>
            <w:r>
              <w:rPr>
                <w:color w:val="000000" w:themeColor="text1"/>
                <w:sz w:val="28"/>
              </w:rPr>
              <w:t>月</w:t>
            </w:r>
            <w:r>
              <w:rPr>
                <w:rFonts w:hint="eastAsia"/>
                <w:color w:val="000000" w:themeColor="text1"/>
                <w:sz w:val="28"/>
              </w:rPr>
              <w:t xml:space="preserve">   </w:t>
            </w:r>
            <w:r>
              <w:rPr>
                <w:color w:val="000000" w:themeColor="text1"/>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9" w:type="dxa"/>
          </w:tcPr>
          <w:p>
            <w:pPr>
              <w:pStyle w:val="9"/>
              <w:adjustRightInd w:val="0"/>
              <w:snapToGrid w:val="0"/>
              <w:rPr>
                <w:b/>
                <w:color w:val="000000" w:themeColor="text1"/>
                <w:sz w:val="28"/>
              </w:rPr>
            </w:pPr>
            <w:r>
              <w:rPr>
                <w:b/>
                <w:color w:val="000000" w:themeColor="text1"/>
                <w:sz w:val="28"/>
              </w:rPr>
              <w:t>审批意见：</w:t>
            </w: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rPr>
                <w:b/>
                <w:color w:val="000000" w:themeColor="text1"/>
                <w:sz w:val="28"/>
              </w:rPr>
            </w:pPr>
          </w:p>
          <w:p>
            <w:pPr>
              <w:pStyle w:val="9"/>
              <w:adjustRightInd w:val="0"/>
              <w:snapToGrid w:val="0"/>
              <w:ind w:right="560" w:firstLine="560"/>
              <w:jc w:val="center"/>
              <w:rPr>
                <w:color w:val="000000" w:themeColor="text1"/>
                <w:sz w:val="28"/>
              </w:rPr>
            </w:pPr>
            <w:r>
              <w:rPr>
                <w:rFonts w:hint="eastAsia"/>
                <w:color w:val="000000" w:themeColor="text1"/>
                <w:sz w:val="28"/>
              </w:rPr>
              <w:t xml:space="preserve">                                            </w:t>
            </w:r>
            <w:r>
              <w:rPr>
                <w:color w:val="000000" w:themeColor="text1"/>
                <w:sz w:val="28"/>
              </w:rPr>
              <w:t>公章</w:t>
            </w:r>
          </w:p>
          <w:p>
            <w:pPr>
              <w:pStyle w:val="9"/>
              <w:wordWrap w:val="0"/>
              <w:adjustRightInd w:val="0"/>
              <w:snapToGrid w:val="0"/>
              <w:ind w:firstLine="560"/>
              <w:jc w:val="right"/>
              <w:rPr>
                <w:color w:val="000000" w:themeColor="text1"/>
                <w:sz w:val="28"/>
              </w:rPr>
            </w:pPr>
            <w:r>
              <w:rPr>
                <w:color w:val="000000" w:themeColor="text1"/>
                <w:sz w:val="28"/>
              </w:rPr>
              <w:t>经办人：</w:t>
            </w:r>
            <w:r>
              <w:rPr>
                <w:rFonts w:hint="eastAsia"/>
                <w:color w:val="000000" w:themeColor="text1"/>
                <w:sz w:val="28"/>
              </w:rPr>
              <w:t xml:space="preserve">  </w:t>
            </w:r>
            <w:r>
              <w:rPr>
                <w:color w:val="000000" w:themeColor="text1"/>
                <w:sz w:val="28"/>
              </w:rPr>
              <w:t>年</w:t>
            </w:r>
            <w:r>
              <w:rPr>
                <w:rFonts w:hint="eastAsia"/>
                <w:color w:val="000000" w:themeColor="text1"/>
                <w:sz w:val="28"/>
              </w:rPr>
              <w:t xml:space="preserve">  </w:t>
            </w:r>
            <w:r>
              <w:rPr>
                <w:color w:val="000000" w:themeColor="text1"/>
                <w:sz w:val="28"/>
              </w:rPr>
              <w:t>月</w:t>
            </w:r>
            <w:r>
              <w:rPr>
                <w:rFonts w:hint="eastAsia"/>
                <w:color w:val="000000" w:themeColor="text1"/>
                <w:sz w:val="28"/>
              </w:rPr>
              <w:t xml:space="preserve">  </w:t>
            </w:r>
            <w:r>
              <w:rPr>
                <w:color w:val="000000" w:themeColor="text1"/>
                <w:sz w:val="28"/>
              </w:rPr>
              <w:t>日</w:t>
            </w:r>
          </w:p>
        </w:tc>
      </w:tr>
    </w:tbl>
    <w:p>
      <w:pPr>
        <w:pStyle w:val="3"/>
        <w:ind w:firstLine="0" w:firstLineChars="0"/>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imesNewRomanPSMT">
    <w:altName w:val="MS Gothic"/>
    <w:panose1 w:val="00000000000000000000"/>
    <w:charset w:val="80"/>
    <w:family w:val="auto"/>
    <w:pitch w:val="default"/>
    <w:sig w:usb0="00000000" w:usb1="00000000" w:usb2="00000010" w:usb3="00000000" w:csb0="00060000"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360"/>
      <w:jc w:val="center"/>
      <w:rPr>
        <w:rFonts w:ascii="宋体" w:hAnsi="宋体" w:cs="宋体"/>
      </w:rPr>
    </w:pPr>
    <w:r>
      <w:rPr>
        <w:rFonts w:hint="eastAsia" w:ascii="宋体" w:hAnsi="宋体" w:cs="宋体"/>
      </w:rPr>
      <w:t>宜良县益林石材厂废料加工利用项目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DF0A2"/>
    <w:multiLevelType w:val="singleLevel"/>
    <w:tmpl w:val="914DF0A2"/>
    <w:lvl w:ilvl="0" w:tentative="0">
      <w:start w:val="3"/>
      <w:numFmt w:val="decimal"/>
      <w:suff w:val="nothing"/>
      <w:lvlText w:val="%1）"/>
      <w:lvlJc w:val="left"/>
    </w:lvl>
  </w:abstractNum>
  <w:abstractNum w:abstractNumId="1">
    <w:nsid w:val="C99DBB30"/>
    <w:multiLevelType w:val="singleLevel"/>
    <w:tmpl w:val="C99DBB30"/>
    <w:lvl w:ilvl="0" w:tentative="0">
      <w:start w:val="4"/>
      <w:numFmt w:val="decimal"/>
      <w:suff w:val="nothing"/>
      <w:lvlText w:val="%1、"/>
      <w:lvlJc w:val="left"/>
    </w:lvl>
  </w:abstractNum>
  <w:abstractNum w:abstractNumId="2">
    <w:nsid w:val="1DA033BB"/>
    <w:multiLevelType w:val="singleLevel"/>
    <w:tmpl w:val="1DA033BB"/>
    <w:lvl w:ilvl="0" w:tentative="0">
      <w:start w:val="1"/>
      <w:numFmt w:val="decimal"/>
      <w:suff w:val="nothing"/>
      <w:lvlText w:val="%1、"/>
      <w:lvlJc w:val="left"/>
    </w:lvl>
  </w:abstractNum>
  <w:abstractNum w:abstractNumId="3">
    <w:nsid w:val="5B48ACF1"/>
    <w:multiLevelType w:val="singleLevel"/>
    <w:tmpl w:val="5B48ACF1"/>
    <w:lvl w:ilvl="0" w:tentative="0">
      <w:start w:val="1"/>
      <w:numFmt w:val="decimal"/>
      <w:suff w:val="nothing"/>
      <w:lvlText w:val="（%1）"/>
      <w:lvlJc w:val="left"/>
    </w:lvl>
  </w:abstractNum>
  <w:abstractNum w:abstractNumId="4">
    <w:nsid w:val="782F2B08"/>
    <w:multiLevelType w:val="singleLevel"/>
    <w:tmpl w:val="782F2B0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0383812"/>
    <w:rsid w:val="00003481"/>
    <w:rsid w:val="000C3D2C"/>
    <w:rsid w:val="00120A69"/>
    <w:rsid w:val="00251022"/>
    <w:rsid w:val="00271F6A"/>
    <w:rsid w:val="002A0863"/>
    <w:rsid w:val="00312AD5"/>
    <w:rsid w:val="0038194D"/>
    <w:rsid w:val="004264BB"/>
    <w:rsid w:val="00570260"/>
    <w:rsid w:val="00674460"/>
    <w:rsid w:val="006C3D5F"/>
    <w:rsid w:val="006C5F25"/>
    <w:rsid w:val="006E22F4"/>
    <w:rsid w:val="007E61C9"/>
    <w:rsid w:val="00833D61"/>
    <w:rsid w:val="0084045A"/>
    <w:rsid w:val="008D264A"/>
    <w:rsid w:val="00A94AA6"/>
    <w:rsid w:val="00AB64D0"/>
    <w:rsid w:val="00B92388"/>
    <w:rsid w:val="00C850D1"/>
    <w:rsid w:val="00D1732C"/>
    <w:rsid w:val="00D61EF7"/>
    <w:rsid w:val="00DB4CCF"/>
    <w:rsid w:val="00E731AD"/>
    <w:rsid w:val="00EB0F8A"/>
    <w:rsid w:val="00F57EE8"/>
    <w:rsid w:val="00F67029"/>
    <w:rsid w:val="00F954FE"/>
    <w:rsid w:val="00FB2F69"/>
    <w:rsid w:val="00FD67C4"/>
    <w:rsid w:val="03A2115D"/>
    <w:rsid w:val="03E835D5"/>
    <w:rsid w:val="03ED48A9"/>
    <w:rsid w:val="046A4F11"/>
    <w:rsid w:val="0577206B"/>
    <w:rsid w:val="06657B97"/>
    <w:rsid w:val="08450ABA"/>
    <w:rsid w:val="08661194"/>
    <w:rsid w:val="08A44999"/>
    <w:rsid w:val="08B30BF9"/>
    <w:rsid w:val="0974768D"/>
    <w:rsid w:val="099049E4"/>
    <w:rsid w:val="09D90F94"/>
    <w:rsid w:val="0A0A50DA"/>
    <w:rsid w:val="0A60206A"/>
    <w:rsid w:val="0AAB5DED"/>
    <w:rsid w:val="0B8B2B4E"/>
    <w:rsid w:val="0BD821A9"/>
    <w:rsid w:val="0CDD0315"/>
    <w:rsid w:val="0D5E7577"/>
    <w:rsid w:val="0E553379"/>
    <w:rsid w:val="0E8E725C"/>
    <w:rsid w:val="0EAF0CA3"/>
    <w:rsid w:val="0F574862"/>
    <w:rsid w:val="0F884316"/>
    <w:rsid w:val="109A611D"/>
    <w:rsid w:val="123D5D63"/>
    <w:rsid w:val="127A1CCA"/>
    <w:rsid w:val="129051DB"/>
    <w:rsid w:val="140847D9"/>
    <w:rsid w:val="1618147D"/>
    <w:rsid w:val="1646646C"/>
    <w:rsid w:val="16AF599F"/>
    <w:rsid w:val="16CD02A6"/>
    <w:rsid w:val="17284383"/>
    <w:rsid w:val="172B1058"/>
    <w:rsid w:val="17A10995"/>
    <w:rsid w:val="17A45EC4"/>
    <w:rsid w:val="18485837"/>
    <w:rsid w:val="1886466E"/>
    <w:rsid w:val="192E50FC"/>
    <w:rsid w:val="1AFD0054"/>
    <w:rsid w:val="1B802235"/>
    <w:rsid w:val="1C105394"/>
    <w:rsid w:val="1CA02FE9"/>
    <w:rsid w:val="1D2109ED"/>
    <w:rsid w:val="1DAA4D46"/>
    <w:rsid w:val="1F1753B0"/>
    <w:rsid w:val="1F376FD9"/>
    <w:rsid w:val="1FEA1D70"/>
    <w:rsid w:val="202C0CBF"/>
    <w:rsid w:val="2189487A"/>
    <w:rsid w:val="21B54440"/>
    <w:rsid w:val="23715BBB"/>
    <w:rsid w:val="24960D9E"/>
    <w:rsid w:val="287F63AE"/>
    <w:rsid w:val="294D5EE3"/>
    <w:rsid w:val="299661EF"/>
    <w:rsid w:val="2A1913B8"/>
    <w:rsid w:val="2C210496"/>
    <w:rsid w:val="2C751B0B"/>
    <w:rsid w:val="2CB52EB1"/>
    <w:rsid w:val="2D08779F"/>
    <w:rsid w:val="2E2A366D"/>
    <w:rsid w:val="2E4962AA"/>
    <w:rsid w:val="2E6D66BA"/>
    <w:rsid w:val="2E725EDF"/>
    <w:rsid w:val="2EF479FA"/>
    <w:rsid w:val="2F5755F2"/>
    <w:rsid w:val="2FC0689C"/>
    <w:rsid w:val="349E66FF"/>
    <w:rsid w:val="35CD25D7"/>
    <w:rsid w:val="35DD017E"/>
    <w:rsid w:val="3652764B"/>
    <w:rsid w:val="37851FA0"/>
    <w:rsid w:val="37D85345"/>
    <w:rsid w:val="38093A2F"/>
    <w:rsid w:val="3833022D"/>
    <w:rsid w:val="39C327A0"/>
    <w:rsid w:val="39DE2276"/>
    <w:rsid w:val="3A455206"/>
    <w:rsid w:val="3ABE755B"/>
    <w:rsid w:val="3B286FBB"/>
    <w:rsid w:val="3B85767A"/>
    <w:rsid w:val="3D607C5E"/>
    <w:rsid w:val="3E5F5410"/>
    <w:rsid w:val="3EF93D23"/>
    <w:rsid w:val="3F5D12BF"/>
    <w:rsid w:val="3FDD186E"/>
    <w:rsid w:val="40383812"/>
    <w:rsid w:val="42755E16"/>
    <w:rsid w:val="42C823F0"/>
    <w:rsid w:val="42E46D04"/>
    <w:rsid w:val="43716C3F"/>
    <w:rsid w:val="43F35D1E"/>
    <w:rsid w:val="44605B72"/>
    <w:rsid w:val="462630AF"/>
    <w:rsid w:val="47F81429"/>
    <w:rsid w:val="49F532AF"/>
    <w:rsid w:val="4A231243"/>
    <w:rsid w:val="4ABE1B02"/>
    <w:rsid w:val="4B0A31E8"/>
    <w:rsid w:val="4CC1798F"/>
    <w:rsid w:val="50745379"/>
    <w:rsid w:val="50AF2509"/>
    <w:rsid w:val="51CB3718"/>
    <w:rsid w:val="51EF473F"/>
    <w:rsid w:val="53CE2B61"/>
    <w:rsid w:val="541A4333"/>
    <w:rsid w:val="54A931A5"/>
    <w:rsid w:val="54B13F13"/>
    <w:rsid w:val="54B154FC"/>
    <w:rsid w:val="54D6545A"/>
    <w:rsid w:val="56B629A6"/>
    <w:rsid w:val="57951212"/>
    <w:rsid w:val="59445F53"/>
    <w:rsid w:val="59DB2122"/>
    <w:rsid w:val="5A8D01B3"/>
    <w:rsid w:val="5A8F7A8D"/>
    <w:rsid w:val="5B1F083E"/>
    <w:rsid w:val="5BFF5478"/>
    <w:rsid w:val="5C7B1F08"/>
    <w:rsid w:val="5D637089"/>
    <w:rsid w:val="5E7972AA"/>
    <w:rsid w:val="5FE30F4B"/>
    <w:rsid w:val="61DD2D4F"/>
    <w:rsid w:val="633467CD"/>
    <w:rsid w:val="63C7264A"/>
    <w:rsid w:val="64EE3ED4"/>
    <w:rsid w:val="65AA2450"/>
    <w:rsid w:val="66CC59EE"/>
    <w:rsid w:val="6B324C1A"/>
    <w:rsid w:val="6BAE7421"/>
    <w:rsid w:val="6C783224"/>
    <w:rsid w:val="6CA137BB"/>
    <w:rsid w:val="6CAF441F"/>
    <w:rsid w:val="6CBD31FA"/>
    <w:rsid w:val="6D4475F2"/>
    <w:rsid w:val="6DEA79FB"/>
    <w:rsid w:val="6E972CD2"/>
    <w:rsid w:val="6EC07EFD"/>
    <w:rsid w:val="6F731E9E"/>
    <w:rsid w:val="6FA31FDF"/>
    <w:rsid w:val="6FEE5FC2"/>
    <w:rsid w:val="713133E4"/>
    <w:rsid w:val="73C66D00"/>
    <w:rsid w:val="74DC53CB"/>
    <w:rsid w:val="76644FEF"/>
    <w:rsid w:val="7889131C"/>
    <w:rsid w:val="78A30B46"/>
    <w:rsid w:val="79EB31BD"/>
    <w:rsid w:val="7B2D2AD8"/>
    <w:rsid w:val="7C1A21DC"/>
    <w:rsid w:val="7C3549F1"/>
    <w:rsid w:val="7D352CD5"/>
    <w:rsid w:val="7D353E83"/>
    <w:rsid w:val="7F6E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16"/>
        <o:r id="V:Rule2" type="connector" idref="#AutoShape 1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四号 段前: 0 磅 段后: 0 磅 行距: 1.5 倍行距"/>
    <w:basedOn w:val="3"/>
    <w:next w:val="1"/>
    <w:qFormat/>
    <w:uiPriority w:val="0"/>
    <w:pPr>
      <w:keepLines/>
      <w:spacing w:before="340" w:after="330"/>
      <w:jc w:val="center"/>
    </w:pPr>
    <w:rPr>
      <w:rFonts w:ascii="Calibri" w:hAnsi="黑体"/>
      <w:b/>
      <w:kern w:val="44"/>
      <w:sz w:val="21"/>
      <w:szCs w:val="24"/>
    </w:rPr>
  </w:style>
  <w:style w:type="paragraph" w:customStyle="1" w:styleId="3">
    <w:name w:val="1正文"/>
    <w:basedOn w:val="1"/>
    <w:qFormat/>
    <w:uiPriority w:val="0"/>
    <w:pPr>
      <w:ind w:firstLine="1044"/>
    </w:pPr>
    <w:rPr>
      <w:szCs w:val="30"/>
    </w:rPr>
  </w:style>
  <w:style w:type="paragraph" w:styleId="6">
    <w:name w:val="Normal Indent"/>
    <w:basedOn w:val="1"/>
    <w:qFormat/>
    <w:uiPriority w:val="0"/>
    <w:pPr>
      <w:widowControl/>
      <w:spacing w:before="100" w:beforeAutospacing="1" w:after="100" w:afterAutospacing="1"/>
      <w:jc w:val="left"/>
    </w:pPr>
    <w:rPr>
      <w:rFonts w:ascii="Arial Unicode MS" w:hAnsi="Arial Unicode MS" w:eastAsia="Arial Unicode MS" w:cs="Arial Unicode MS"/>
      <w:kern w:val="0"/>
    </w:rPr>
  </w:style>
  <w:style w:type="paragraph" w:styleId="7">
    <w:name w:val="Document Map"/>
    <w:basedOn w:val="1"/>
    <w:link w:val="43"/>
    <w:qFormat/>
    <w:uiPriority w:val="0"/>
    <w:rPr>
      <w:rFonts w:ascii="宋体"/>
      <w:sz w:val="18"/>
      <w:szCs w:val="18"/>
    </w:rPr>
  </w:style>
  <w:style w:type="paragraph" w:styleId="8">
    <w:name w:val="annotation text"/>
    <w:basedOn w:val="1"/>
    <w:link w:val="44"/>
    <w:qFormat/>
    <w:uiPriority w:val="0"/>
    <w:pPr>
      <w:jc w:val="left"/>
    </w:pPr>
  </w:style>
  <w:style w:type="paragraph" w:styleId="9">
    <w:name w:val="Body Text"/>
    <w:basedOn w:val="1"/>
    <w:link w:val="40"/>
    <w:qFormat/>
    <w:uiPriority w:val="0"/>
  </w:style>
  <w:style w:type="paragraph" w:styleId="10">
    <w:name w:val="Body Text Indent"/>
    <w:basedOn w:val="1"/>
    <w:next w:val="11"/>
    <w:qFormat/>
    <w:uiPriority w:val="0"/>
    <w:pPr>
      <w:ind w:firstLine="538" w:firstLineChars="192"/>
    </w:pPr>
    <w:rPr>
      <w:rFonts w:ascii="Tahoma"/>
      <w:kern w:val="0"/>
      <w:sz w:val="22"/>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index heading"/>
    <w:basedOn w:val="1"/>
    <w:next w:val="13"/>
    <w:qFormat/>
    <w:uiPriority w:val="0"/>
    <w:rPr>
      <w:rFonts w:ascii="宋体"/>
      <w:bCs/>
    </w:rPr>
  </w:style>
  <w:style w:type="paragraph" w:styleId="13">
    <w:name w:val="index 1"/>
    <w:basedOn w:val="1"/>
    <w:next w:val="1"/>
    <w:qFormat/>
    <w:uiPriority w:val="0"/>
    <w:rPr>
      <w:szCs w:val="20"/>
    </w:rPr>
  </w:style>
  <w:style w:type="paragraph" w:styleId="14">
    <w:name w:val="Plain Text"/>
    <w:basedOn w:val="1"/>
    <w:qFormat/>
    <w:uiPriority w:val="0"/>
    <w:pPr>
      <w:spacing w:line="240" w:lineRule="atLeast"/>
    </w:pPr>
    <w:rPr>
      <w:rFonts w:ascii="宋体" w:hAnsi="Courier New"/>
      <w:sz w:val="28"/>
      <w:szCs w:val="21"/>
    </w:rPr>
  </w:style>
  <w:style w:type="paragraph" w:styleId="15">
    <w:name w:val="Body Text Indent 2"/>
    <w:basedOn w:val="1"/>
    <w:next w:val="1"/>
    <w:qFormat/>
    <w:uiPriority w:val="0"/>
    <w:pPr>
      <w:ind w:firstLine="567"/>
      <w:jc w:val="left"/>
    </w:pPr>
  </w:style>
  <w:style w:type="paragraph" w:styleId="16">
    <w:name w:val="Balloon Text"/>
    <w:basedOn w:val="1"/>
    <w:link w:val="46"/>
    <w:qFormat/>
    <w:uiPriority w:val="0"/>
    <w:pPr>
      <w:spacing w:line="240" w:lineRule="auto"/>
    </w:pPr>
    <w:rPr>
      <w:sz w:val="18"/>
      <w:szCs w:val="18"/>
    </w:rPr>
  </w:style>
  <w:style w:type="paragraph" w:styleId="17">
    <w:name w:val="footer"/>
    <w:basedOn w:val="1"/>
    <w:unhideWhenUsed/>
    <w:qFormat/>
    <w:uiPriority w:val="99"/>
    <w:pPr>
      <w:tabs>
        <w:tab w:val="center" w:pos="4153"/>
        <w:tab w:val="right" w:pos="8306"/>
      </w:tabs>
      <w:snapToGrid w:val="0"/>
      <w:jc w:val="left"/>
    </w:pPr>
    <w:rPr>
      <w:sz w:val="18"/>
    </w:rPr>
  </w:style>
  <w:style w:type="paragraph" w:styleId="18">
    <w:name w:val="Body Text 2"/>
    <w:basedOn w:val="1"/>
    <w:qFormat/>
    <w:uiPriority w:val="0"/>
    <w:pPr>
      <w:widowControl/>
      <w:jc w:val="left"/>
    </w:pPr>
    <w:rPr>
      <w:sz w:val="28"/>
      <w:szCs w:val="20"/>
    </w:rPr>
  </w:style>
  <w:style w:type="paragraph" w:styleId="19">
    <w:name w:val="annotation subject"/>
    <w:basedOn w:val="8"/>
    <w:next w:val="8"/>
    <w:link w:val="45"/>
    <w:qFormat/>
    <w:uiPriority w:val="0"/>
    <w:rPr>
      <w:b/>
      <w:bCs/>
    </w:rPr>
  </w:style>
  <w:style w:type="paragraph" w:styleId="20">
    <w:name w:val="Body Text First Indent"/>
    <w:basedOn w:val="9"/>
    <w:next w:val="1"/>
    <w:qFormat/>
    <w:uiPriority w:val="0"/>
    <w:pPr>
      <w:ind w:firstLine="420" w:firstLineChars="100"/>
    </w:pPr>
    <w:rPr>
      <w:sz w:val="21"/>
    </w:rPr>
  </w:style>
  <w:style w:type="paragraph" w:styleId="21">
    <w:name w:val="Body Text First Indent 2"/>
    <w:basedOn w:val="10"/>
    <w:next w:val="20"/>
    <w:qFormat/>
    <w:uiPriority w:val="0"/>
    <w:pPr>
      <w:ind w:firstLine="562" w:firstLineChars="200"/>
    </w:pPr>
    <w:rPr>
      <w:rFonts w:hAnsi="Tahoma"/>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annotation reference"/>
    <w:qFormat/>
    <w:uiPriority w:val="99"/>
    <w:rPr>
      <w:sz w:val="21"/>
      <w:szCs w:val="21"/>
    </w:rPr>
  </w:style>
  <w:style w:type="paragraph" w:customStyle="1" w:styleId="27">
    <w:name w:val="正本文字"/>
    <w:basedOn w:val="1"/>
    <w:qFormat/>
    <w:uiPriority w:val="0"/>
    <w:pPr>
      <w:adjustRightInd w:val="0"/>
      <w:snapToGrid w:val="0"/>
      <w:ind w:firstLine="200"/>
      <w:jc w:val="left"/>
    </w:pPr>
    <w:rPr>
      <w:rFonts w:cs="宋体"/>
      <w:kern w:val="18"/>
      <w:szCs w:val="20"/>
    </w:rPr>
  </w:style>
  <w:style w:type="paragraph" w:customStyle="1" w:styleId="28">
    <w:name w:val="表格"/>
    <w:basedOn w:val="1"/>
    <w:qFormat/>
    <w:uiPriority w:val="0"/>
    <w:pPr>
      <w:adjustRightInd w:val="0"/>
      <w:jc w:val="center"/>
    </w:pPr>
  </w:style>
  <w:style w:type="paragraph" w:customStyle="1" w:styleId="29">
    <w:name w:val="0"/>
    <w:basedOn w:val="1"/>
    <w:qFormat/>
    <w:uiPriority w:val="0"/>
    <w:pPr>
      <w:widowControl/>
      <w:snapToGrid w:val="0"/>
    </w:pPr>
    <w:rPr>
      <w:kern w:val="0"/>
      <w:szCs w:val="20"/>
    </w:rPr>
  </w:style>
  <w:style w:type="character" w:customStyle="1" w:styleId="30">
    <w:name w:val="font41"/>
    <w:basedOn w:val="24"/>
    <w:qFormat/>
    <w:uiPriority w:val="0"/>
    <w:rPr>
      <w:rFonts w:hint="default" w:ascii="Times New Roman" w:hAnsi="Times New Roman" w:cs="Times New Roman"/>
      <w:b/>
      <w:color w:val="0000FF"/>
      <w:sz w:val="21"/>
      <w:szCs w:val="21"/>
      <w:u w:val="none"/>
    </w:rPr>
  </w:style>
  <w:style w:type="character" w:customStyle="1" w:styleId="31">
    <w:name w:val="font11"/>
    <w:basedOn w:val="24"/>
    <w:qFormat/>
    <w:uiPriority w:val="0"/>
    <w:rPr>
      <w:rFonts w:hint="default" w:ascii="Times New Roman" w:hAnsi="Times New Roman" w:cs="Times New Roman"/>
      <w:b/>
      <w:color w:val="0000FF"/>
      <w:sz w:val="21"/>
      <w:szCs w:val="21"/>
      <w:u w:val="none"/>
      <w:vertAlign w:val="superscript"/>
    </w:rPr>
  </w:style>
  <w:style w:type="paragraph" w:customStyle="1" w:styleId="32">
    <w:name w:val="样式 样式 小四 段前: 7.8 磅 段后: 7.8 磅 行距: 1.5 倍行距 + 首行缩进:  2 字符"/>
    <w:basedOn w:val="1"/>
    <w:qFormat/>
    <w:uiPriority w:val="0"/>
    <w:pPr>
      <w:ind w:firstLine="480"/>
    </w:pPr>
  </w:style>
  <w:style w:type="paragraph" w:customStyle="1" w:styleId="33">
    <w:name w:val="Table Paragraph"/>
    <w:basedOn w:val="1"/>
    <w:qFormat/>
    <w:uiPriority w:val="1"/>
    <w:pPr>
      <w:jc w:val="center"/>
    </w:pPr>
    <w:rPr>
      <w:rFonts w:ascii="宋体" w:hAnsi="宋体" w:cs="宋体"/>
    </w:rPr>
  </w:style>
  <w:style w:type="paragraph" w:styleId="34">
    <w:name w:val="No Spacing"/>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啊"/>
    <w:basedOn w:val="34"/>
    <w:qFormat/>
    <w:uiPriority w:val="0"/>
    <w:pPr>
      <w:spacing w:line="360" w:lineRule="auto"/>
      <w:ind w:firstLine="200" w:firstLineChars="200"/>
    </w:pPr>
    <w:rPr>
      <w:sz w:val="24"/>
      <w:szCs w:val="22"/>
    </w:rPr>
  </w:style>
  <w:style w:type="paragraph" w:customStyle="1" w:styleId="36">
    <w:name w:val="正常段落"/>
    <w:basedOn w:val="6"/>
    <w:qFormat/>
    <w:uiPriority w:val="0"/>
    <w:pPr>
      <w:widowControl w:val="0"/>
      <w:spacing w:before="0" w:beforeAutospacing="0" w:after="0" w:afterAutospacing="0" w:line="440" w:lineRule="exact"/>
      <w:ind w:firstLine="420"/>
      <w:jc w:val="both"/>
    </w:pPr>
    <w:rPr>
      <w:rFonts w:ascii="宋体" w:hAnsiTheme="minorHAnsi" w:eastAsiaTheme="minorEastAsia" w:cstheme="minorBidi"/>
      <w:kern w:val="2"/>
      <w:szCs w:val="22"/>
    </w:rPr>
  </w:style>
  <w:style w:type="paragraph" w:customStyle="1" w:styleId="37">
    <w:name w:val="表格小四"/>
    <w:qFormat/>
    <w:uiPriority w:val="0"/>
    <w:pPr>
      <w:jc w:val="center"/>
    </w:pPr>
    <w:rPr>
      <w:rFonts w:ascii="Times New Roman" w:hAnsi="Times New Roman" w:eastAsia="仿宋_GB2312" w:cs="Times New Roman"/>
      <w:kern w:val="2"/>
      <w:sz w:val="24"/>
      <w:szCs w:val="21"/>
      <w:lang w:val="en-US" w:eastAsia="zh-CN" w:bidi="ar-SA"/>
    </w:rPr>
  </w:style>
  <w:style w:type="paragraph" w:customStyle="1" w:styleId="38">
    <w:name w:val="ZM"/>
    <w:basedOn w:val="1"/>
    <w:qFormat/>
    <w:uiPriority w:val="0"/>
    <w:pPr>
      <w:autoSpaceDE w:val="0"/>
      <w:autoSpaceDN w:val="0"/>
      <w:adjustRightInd w:val="0"/>
      <w:spacing w:line="480" w:lineRule="exact"/>
      <w:ind w:firstLine="520"/>
      <w:jc w:val="left"/>
    </w:pPr>
    <w:rPr>
      <w:rFonts w:hAnsi="宋体"/>
      <w:color w:val="00B0F0"/>
      <w:kern w:val="0"/>
      <w:sz w:val="26"/>
      <w:szCs w:val="26"/>
    </w:rPr>
  </w:style>
  <w:style w:type="paragraph" w:customStyle="1" w:styleId="39">
    <w:name w:val="LH样式"/>
    <w:basedOn w:val="1"/>
    <w:qFormat/>
    <w:uiPriority w:val="0"/>
    <w:pPr>
      <w:spacing w:line="480" w:lineRule="exact"/>
      <w:ind w:firstLine="520"/>
    </w:pPr>
    <w:rPr>
      <w:color w:val="00B0F0"/>
      <w:sz w:val="26"/>
      <w:szCs w:val="26"/>
    </w:rPr>
  </w:style>
  <w:style w:type="character" w:customStyle="1" w:styleId="40">
    <w:name w:val="正文文本 Char"/>
    <w:basedOn w:val="24"/>
    <w:link w:val="9"/>
    <w:qFormat/>
    <w:uiPriority w:val="0"/>
  </w:style>
  <w:style w:type="paragraph" w:customStyle="1" w:styleId="41">
    <w:name w:val="【正文】123"/>
    <w:basedOn w:val="1"/>
    <w:qFormat/>
    <w:uiPriority w:val="0"/>
    <w:pPr>
      <w:spacing w:line="480" w:lineRule="exact"/>
      <w:ind w:firstLine="560"/>
      <w:jc w:val="left"/>
    </w:pPr>
    <w:rPr>
      <w:rFonts w:cs="宋体"/>
      <w:sz w:val="26"/>
      <w:szCs w:val="20"/>
    </w:rPr>
  </w:style>
  <w:style w:type="character" w:customStyle="1" w:styleId="42">
    <w:name w:val="datailsinfodatatitle1"/>
    <w:basedOn w:val="24"/>
    <w:qFormat/>
    <w:uiPriority w:val="0"/>
    <w:rPr>
      <w:b/>
      <w:sz w:val="27"/>
      <w:szCs w:val="27"/>
    </w:rPr>
  </w:style>
  <w:style w:type="character" w:customStyle="1" w:styleId="43">
    <w:name w:val="文档结构图 Char"/>
    <w:basedOn w:val="24"/>
    <w:link w:val="7"/>
    <w:qFormat/>
    <w:uiPriority w:val="0"/>
    <w:rPr>
      <w:rFonts w:ascii="宋体"/>
      <w:kern w:val="2"/>
      <w:sz w:val="18"/>
      <w:szCs w:val="18"/>
    </w:rPr>
  </w:style>
  <w:style w:type="character" w:customStyle="1" w:styleId="44">
    <w:name w:val="批注文字 Char"/>
    <w:basedOn w:val="24"/>
    <w:link w:val="8"/>
    <w:qFormat/>
    <w:uiPriority w:val="0"/>
    <w:rPr>
      <w:kern w:val="2"/>
      <w:sz w:val="24"/>
      <w:szCs w:val="24"/>
    </w:rPr>
  </w:style>
  <w:style w:type="character" w:customStyle="1" w:styleId="45">
    <w:name w:val="批注主题 Char"/>
    <w:basedOn w:val="44"/>
    <w:link w:val="19"/>
    <w:qFormat/>
    <w:uiPriority w:val="0"/>
    <w:rPr>
      <w:kern w:val="2"/>
      <w:sz w:val="24"/>
      <w:szCs w:val="24"/>
    </w:rPr>
  </w:style>
  <w:style w:type="character" w:customStyle="1" w:styleId="46">
    <w:name w:val="批注框文本 Char"/>
    <w:basedOn w:val="24"/>
    <w:link w:val="16"/>
    <w:qFormat/>
    <w:uiPriority w:val="0"/>
    <w:rPr>
      <w:kern w:val="2"/>
      <w:sz w:val="18"/>
      <w:szCs w:val="18"/>
    </w:rPr>
  </w:style>
  <w:style w:type="paragraph" w:customStyle="1" w:styleId="47">
    <w:name w:val="WPSOffice手动目录 1"/>
    <w:qFormat/>
    <w:uiPriority w:val="0"/>
    <w:rPr>
      <w:rFonts w:eastAsia="微软雅黑" w:asciiTheme="minorHAnsi" w:hAnsiTheme="minorHAnsi"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1.png"/><Relationship Id="rId34" Type="http://schemas.openxmlformats.org/officeDocument/2006/relationships/image" Target="media/image10.png"/><Relationship Id="rId33" Type="http://schemas.openxmlformats.org/officeDocument/2006/relationships/image" Target="media/image9.png"/><Relationship Id="rId32" Type="http://schemas.openxmlformats.org/officeDocument/2006/relationships/image" Target="media/image8.png"/><Relationship Id="rId31" Type="http://schemas.openxmlformats.org/officeDocument/2006/relationships/image" Target="media/image7.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6.emf"/><Relationship Id="rId28" Type="http://schemas.openxmlformats.org/officeDocument/2006/relationships/oleObject" Target="embeddings/oleObject6.bin"/><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emf"/><Relationship Id="rId22" Type="http://schemas.openxmlformats.org/officeDocument/2006/relationships/oleObject" Target="embeddings/oleObject3.bin"/><Relationship Id="rId21" Type="http://schemas.openxmlformats.org/officeDocument/2006/relationships/image" Target="media/image2.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651D9-E388-4420-B823-2D6A716B6A75}">
  <ds:schemaRefs/>
</ds:datastoreItem>
</file>

<file path=docProps/app.xml><?xml version="1.0" encoding="utf-8"?>
<Properties xmlns="http://schemas.openxmlformats.org/officeDocument/2006/extended-properties" xmlns:vt="http://schemas.openxmlformats.org/officeDocument/2006/docPropsVTypes">
  <Template>Normal</Template>
  <Pages>68</Pages>
  <Words>6906</Words>
  <Characters>39370</Characters>
  <Lines>328</Lines>
  <Paragraphs>92</Paragraphs>
  <TotalTime>14</TotalTime>
  <ScaleCrop>false</ScaleCrop>
  <LinksUpToDate>false</LinksUpToDate>
  <CharactersWithSpaces>46184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2020-11-03T07:15:00Z</dcterms:created>
  <dc:creator>徐瑾</dc:creator>
  <cp:lastModifiedBy>徐瑾</cp:lastModifiedBy>
  <dcterms:modified xsi:type="dcterms:W3CDTF">2020-12-30T09:12:07Z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