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1" w:hanging="1"/>
        <w:jc w:val="center"/>
        <w:rPr>
          <w:rFonts w:ascii="方正小标宋简体" w:eastAsia="方正小标宋简体"/>
          <w:sz w:val="44"/>
          <w:szCs w:val="44"/>
        </w:rPr>
      </w:pPr>
      <w:bookmarkStart w:id="0" w:name="_GoBack"/>
      <w:r>
        <w:rPr>
          <w:rFonts w:hint="eastAsia" w:ascii="方正小标宋简体" w:eastAsia="方正小标宋简体"/>
          <w:sz w:val="44"/>
          <w:szCs w:val="44"/>
        </w:rPr>
        <w:t>2019年宜良县水污染防治工作目标任务</w:t>
      </w:r>
      <w:bookmarkEnd w:id="0"/>
    </w:p>
    <w:p>
      <w:pPr>
        <w:spacing w:line="560" w:lineRule="exact"/>
        <w:ind w:left="1" w:firstLine="640" w:firstLineChars="200"/>
        <w:rPr>
          <w:rFonts w:eastAsia="仿宋_GB2312"/>
          <w:sz w:val="32"/>
          <w:szCs w:val="84"/>
        </w:rPr>
      </w:pPr>
    </w:p>
    <w:p>
      <w:pPr>
        <w:spacing w:line="560" w:lineRule="exact"/>
        <w:ind w:firstLine="640" w:firstLineChars="200"/>
        <w:rPr>
          <w:rFonts w:eastAsia="仿宋_GB2312"/>
          <w:sz w:val="32"/>
          <w:szCs w:val="84"/>
        </w:rPr>
      </w:pPr>
      <w:r>
        <w:rPr>
          <w:rFonts w:hint="eastAsia" w:eastAsia="仿宋_GB2312"/>
          <w:sz w:val="32"/>
          <w:szCs w:val="84"/>
        </w:rPr>
        <w:t>为贯彻落实国家、省、市三级生态环境保护大会精神，全力推进中央环境保护督察“回头看”及高原湖泊环境问题专项督察反馈意见和省委、省政府指出问题的整改落实，根据《昆明市人民政府关于印发昆明市水污染防治实施方案的通知》（昆政发〔2016〕46号）要求，结合《中共昆明市委、昆明市人民政府关于全面加强生态环境保护坚决打好污染防治攻坚战的实施意见》（昆发〔2018〕20号）、《昆明市人民政府关于印发昆明市打赢碧水保卫战三年行动实施方案的通知》（昆政发〔2018〕54号）、《昆明市人民政府关于印发滇池保护治理三年攻坚行动实施方案（2018—2020年）的通知》（昆政发〔2018〕11号）以及重点流域水体达标方案工作要求，现将2019年水污染防治工作目标任务明确如下：</w:t>
      </w:r>
    </w:p>
    <w:p>
      <w:pPr>
        <w:spacing w:line="560" w:lineRule="exact"/>
        <w:ind w:firstLine="640" w:firstLineChars="200"/>
        <w:rPr>
          <w:rFonts w:ascii="黑体" w:hAnsi="黑体" w:eastAsia="黑体"/>
          <w:sz w:val="32"/>
          <w:szCs w:val="84"/>
        </w:rPr>
      </w:pPr>
      <w:r>
        <w:rPr>
          <w:rFonts w:hint="eastAsia" w:ascii="黑体" w:hAnsi="黑体" w:eastAsia="黑体"/>
          <w:sz w:val="32"/>
          <w:szCs w:val="84"/>
        </w:rPr>
        <w:t>一、指导思想</w:t>
      </w:r>
    </w:p>
    <w:p>
      <w:pPr>
        <w:spacing w:line="560" w:lineRule="exact"/>
        <w:ind w:firstLine="640" w:firstLineChars="200"/>
        <w:rPr>
          <w:rFonts w:eastAsia="仿宋_GB2312"/>
          <w:sz w:val="32"/>
          <w:szCs w:val="84"/>
        </w:rPr>
      </w:pPr>
      <w:r>
        <w:rPr>
          <w:rFonts w:hint="eastAsia" w:eastAsia="仿宋_GB2312"/>
          <w:sz w:val="32"/>
          <w:szCs w:val="84"/>
        </w:rPr>
        <w:t>以习近平新时代中国特色社会主义思想为指导，全面贯彻落实党的十九大精神，牢固树立“四个意识”，坚定“四个自信”，坚决做到“两个维护”。深入学习贯彻习近平生态文明思想，切实提高政治站位，紧紧围绕全面建成小康社会决胜期打好污染防治攻坚战的要求，严格执行党中央、省委、市委、县委关于生态文明建设和环境保护工作的决策部署，以水环境质量改善为核心，坚持“节水优先、空间均衡、系统治理、两手发力”的治水方针，按照“量水发展、以水定城、科学治理、系统治理”的原则，强化源头控制，水陆统筹，河湖兼顾，系统推进水污染防治。坚持政府市场协同，注重改革创新；坚持全面依法推进，实行最严格环保制度；坚持落实各方责任，严格考核问责；坚持全民参与，推动节水洁水人人有责。切实打好水污染防治攻坚战。</w:t>
      </w:r>
    </w:p>
    <w:p>
      <w:pPr>
        <w:spacing w:line="560" w:lineRule="exact"/>
        <w:ind w:firstLine="640" w:firstLineChars="200"/>
        <w:rPr>
          <w:rFonts w:ascii="黑体" w:hAnsi="黑体" w:eastAsia="黑体"/>
          <w:sz w:val="32"/>
          <w:szCs w:val="84"/>
        </w:rPr>
      </w:pPr>
      <w:r>
        <w:rPr>
          <w:rFonts w:hint="eastAsia" w:ascii="黑体" w:hAnsi="黑体" w:eastAsia="黑体"/>
          <w:sz w:val="32"/>
          <w:szCs w:val="84"/>
        </w:rPr>
        <w:t>二、年度目标</w:t>
      </w:r>
    </w:p>
    <w:p>
      <w:pPr>
        <w:spacing w:line="560" w:lineRule="exact"/>
        <w:ind w:firstLine="640" w:firstLineChars="200"/>
        <w:rPr>
          <w:rFonts w:ascii="楷体_GB2312" w:eastAsia="楷体_GB2312"/>
          <w:sz w:val="32"/>
          <w:szCs w:val="84"/>
        </w:rPr>
      </w:pPr>
      <w:r>
        <w:rPr>
          <w:rFonts w:hint="eastAsia" w:ascii="楷体_GB2312" w:eastAsia="楷体_GB2312"/>
          <w:sz w:val="32"/>
          <w:szCs w:val="84"/>
        </w:rPr>
        <w:t>（一）总体目标</w:t>
      </w:r>
    </w:p>
    <w:p>
      <w:pPr>
        <w:spacing w:line="560" w:lineRule="exact"/>
        <w:ind w:firstLine="640" w:firstLineChars="200"/>
        <w:rPr>
          <w:rFonts w:eastAsia="仿宋_GB2312"/>
          <w:sz w:val="32"/>
          <w:szCs w:val="84"/>
        </w:rPr>
      </w:pPr>
      <w:r>
        <w:rPr>
          <w:rFonts w:hint="eastAsia" w:eastAsia="仿宋_GB2312"/>
          <w:sz w:val="32"/>
          <w:szCs w:val="84"/>
        </w:rPr>
        <w:t>到2019年底，纳入国家和省考核的水体断面中地表水优良水体比例达到100%以上。集中式饮用水水源水质稳中向好，地下水质量保持稳定。</w:t>
      </w:r>
    </w:p>
    <w:p>
      <w:pPr>
        <w:spacing w:line="560" w:lineRule="exact"/>
        <w:ind w:firstLine="640" w:firstLineChars="200"/>
        <w:rPr>
          <w:rFonts w:ascii="楷体_GB2312" w:eastAsia="楷体_GB2312"/>
          <w:sz w:val="32"/>
          <w:szCs w:val="84"/>
        </w:rPr>
      </w:pPr>
      <w:r>
        <w:rPr>
          <w:rFonts w:hint="eastAsia" w:ascii="楷体_GB2312" w:eastAsia="楷体_GB2312"/>
          <w:sz w:val="32"/>
          <w:szCs w:val="84"/>
        </w:rPr>
        <w:t>（二）具体目标</w:t>
      </w:r>
    </w:p>
    <w:p>
      <w:pPr>
        <w:spacing w:line="560" w:lineRule="exact"/>
        <w:ind w:firstLine="640" w:firstLineChars="200"/>
        <w:rPr>
          <w:rFonts w:eastAsia="仿宋_GB2312"/>
          <w:sz w:val="32"/>
          <w:szCs w:val="84"/>
        </w:rPr>
      </w:pPr>
      <w:r>
        <w:rPr>
          <w:rFonts w:hint="eastAsia" w:eastAsia="仿宋_GB2312"/>
          <w:sz w:val="32"/>
          <w:szCs w:val="84"/>
        </w:rPr>
        <w:t>到20</w:t>
      </w:r>
      <w:r>
        <w:rPr>
          <w:rFonts w:eastAsia="仿宋_GB2312"/>
          <w:sz w:val="32"/>
          <w:szCs w:val="84"/>
        </w:rPr>
        <w:t>19年底，</w:t>
      </w:r>
      <w:r>
        <w:rPr>
          <w:rFonts w:hint="eastAsia" w:eastAsia="仿宋_GB2312"/>
          <w:sz w:val="32"/>
          <w:szCs w:val="84"/>
        </w:rPr>
        <w:t>南盘江-柴石滩坝下、獐子坝河-藏方闸断面、南盘江-大跌水坝下、巴江-下班庄村断面水质稳定达到</w:t>
      </w:r>
      <w:r>
        <w:rPr>
          <w:rFonts w:eastAsia="仿宋_GB2312"/>
          <w:sz w:val="32"/>
          <w:szCs w:val="84"/>
        </w:rPr>
        <w:t>Ⅱ类</w:t>
      </w:r>
      <w:r>
        <w:rPr>
          <w:rFonts w:hint="eastAsia" w:eastAsia="仿宋_GB2312"/>
          <w:sz w:val="32"/>
          <w:szCs w:val="84"/>
        </w:rPr>
        <w:t>，南盘江-禄丰村断面、柴石滩水库库头库中库尾水质稳定达到</w:t>
      </w:r>
      <w:r>
        <w:rPr>
          <w:rFonts w:eastAsia="仿宋_GB2312"/>
          <w:sz w:val="32"/>
          <w:szCs w:val="84"/>
        </w:rPr>
        <w:t>Ⅲ类</w:t>
      </w:r>
      <w:r>
        <w:rPr>
          <w:rFonts w:hint="eastAsia" w:eastAsia="仿宋_GB2312"/>
          <w:sz w:val="32"/>
          <w:szCs w:val="84"/>
        </w:rPr>
        <w:t>，南盘江-狗街断面水质持续好转。</w:t>
      </w:r>
    </w:p>
    <w:p>
      <w:pPr>
        <w:spacing w:line="560" w:lineRule="exact"/>
        <w:ind w:firstLine="640" w:firstLineChars="200"/>
        <w:rPr>
          <w:rFonts w:ascii="黑体" w:hAnsi="黑体" w:eastAsia="黑体"/>
          <w:sz w:val="32"/>
          <w:szCs w:val="84"/>
        </w:rPr>
      </w:pPr>
      <w:r>
        <w:rPr>
          <w:rFonts w:hint="eastAsia" w:ascii="黑体" w:hAnsi="黑体" w:eastAsia="黑体"/>
          <w:sz w:val="32"/>
          <w:szCs w:val="84"/>
        </w:rPr>
        <w:t>三、年度工作任务</w:t>
      </w:r>
    </w:p>
    <w:p>
      <w:pPr>
        <w:spacing w:line="560" w:lineRule="exact"/>
        <w:ind w:firstLine="640" w:firstLineChars="200"/>
        <w:rPr>
          <w:rFonts w:ascii="楷体_GB2312" w:eastAsia="楷体_GB2312"/>
          <w:sz w:val="32"/>
          <w:szCs w:val="84"/>
        </w:rPr>
      </w:pPr>
      <w:r>
        <w:rPr>
          <w:rFonts w:hint="eastAsia" w:ascii="楷体_GB2312" w:eastAsia="楷体_GB2312"/>
          <w:sz w:val="32"/>
          <w:szCs w:val="84"/>
        </w:rPr>
        <w:t>（一）坚决打好水污染防治攻坚战</w:t>
      </w:r>
    </w:p>
    <w:p>
      <w:pPr>
        <w:spacing w:line="560" w:lineRule="exact"/>
        <w:ind w:firstLine="643" w:firstLineChars="200"/>
        <w:rPr>
          <w:rFonts w:eastAsia="仿宋_GB2312"/>
          <w:b/>
          <w:sz w:val="32"/>
          <w:szCs w:val="84"/>
        </w:rPr>
      </w:pPr>
      <w:r>
        <w:rPr>
          <w:rFonts w:hint="eastAsia" w:eastAsia="仿宋_GB2312"/>
          <w:b/>
          <w:sz w:val="32"/>
          <w:szCs w:val="84"/>
        </w:rPr>
        <w:t>1.打好重点流域保护治理攻坚战</w:t>
      </w:r>
    </w:p>
    <w:p>
      <w:pPr>
        <w:spacing w:line="560" w:lineRule="exact"/>
        <w:ind w:firstLine="640" w:firstLineChars="200"/>
        <w:rPr>
          <w:rFonts w:eastAsia="仿宋_GB2312"/>
          <w:sz w:val="32"/>
          <w:szCs w:val="84"/>
        </w:rPr>
      </w:pPr>
      <w:r>
        <w:rPr>
          <w:rFonts w:hint="eastAsia" w:eastAsia="仿宋_GB2312"/>
          <w:sz w:val="32"/>
          <w:szCs w:val="84"/>
        </w:rPr>
        <w:t>（1）加强水质优良水体保护。持续开展南盘江优良水体的保护工作，坚持保护优先和自然恢复为主的方针，严格控制主要污染物总量。进一步加强生态保护建设和修复，防止生态环境退化。</w:t>
      </w:r>
    </w:p>
    <w:p>
      <w:pPr>
        <w:spacing w:line="560" w:lineRule="exact"/>
        <w:ind w:firstLine="640" w:firstLineChars="200"/>
        <w:rPr>
          <w:rFonts w:eastAsia="仿宋_GB2312"/>
          <w:sz w:val="32"/>
          <w:szCs w:val="84"/>
        </w:rPr>
      </w:pPr>
      <w:r>
        <w:rPr>
          <w:rFonts w:hint="eastAsia" w:eastAsia="仿宋_GB2312"/>
          <w:sz w:val="32"/>
          <w:szCs w:val="84"/>
        </w:rPr>
        <w:t>牵头责任单位：生态环境分局</w:t>
      </w:r>
    </w:p>
    <w:p>
      <w:pPr>
        <w:spacing w:line="560" w:lineRule="exact"/>
        <w:ind w:firstLine="640" w:firstLineChars="200"/>
        <w:rPr>
          <w:rFonts w:eastAsia="仿宋_GB2312"/>
          <w:sz w:val="32"/>
          <w:szCs w:val="84"/>
        </w:rPr>
      </w:pPr>
      <w:r>
        <w:rPr>
          <w:rFonts w:hint="eastAsia" w:eastAsia="仿宋_GB2312"/>
          <w:sz w:val="32"/>
          <w:szCs w:val="84"/>
        </w:rPr>
        <w:t>配合单位：县水务局、县发改局、县科技工信局、县财政局、县农业农村局、县林草局、宜良工业园区管委会、各乡镇（街道）</w:t>
      </w:r>
    </w:p>
    <w:p>
      <w:pPr>
        <w:spacing w:line="560" w:lineRule="exact"/>
        <w:ind w:firstLine="640" w:firstLineChars="200"/>
        <w:rPr>
          <w:rFonts w:eastAsia="仿宋_GB2312"/>
          <w:sz w:val="32"/>
          <w:szCs w:val="84"/>
        </w:rPr>
      </w:pPr>
      <w:r>
        <w:rPr>
          <w:rFonts w:hint="eastAsia" w:eastAsia="仿宋_GB2312"/>
          <w:sz w:val="32"/>
          <w:szCs w:val="84"/>
        </w:rPr>
        <w:t>（2）2019年底前，分类型分步骤有重点地开展排污口清理整治工作，全面完成南盘江排污口清理整治工作。</w:t>
      </w:r>
    </w:p>
    <w:p>
      <w:pPr>
        <w:spacing w:line="560" w:lineRule="exact"/>
        <w:ind w:firstLine="640" w:firstLineChars="200"/>
        <w:rPr>
          <w:rFonts w:eastAsia="仿宋_GB2312"/>
          <w:sz w:val="32"/>
          <w:szCs w:val="84"/>
        </w:rPr>
      </w:pPr>
      <w:r>
        <w:rPr>
          <w:rFonts w:hint="eastAsia" w:eastAsia="仿宋_GB2312"/>
          <w:sz w:val="32"/>
          <w:szCs w:val="84"/>
        </w:rPr>
        <w:t>牵头责任单位：县水务局、生态环境分局</w:t>
      </w:r>
    </w:p>
    <w:p>
      <w:pPr>
        <w:spacing w:line="560" w:lineRule="exact"/>
        <w:ind w:firstLine="640" w:firstLineChars="200"/>
        <w:rPr>
          <w:rFonts w:eastAsia="仿宋_GB2312"/>
          <w:sz w:val="32"/>
          <w:szCs w:val="84"/>
        </w:rPr>
      </w:pPr>
      <w:r>
        <w:rPr>
          <w:rFonts w:hint="eastAsia" w:eastAsia="仿宋_GB2312"/>
          <w:sz w:val="32"/>
          <w:szCs w:val="84"/>
        </w:rPr>
        <w:t>配合单位：县城管局、县住建局、各乡镇（街道）</w:t>
      </w:r>
    </w:p>
    <w:p>
      <w:pPr>
        <w:spacing w:line="560" w:lineRule="exact"/>
        <w:ind w:firstLine="643" w:firstLineChars="200"/>
        <w:rPr>
          <w:rFonts w:eastAsia="仿宋_GB2312"/>
          <w:b/>
          <w:sz w:val="32"/>
          <w:szCs w:val="84"/>
        </w:rPr>
      </w:pPr>
      <w:r>
        <w:rPr>
          <w:rFonts w:hint="eastAsia" w:eastAsia="仿宋_GB2312"/>
          <w:b/>
          <w:sz w:val="32"/>
          <w:szCs w:val="84"/>
        </w:rPr>
        <w:t>2.打好饮用水水源安全保障攻坚战</w:t>
      </w:r>
    </w:p>
    <w:p>
      <w:pPr>
        <w:spacing w:line="560" w:lineRule="exact"/>
        <w:ind w:firstLine="640" w:firstLineChars="200"/>
        <w:rPr>
          <w:rFonts w:eastAsia="仿宋_GB2312"/>
          <w:sz w:val="32"/>
          <w:szCs w:val="84"/>
        </w:rPr>
      </w:pPr>
      <w:r>
        <w:rPr>
          <w:rFonts w:hint="eastAsia" w:eastAsia="仿宋_GB2312"/>
          <w:sz w:val="32"/>
          <w:szCs w:val="84"/>
        </w:rPr>
        <w:t>（1）加强饮用水水源环境保护，持续开展饮用水水源规范化建设，进一步规范设立保护区边界标志，对县级以上集中式饮用水水源地一级保护区实行防护隔离，对穿越饮用水水源地一、二级保护区的道路设立警示牌和隔离带。</w:t>
      </w:r>
    </w:p>
    <w:p>
      <w:pPr>
        <w:spacing w:line="560" w:lineRule="exact"/>
        <w:ind w:firstLine="640" w:firstLineChars="200"/>
        <w:rPr>
          <w:rFonts w:eastAsia="仿宋_GB2312"/>
          <w:sz w:val="32"/>
          <w:szCs w:val="84"/>
        </w:rPr>
      </w:pPr>
      <w:r>
        <w:rPr>
          <w:rFonts w:hint="eastAsia" w:eastAsia="仿宋_GB2312"/>
          <w:sz w:val="32"/>
          <w:szCs w:val="84"/>
        </w:rPr>
        <w:t>牵头责任单位：县水务局</w:t>
      </w:r>
    </w:p>
    <w:p>
      <w:pPr>
        <w:spacing w:line="560" w:lineRule="exact"/>
        <w:ind w:firstLine="640" w:firstLineChars="200"/>
        <w:rPr>
          <w:rFonts w:eastAsia="仿宋_GB2312"/>
          <w:sz w:val="32"/>
          <w:szCs w:val="84"/>
        </w:rPr>
      </w:pPr>
      <w:r>
        <w:rPr>
          <w:rFonts w:hint="eastAsia" w:eastAsia="仿宋_GB2312"/>
          <w:sz w:val="32"/>
          <w:szCs w:val="84"/>
        </w:rPr>
        <w:t>配合单位：生态环境分局、县卫生健康局、县财政局、县住建局、各乡镇（街道）</w:t>
      </w:r>
    </w:p>
    <w:p>
      <w:pPr>
        <w:spacing w:line="560" w:lineRule="exact"/>
        <w:ind w:firstLine="640" w:firstLineChars="200"/>
        <w:rPr>
          <w:rFonts w:eastAsia="仿宋_GB2312"/>
          <w:sz w:val="32"/>
          <w:szCs w:val="84"/>
        </w:rPr>
      </w:pPr>
      <w:r>
        <w:rPr>
          <w:rFonts w:hint="eastAsia" w:eastAsia="仿宋_GB2312"/>
          <w:sz w:val="32"/>
          <w:szCs w:val="84"/>
        </w:rPr>
        <w:t>（2）完善饮用水水源保护区矢量边界信息，强化饮用水水源水质监测，加强农村饮用水水源保护和水质检测。加强饮用水水源保护区内的环境执法，依法清理饮用水水源保护区内违法建筑和排污口，2019年底完成二级保护区内污染源清理整治，确保饮用水水源保护区不再出现新的环境问题。</w:t>
      </w:r>
    </w:p>
    <w:p>
      <w:pPr>
        <w:spacing w:line="560" w:lineRule="exact"/>
        <w:ind w:firstLine="640" w:firstLineChars="200"/>
        <w:rPr>
          <w:rFonts w:eastAsia="仿宋_GB2312"/>
          <w:sz w:val="32"/>
          <w:szCs w:val="84"/>
        </w:rPr>
      </w:pPr>
      <w:r>
        <w:rPr>
          <w:rFonts w:hint="eastAsia" w:eastAsia="仿宋_GB2312"/>
          <w:sz w:val="32"/>
          <w:szCs w:val="84"/>
        </w:rPr>
        <w:t>牵头责任单位：生态环境分局</w:t>
      </w:r>
    </w:p>
    <w:p>
      <w:pPr>
        <w:spacing w:line="560" w:lineRule="exact"/>
        <w:ind w:firstLine="640" w:firstLineChars="200"/>
        <w:rPr>
          <w:rFonts w:eastAsia="仿宋_GB2312"/>
          <w:sz w:val="32"/>
          <w:szCs w:val="84"/>
        </w:rPr>
      </w:pPr>
      <w:r>
        <w:rPr>
          <w:rFonts w:hint="eastAsia" w:eastAsia="仿宋_GB2312"/>
          <w:sz w:val="32"/>
          <w:szCs w:val="84"/>
        </w:rPr>
        <w:t>配合单位：县水务局、县卫健局、县财政局、县住建局、县城管局</w:t>
      </w:r>
    </w:p>
    <w:p>
      <w:pPr>
        <w:spacing w:line="560" w:lineRule="exact"/>
        <w:ind w:firstLine="640" w:firstLineChars="200"/>
        <w:rPr>
          <w:rFonts w:eastAsia="仿宋_GB2312"/>
          <w:sz w:val="32"/>
          <w:szCs w:val="84"/>
        </w:rPr>
      </w:pPr>
      <w:r>
        <w:rPr>
          <w:rFonts w:hint="eastAsia" w:eastAsia="仿宋_GB2312"/>
          <w:sz w:val="32"/>
          <w:szCs w:val="84"/>
        </w:rPr>
        <w:t>（3）强化饮用水供水全过程监管。建立健全行政区域内从水源地到水龙头的全过程监管体系。定期监测、检测和评估本行政区域内供水厂出水和用户水龙头水质等饮水安全状况。</w:t>
      </w:r>
    </w:p>
    <w:p>
      <w:pPr>
        <w:spacing w:line="560" w:lineRule="exact"/>
        <w:ind w:firstLine="640" w:firstLineChars="200"/>
        <w:rPr>
          <w:rFonts w:hint="eastAsia" w:eastAsia="仿宋_GB2312"/>
          <w:sz w:val="32"/>
          <w:szCs w:val="84"/>
        </w:rPr>
      </w:pPr>
      <w:r>
        <w:rPr>
          <w:rFonts w:hint="eastAsia" w:eastAsia="仿宋_GB2312"/>
          <w:sz w:val="32"/>
          <w:szCs w:val="84"/>
        </w:rPr>
        <w:t>牵头责任单位：县水务局、县卫健局</w:t>
      </w:r>
    </w:p>
    <w:p>
      <w:pPr>
        <w:spacing w:line="560" w:lineRule="exact"/>
        <w:ind w:firstLine="640" w:firstLineChars="200"/>
        <w:rPr>
          <w:rFonts w:eastAsia="仿宋_GB2312"/>
          <w:sz w:val="32"/>
          <w:szCs w:val="84"/>
        </w:rPr>
      </w:pPr>
      <w:r>
        <w:rPr>
          <w:rFonts w:hint="eastAsia" w:eastAsia="仿宋_GB2312"/>
          <w:sz w:val="32"/>
          <w:szCs w:val="84"/>
        </w:rPr>
        <w:t>配合单位：生态环境分局、县财政局、各乡镇（街道）</w:t>
      </w:r>
    </w:p>
    <w:p>
      <w:pPr>
        <w:spacing w:line="560" w:lineRule="exact"/>
        <w:ind w:firstLine="640" w:firstLineChars="200"/>
        <w:rPr>
          <w:rFonts w:eastAsia="仿宋_GB2312"/>
          <w:sz w:val="32"/>
          <w:szCs w:val="84"/>
        </w:rPr>
      </w:pPr>
      <w:r>
        <w:rPr>
          <w:rFonts w:hint="eastAsia" w:eastAsia="仿宋_GB2312"/>
          <w:sz w:val="32"/>
          <w:szCs w:val="84"/>
        </w:rPr>
        <w:t>（4）定期监测行政区域内饮用水水源安全状况。按季度向社会公开县级及以上城市饮用水安全状况信息。</w:t>
      </w:r>
    </w:p>
    <w:p>
      <w:pPr>
        <w:spacing w:line="560" w:lineRule="exact"/>
        <w:ind w:firstLine="640" w:firstLineChars="200"/>
        <w:rPr>
          <w:rFonts w:hint="eastAsia" w:eastAsia="仿宋_GB2312"/>
          <w:sz w:val="32"/>
          <w:szCs w:val="84"/>
        </w:rPr>
      </w:pPr>
      <w:r>
        <w:rPr>
          <w:rFonts w:hint="eastAsia" w:eastAsia="仿宋_GB2312"/>
          <w:sz w:val="32"/>
          <w:szCs w:val="84"/>
        </w:rPr>
        <w:t>牵头责任单位：生态环境分局</w:t>
      </w:r>
    </w:p>
    <w:p>
      <w:pPr>
        <w:spacing w:line="560" w:lineRule="exact"/>
        <w:ind w:firstLine="640" w:firstLineChars="200"/>
        <w:rPr>
          <w:rFonts w:eastAsia="仿宋_GB2312"/>
          <w:sz w:val="32"/>
          <w:szCs w:val="84"/>
        </w:rPr>
      </w:pPr>
      <w:r>
        <w:rPr>
          <w:rFonts w:hint="eastAsia" w:eastAsia="仿宋_GB2312"/>
          <w:sz w:val="32"/>
          <w:szCs w:val="84"/>
        </w:rPr>
        <w:t>配合单位：县水务局、县卫健局、县财政局、各乡镇（街道）</w:t>
      </w:r>
    </w:p>
    <w:p>
      <w:pPr>
        <w:spacing w:line="560" w:lineRule="exact"/>
        <w:ind w:firstLine="643" w:firstLineChars="200"/>
        <w:rPr>
          <w:rFonts w:eastAsia="仿宋_GB2312"/>
          <w:b/>
          <w:sz w:val="32"/>
          <w:szCs w:val="84"/>
        </w:rPr>
      </w:pPr>
      <w:r>
        <w:rPr>
          <w:rFonts w:hint="eastAsia" w:eastAsia="仿宋_GB2312"/>
          <w:b/>
          <w:sz w:val="32"/>
          <w:szCs w:val="84"/>
        </w:rPr>
        <w:t>3.巩固强化城市黑臭水体治理攻坚战成果</w:t>
      </w:r>
    </w:p>
    <w:p>
      <w:pPr>
        <w:spacing w:line="560" w:lineRule="exact"/>
        <w:ind w:firstLine="640" w:firstLineChars="200"/>
        <w:rPr>
          <w:rFonts w:eastAsia="仿宋_GB2312"/>
          <w:sz w:val="32"/>
          <w:szCs w:val="84"/>
        </w:rPr>
      </w:pPr>
      <w:r>
        <w:rPr>
          <w:rFonts w:hint="eastAsia" w:eastAsia="仿宋_GB2312"/>
          <w:sz w:val="32"/>
          <w:szCs w:val="84"/>
        </w:rPr>
        <w:t>（1）巩固强化黑臭水体治理成果。继续采取控源截污、垃圾清理、清淤疏浚、生态修复等措施，巩固强化黑臭水体治理成果，防止出现反弹。</w:t>
      </w:r>
    </w:p>
    <w:p>
      <w:pPr>
        <w:spacing w:line="560" w:lineRule="exact"/>
        <w:ind w:firstLine="640" w:firstLineChars="200"/>
        <w:rPr>
          <w:rFonts w:eastAsia="仿宋_GB2312"/>
          <w:sz w:val="32"/>
          <w:szCs w:val="84"/>
        </w:rPr>
      </w:pPr>
      <w:r>
        <w:rPr>
          <w:rFonts w:hint="eastAsia" w:eastAsia="仿宋_GB2312"/>
          <w:sz w:val="32"/>
          <w:szCs w:val="84"/>
        </w:rPr>
        <w:t>牵头责任单位：县住建局</w:t>
      </w:r>
    </w:p>
    <w:p>
      <w:pPr>
        <w:spacing w:line="560" w:lineRule="exact"/>
        <w:ind w:firstLine="640" w:firstLineChars="200"/>
        <w:rPr>
          <w:rFonts w:eastAsia="仿宋_GB2312"/>
          <w:sz w:val="32"/>
          <w:szCs w:val="84"/>
        </w:rPr>
      </w:pPr>
      <w:r>
        <w:rPr>
          <w:rFonts w:hint="eastAsia" w:eastAsia="仿宋_GB2312"/>
          <w:sz w:val="32"/>
          <w:szCs w:val="84"/>
        </w:rPr>
        <w:t>配合单位：县水务局、生态环境分局、县财政局、县城管局、各乡镇（街道）</w:t>
      </w:r>
    </w:p>
    <w:p>
      <w:pPr>
        <w:spacing w:line="560" w:lineRule="exact"/>
        <w:ind w:firstLine="640" w:firstLineChars="200"/>
        <w:rPr>
          <w:rFonts w:eastAsia="仿宋_GB2312"/>
          <w:sz w:val="32"/>
          <w:szCs w:val="84"/>
        </w:rPr>
      </w:pPr>
      <w:r>
        <w:rPr>
          <w:rFonts w:hint="eastAsia" w:eastAsia="仿宋_GB2312"/>
          <w:sz w:val="32"/>
          <w:szCs w:val="84"/>
        </w:rPr>
        <w:t>（2）加快城镇污水处理设施建设与改造。在确保全县城镇污水处理设施全面达到一级A排放标准的基础上，加快推进水质净化厂提标改造工程。</w:t>
      </w:r>
    </w:p>
    <w:p>
      <w:pPr>
        <w:spacing w:line="560" w:lineRule="exact"/>
        <w:ind w:firstLine="640" w:firstLineChars="200"/>
        <w:rPr>
          <w:rFonts w:eastAsia="仿宋_GB2312"/>
          <w:sz w:val="32"/>
          <w:szCs w:val="84"/>
        </w:rPr>
      </w:pPr>
      <w:r>
        <w:rPr>
          <w:rFonts w:hint="eastAsia" w:eastAsia="仿宋_GB2312"/>
          <w:sz w:val="32"/>
          <w:szCs w:val="84"/>
        </w:rPr>
        <w:t>牵头责任单位：县住建局</w:t>
      </w:r>
    </w:p>
    <w:p>
      <w:pPr>
        <w:spacing w:line="560" w:lineRule="exact"/>
        <w:ind w:firstLine="640" w:firstLineChars="200"/>
        <w:rPr>
          <w:rFonts w:eastAsia="仿宋_GB2312"/>
          <w:sz w:val="32"/>
          <w:szCs w:val="84"/>
        </w:rPr>
      </w:pPr>
      <w:r>
        <w:rPr>
          <w:rFonts w:hint="eastAsia" w:eastAsia="仿宋_GB2312"/>
          <w:sz w:val="32"/>
          <w:szCs w:val="84"/>
        </w:rPr>
        <w:t>配合单位：县发改局、生态环境分局</w:t>
      </w:r>
    </w:p>
    <w:p>
      <w:pPr>
        <w:spacing w:line="560" w:lineRule="exact"/>
        <w:ind w:firstLine="640" w:firstLineChars="200"/>
        <w:rPr>
          <w:rFonts w:eastAsia="仿宋_GB2312"/>
          <w:sz w:val="32"/>
          <w:szCs w:val="84"/>
        </w:rPr>
      </w:pPr>
      <w:r>
        <w:rPr>
          <w:rFonts w:hint="eastAsia" w:eastAsia="仿宋_GB2312"/>
          <w:sz w:val="32"/>
          <w:szCs w:val="84"/>
        </w:rPr>
        <w:t>（3）全面加强配套管网建设。强化城中村、老旧城区和城乡结合部污水截流、收集。现有合流制排水系统应加快实施雨污分流改造，对难以改造的应采取截流、调蓄和治理等措施。新建污水处理设施的配套管网应同步设计、同步建设、同步投运。城镇新区建设应实行雨污分流，有条件的地区要推进初期雨水收集、处理和资源化利用。</w:t>
      </w:r>
    </w:p>
    <w:p>
      <w:pPr>
        <w:spacing w:line="560" w:lineRule="exact"/>
        <w:ind w:firstLine="640" w:firstLineChars="200"/>
        <w:rPr>
          <w:rFonts w:eastAsia="仿宋_GB2312"/>
          <w:sz w:val="32"/>
          <w:szCs w:val="84"/>
        </w:rPr>
      </w:pPr>
      <w:r>
        <w:rPr>
          <w:rFonts w:hint="eastAsia" w:eastAsia="仿宋_GB2312"/>
          <w:sz w:val="32"/>
          <w:szCs w:val="84"/>
        </w:rPr>
        <w:t>牵头责任单位：县住建局</w:t>
      </w:r>
    </w:p>
    <w:p>
      <w:pPr>
        <w:spacing w:line="560" w:lineRule="exact"/>
        <w:ind w:firstLine="640" w:firstLineChars="200"/>
        <w:rPr>
          <w:rFonts w:eastAsia="仿宋_GB2312"/>
          <w:sz w:val="32"/>
          <w:szCs w:val="84"/>
        </w:rPr>
      </w:pPr>
      <w:r>
        <w:rPr>
          <w:rFonts w:hint="eastAsia" w:eastAsia="仿宋_GB2312"/>
          <w:sz w:val="32"/>
          <w:szCs w:val="84"/>
        </w:rPr>
        <w:t>配合单位：县规划局、县国土局、县发改局、生态环境分局、宜良工业园区管委会、各乡镇（街道）</w:t>
      </w:r>
    </w:p>
    <w:p>
      <w:pPr>
        <w:spacing w:line="560" w:lineRule="exact"/>
        <w:ind w:firstLine="643" w:firstLineChars="200"/>
        <w:rPr>
          <w:rFonts w:eastAsia="仿宋_GB2312"/>
          <w:b/>
          <w:sz w:val="32"/>
          <w:szCs w:val="84"/>
        </w:rPr>
      </w:pPr>
      <w:r>
        <w:rPr>
          <w:rFonts w:hint="eastAsia" w:eastAsia="仿宋_GB2312"/>
          <w:b/>
          <w:sz w:val="32"/>
          <w:szCs w:val="84"/>
        </w:rPr>
        <w:t>4.打好农业农村面源污染治理攻坚战</w:t>
      </w:r>
    </w:p>
    <w:p>
      <w:pPr>
        <w:spacing w:line="560" w:lineRule="exact"/>
        <w:ind w:firstLine="640" w:firstLineChars="200"/>
        <w:rPr>
          <w:rFonts w:eastAsia="仿宋_GB2312"/>
          <w:sz w:val="32"/>
          <w:szCs w:val="84"/>
        </w:rPr>
      </w:pPr>
      <w:r>
        <w:rPr>
          <w:rFonts w:hint="eastAsia" w:eastAsia="仿宋_GB2312"/>
          <w:sz w:val="32"/>
          <w:szCs w:val="84"/>
        </w:rPr>
        <w:t>（1）防治畜禽养殖污染。新建、改建、扩建规模化畜禽养殖场（小区）要实施雨污分流、粪便污水资源化利用。巩固饮用水源地禁养工作，合理调整完善畜禽养殖禁养区分布图，严格执行限养区、禁养区规定，制定出台相关政策措施、管理办法，对禁养区内的畜禽养殖场（小区）和养殖专业户再次进行排查，依法关闭或搬迁禁养区内的畜禽养殖场（小区）和养殖专业户。推行标准化规模养殖，配套建设粪便污水贮存、处理、利用设施，改进设施养殖工艺，完善技术装备条件，鼓励和支持散养密集区实行畜禽粪便污水分户收集、集中处理利用。推广畜禽粪便污水综合利用技术模式，因地制宜推广养殖废弃物资源化利用模式，规范和引导畜禽养殖场做好养殖废弃物资源化利用。</w:t>
      </w:r>
    </w:p>
    <w:p>
      <w:pPr>
        <w:spacing w:line="560" w:lineRule="exact"/>
        <w:ind w:firstLine="640" w:firstLineChars="200"/>
        <w:rPr>
          <w:rFonts w:eastAsia="仿宋_GB2312"/>
          <w:sz w:val="32"/>
          <w:szCs w:val="84"/>
        </w:rPr>
      </w:pPr>
      <w:r>
        <w:rPr>
          <w:rFonts w:hint="eastAsia" w:eastAsia="仿宋_GB2312"/>
          <w:sz w:val="32"/>
          <w:szCs w:val="84"/>
        </w:rPr>
        <w:t>牵头责任单位：县农业农村局</w:t>
      </w:r>
    </w:p>
    <w:p>
      <w:pPr>
        <w:spacing w:line="560" w:lineRule="exact"/>
        <w:ind w:firstLine="640" w:firstLineChars="200"/>
        <w:rPr>
          <w:rFonts w:eastAsia="仿宋_GB2312"/>
          <w:sz w:val="32"/>
          <w:szCs w:val="84"/>
        </w:rPr>
      </w:pPr>
      <w:r>
        <w:rPr>
          <w:rFonts w:hint="eastAsia" w:eastAsia="仿宋_GB2312"/>
          <w:sz w:val="32"/>
          <w:szCs w:val="84"/>
        </w:rPr>
        <w:t>配合单位：生态环境分局、各乡镇（街道）</w:t>
      </w:r>
    </w:p>
    <w:p>
      <w:pPr>
        <w:spacing w:line="560" w:lineRule="exact"/>
        <w:ind w:firstLine="640" w:firstLineChars="200"/>
        <w:rPr>
          <w:rFonts w:eastAsia="仿宋_GB2312"/>
          <w:sz w:val="32"/>
          <w:szCs w:val="84"/>
        </w:rPr>
      </w:pPr>
      <w:r>
        <w:rPr>
          <w:rFonts w:hint="eastAsia" w:eastAsia="仿宋_GB2312"/>
          <w:sz w:val="32"/>
          <w:szCs w:val="84"/>
        </w:rPr>
        <w:t>（2）推进生态健康养殖。加强水产健康养殖示范场建设，实施水产养殖池塘标准化改造，鼓励有条件的渔业企业开展集约化养殖，推广工厂化循环水养殖、池塘生态循环水养殖及大水面净水养殖底排污等水产养殖技术。加强养殖投入品管理，依法规范、限制使用抗生素等化学药品，开展专项整治。</w:t>
      </w:r>
    </w:p>
    <w:p>
      <w:pPr>
        <w:spacing w:line="560" w:lineRule="exact"/>
        <w:ind w:firstLine="640" w:firstLineChars="200"/>
        <w:rPr>
          <w:rFonts w:eastAsia="仿宋_GB2312"/>
          <w:sz w:val="32"/>
          <w:szCs w:val="84"/>
        </w:rPr>
      </w:pPr>
      <w:r>
        <w:rPr>
          <w:rFonts w:hint="eastAsia" w:eastAsia="仿宋_GB2312"/>
          <w:sz w:val="32"/>
          <w:szCs w:val="84"/>
        </w:rPr>
        <w:t>牵头责任单位：县农业农村局</w:t>
      </w:r>
    </w:p>
    <w:p>
      <w:pPr>
        <w:spacing w:line="560" w:lineRule="exact"/>
        <w:ind w:firstLine="640" w:firstLineChars="200"/>
        <w:rPr>
          <w:rFonts w:eastAsia="仿宋_GB2312"/>
          <w:sz w:val="32"/>
          <w:szCs w:val="84"/>
        </w:rPr>
      </w:pPr>
      <w:r>
        <w:rPr>
          <w:rFonts w:hint="eastAsia" w:eastAsia="仿宋_GB2312"/>
          <w:sz w:val="32"/>
          <w:szCs w:val="84"/>
        </w:rPr>
        <w:t>（3）控制农业面源污染。制定实施全县农业面源污染综合防治年度工作方案。推广低毒、低残留农药，开展农作物病虫害绿色防控和统防统治。实行测土配方施肥，推广精准施肥技术和机具。新建高标准农田要达到环保要求。未达到水质目标要求的区域大中型灌区，要利用现有沟、塘、窖等，配置水生植物群落、格栅和透水坝，建设生态沟渠、污水净化塘、地表径流集蓄池等设施，净化农田排水及地表径流。继续提高测土配方施肥技术推广覆盖率、农作物病虫害绿色防控覆盖率、农药利用率、秸秆综合利用率、农膜回收率。</w:t>
      </w:r>
    </w:p>
    <w:p>
      <w:pPr>
        <w:spacing w:line="560" w:lineRule="exact"/>
        <w:ind w:firstLine="640" w:firstLineChars="200"/>
        <w:rPr>
          <w:rFonts w:eastAsia="仿宋_GB2312"/>
          <w:sz w:val="32"/>
          <w:szCs w:val="84"/>
        </w:rPr>
      </w:pPr>
      <w:r>
        <w:rPr>
          <w:rFonts w:hint="eastAsia" w:eastAsia="仿宋_GB2312"/>
          <w:sz w:val="32"/>
          <w:szCs w:val="84"/>
        </w:rPr>
        <w:t>牵头责任单位：县农业农村局</w:t>
      </w:r>
    </w:p>
    <w:p>
      <w:pPr>
        <w:spacing w:line="560" w:lineRule="exact"/>
        <w:ind w:firstLine="640" w:firstLineChars="200"/>
        <w:rPr>
          <w:rFonts w:eastAsia="仿宋_GB2312"/>
          <w:sz w:val="32"/>
          <w:szCs w:val="84"/>
        </w:rPr>
      </w:pPr>
      <w:r>
        <w:rPr>
          <w:rFonts w:hint="eastAsia" w:eastAsia="仿宋_GB2312"/>
          <w:sz w:val="32"/>
          <w:szCs w:val="84"/>
        </w:rPr>
        <w:t>配合单位：县发改局、县国土局、生态环境分局、县水务局、县市场监管局、各乡镇（街道）</w:t>
      </w:r>
    </w:p>
    <w:p>
      <w:pPr>
        <w:spacing w:line="560" w:lineRule="exact"/>
        <w:ind w:firstLine="640" w:firstLineChars="200"/>
        <w:rPr>
          <w:rFonts w:eastAsia="仿宋_GB2312"/>
          <w:sz w:val="32"/>
          <w:szCs w:val="84"/>
        </w:rPr>
      </w:pPr>
      <w:r>
        <w:rPr>
          <w:rFonts w:hint="eastAsia" w:eastAsia="仿宋_GB2312"/>
          <w:sz w:val="32"/>
          <w:szCs w:val="84"/>
        </w:rPr>
        <w:t>（4）调整种植业结构与布局。大力发展节水农业，在缺水地区试行退地减水。地下水易受污染地区要优先种植需肥需药量低、环境效益突出的农作物。在水资源问题突出的地区，适当调整种植结构，减少用水量较大的农作物种植面积，改种耐旱作物和经济林。</w:t>
      </w:r>
    </w:p>
    <w:p>
      <w:pPr>
        <w:spacing w:line="560" w:lineRule="exact"/>
        <w:ind w:firstLine="640" w:firstLineChars="200"/>
        <w:rPr>
          <w:rFonts w:eastAsia="仿宋_GB2312"/>
          <w:sz w:val="32"/>
          <w:szCs w:val="84"/>
        </w:rPr>
      </w:pPr>
      <w:r>
        <w:rPr>
          <w:rFonts w:hint="eastAsia" w:eastAsia="仿宋_GB2312"/>
          <w:sz w:val="32"/>
          <w:szCs w:val="84"/>
        </w:rPr>
        <w:t>牵头责任单位：县农业农村局</w:t>
      </w:r>
    </w:p>
    <w:p>
      <w:pPr>
        <w:spacing w:line="560" w:lineRule="exact"/>
        <w:ind w:firstLine="640" w:firstLineChars="200"/>
        <w:rPr>
          <w:rFonts w:eastAsia="仿宋_GB2312"/>
          <w:sz w:val="32"/>
          <w:szCs w:val="84"/>
        </w:rPr>
      </w:pPr>
      <w:r>
        <w:rPr>
          <w:rFonts w:hint="eastAsia" w:eastAsia="仿宋_GB2312"/>
          <w:sz w:val="32"/>
          <w:szCs w:val="84"/>
        </w:rPr>
        <w:t>配合单位：县水务局、县发改局、县国土局、各乡镇（街道）</w:t>
      </w:r>
    </w:p>
    <w:p>
      <w:pPr>
        <w:spacing w:line="560" w:lineRule="exact"/>
        <w:ind w:firstLine="640" w:firstLineChars="200"/>
        <w:rPr>
          <w:rFonts w:eastAsia="仿宋_GB2312"/>
          <w:sz w:val="32"/>
          <w:szCs w:val="84"/>
        </w:rPr>
      </w:pPr>
      <w:r>
        <w:rPr>
          <w:rFonts w:hint="eastAsia" w:eastAsia="仿宋_GB2312"/>
          <w:sz w:val="32"/>
          <w:szCs w:val="84"/>
        </w:rPr>
        <w:t>（5）加快农村环境综合整治。实行农村污水处理统一规划、统一建设、统一管理，有条件的地区积极推进城镇污水处理设施和服务向农村延伸。深化“以奖促治”政策，实施农村清洁工程，开展河道清淤疏浚，推进农村环境连片整治。完成国家和省下达的建制村新增环境综合整治任务。</w:t>
      </w:r>
    </w:p>
    <w:p>
      <w:pPr>
        <w:spacing w:line="560" w:lineRule="exact"/>
        <w:ind w:firstLine="640" w:firstLineChars="200"/>
        <w:rPr>
          <w:rFonts w:eastAsia="仿宋_GB2312"/>
          <w:sz w:val="32"/>
          <w:szCs w:val="84"/>
        </w:rPr>
      </w:pPr>
      <w:r>
        <w:rPr>
          <w:rFonts w:hint="eastAsia" w:eastAsia="仿宋_GB2312"/>
          <w:sz w:val="32"/>
          <w:szCs w:val="84"/>
        </w:rPr>
        <w:t>牵头责任单位：生态环境分局</w:t>
      </w:r>
    </w:p>
    <w:p>
      <w:pPr>
        <w:spacing w:line="560" w:lineRule="exact"/>
        <w:ind w:firstLine="640" w:firstLineChars="200"/>
        <w:rPr>
          <w:rFonts w:eastAsia="仿宋_GB2312"/>
          <w:sz w:val="32"/>
          <w:szCs w:val="84"/>
        </w:rPr>
      </w:pPr>
      <w:r>
        <w:rPr>
          <w:rFonts w:hint="eastAsia" w:eastAsia="仿宋_GB2312"/>
          <w:sz w:val="32"/>
          <w:szCs w:val="84"/>
        </w:rPr>
        <w:t>配合单位：县水务局、县住建局、县城管局、县农业农村局、各乡镇（街道）</w:t>
      </w:r>
    </w:p>
    <w:p>
      <w:pPr>
        <w:spacing w:line="560" w:lineRule="exact"/>
        <w:ind w:firstLine="643" w:firstLineChars="200"/>
        <w:rPr>
          <w:rFonts w:eastAsia="仿宋_GB2312"/>
          <w:b/>
          <w:sz w:val="32"/>
          <w:szCs w:val="84"/>
        </w:rPr>
      </w:pPr>
      <w:r>
        <w:rPr>
          <w:rFonts w:hint="eastAsia" w:eastAsia="仿宋_GB2312"/>
          <w:b/>
          <w:sz w:val="32"/>
          <w:szCs w:val="84"/>
        </w:rPr>
        <w:t>5.打好水生态保护修复攻坚战</w:t>
      </w:r>
    </w:p>
    <w:p>
      <w:pPr>
        <w:spacing w:line="560" w:lineRule="exact"/>
        <w:ind w:firstLine="640" w:firstLineChars="200"/>
        <w:rPr>
          <w:rFonts w:eastAsia="仿宋_GB2312"/>
          <w:sz w:val="32"/>
          <w:szCs w:val="84"/>
        </w:rPr>
      </w:pPr>
      <w:r>
        <w:rPr>
          <w:rFonts w:hint="eastAsia" w:eastAsia="仿宋_GB2312"/>
          <w:sz w:val="32"/>
          <w:szCs w:val="84"/>
        </w:rPr>
        <w:t>（1）严格湿地总量管控。建立健全湿地保护制度，科学确定湿地保有量。配合上级部门组织开展省级重要湿地认定，完成省级年度重要湿地认定；持续开展一般湿地认定工作，完善湿地保护体系。</w:t>
      </w:r>
    </w:p>
    <w:p>
      <w:pPr>
        <w:spacing w:line="560" w:lineRule="exact"/>
        <w:ind w:firstLine="640" w:firstLineChars="200"/>
        <w:rPr>
          <w:rFonts w:eastAsia="仿宋_GB2312"/>
          <w:sz w:val="32"/>
          <w:szCs w:val="84"/>
        </w:rPr>
      </w:pPr>
      <w:r>
        <w:rPr>
          <w:rFonts w:hint="eastAsia" w:eastAsia="仿宋_GB2312"/>
          <w:sz w:val="32"/>
          <w:szCs w:val="84"/>
        </w:rPr>
        <w:t>牵头责任单位：县林草局</w:t>
      </w:r>
    </w:p>
    <w:p>
      <w:pPr>
        <w:spacing w:line="560" w:lineRule="exact"/>
        <w:ind w:firstLine="640" w:firstLineChars="200"/>
        <w:rPr>
          <w:rFonts w:eastAsia="仿宋_GB2312"/>
          <w:sz w:val="32"/>
          <w:szCs w:val="84"/>
        </w:rPr>
      </w:pPr>
      <w:r>
        <w:rPr>
          <w:rFonts w:hint="eastAsia" w:eastAsia="仿宋_GB2312"/>
          <w:sz w:val="32"/>
          <w:szCs w:val="84"/>
        </w:rPr>
        <w:t>配合单位：县水务局、生态环境分局、县财政局、县国土局、县农业农村局</w:t>
      </w:r>
    </w:p>
    <w:p>
      <w:pPr>
        <w:spacing w:line="560" w:lineRule="exact"/>
        <w:ind w:firstLine="640" w:firstLineChars="200"/>
        <w:rPr>
          <w:rFonts w:eastAsia="仿宋_GB2312"/>
          <w:sz w:val="32"/>
          <w:szCs w:val="84"/>
        </w:rPr>
      </w:pPr>
      <w:r>
        <w:rPr>
          <w:rFonts w:hint="eastAsia" w:eastAsia="仿宋_GB2312"/>
          <w:sz w:val="32"/>
          <w:szCs w:val="84"/>
        </w:rPr>
        <w:t>（2）加大高原湿地的保护与恢复力度。开展退耕还湿，逐步扩大湿地面积，提升湿地生态功能。推进湿地公园建设，建立保护管理、科普教育、生态恢复、湿地资源合理利用示范区。探索建立湿地保护小区和乡村湿地管理模式，抢救性保护好有重要价值的小块湿地。完成省下达的湿地保护任务。</w:t>
      </w:r>
    </w:p>
    <w:p>
      <w:pPr>
        <w:spacing w:line="560" w:lineRule="exact"/>
        <w:ind w:firstLine="640" w:firstLineChars="200"/>
        <w:rPr>
          <w:rFonts w:eastAsia="仿宋_GB2312"/>
          <w:sz w:val="32"/>
          <w:szCs w:val="84"/>
        </w:rPr>
      </w:pPr>
      <w:r>
        <w:rPr>
          <w:rFonts w:hint="eastAsia" w:eastAsia="仿宋_GB2312"/>
          <w:sz w:val="32"/>
          <w:szCs w:val="84"/>
        </w:rPr>
        <w:t>牵头责任单位：县林草局</w:t>
      </w:r>
    </w:p>
    <w:p>
      <w:pPr>
        <w:spacing w:line="560" w:lineRule="exact"/>
        <w:ind w:firstLine="640" w:firstLineChars="200"/>
        <w:rPr>
          <w:rFonts w:eastAsia="仿宋_GB2312"/>
          <w:sz w:val="32"/>
          <w:szCs w:val="84"/>
        </w:rPr>
      </w:pPr>
      <w:r>
        <w:rPr>
          <w:rFonts w:hint="eastAsia" w:eastAsia="仿宋_GB2312"/>
          <w:sz w:val="32"/>
          <w:szCs w:val="84"/>
        </w:rPr>
        <w:t>配合单位：县水务局、生态环境分局、县财政局、县水务局、县农业农村局、各乡镇（街道）</w:t>
      </w:r>
    </w:p>
    <w:p>
      <w:pPr>
        <w:spacing w:line="560" w:lineRule="exact"/>
        <w:ind w:firstLine="640" w:firstLineChars="200"/>
        <w:rPr>
          <w:rFonts w:ascii="楷体_GB2312" w:eastAsia="楷体_GB2312"/>
          <w:sz w:val="32"/>
          <w:szCs w:val="84"/>
        </w:rPr>
      </w:pPr>
      <w:r>
        <w:rPr>
          <w:rFonts w:hint="eastAsia" w:ascii="楷体_GB2312" w:eastAsia="楷体_GB2312"/>
          <w:sz w:val="32"/>
          <w:szCs w:val="84"/>
        </w:rPr>
        <w:t>（二）着力节约保护水资源</w:t>
      </w:r>
    </w:p>
    <w:p>
      <w:pPr>
        <w:spacing w:line="560" w:lineRule="exact"/>
        <w:ind w:firstLine="643" w:firstLineChars="200"/>
        <w:rPr>
          <w:rFonts w:eastAsia="仿宋_GB2312"/>
          <w:b/>
          <w:sz w:val="32"/>
          <w:szCs w:val="84"/>
        </w:rPr>
      </w:pPr>
      <w:r>
        <w:rPr>
          <w:rFonts w:hint="eastAsia" w:eastAsia="仿宋_GB2312"/>
          <w:b/>
          <w:sz w:val="32"/>
          <w:szCs w:val="84"/>
        </w:rPr>
        <w:t>1.控制用水总量</w:t>
      </w:r>
    </w:p>
    <w:p>
      <w:pPr>
        <w:spacing w:line="560" w:lineRule="exact"/>
        <w:ind w:firstLine="640" w:firstLineChars="200"/>
        <w:rPr>
          <w:rFonts w:eastAsia="仿宋_GB2312"/>
          <w:sz w:val="32"/>
          <w:szCs w:val="84"/>
        </w:rPr>
      </w:pPr>
      <w:r>
        <w:rPr>
          <w:rFonts w:hint="eastAsia" w:eastAsia="仿宋_GB2312"/>
          <w:sz w:val="32"/>
          <w:szCs w:val="84"/>
        </w:rPr>
        <w:t>（1）实施最严格水资源管理。建立健全取用水总量控制指标体系。开展取用水总量全面调查，对取用水总量已达到或超过控制指标的地区，暂停审批新增取水许可。对纳入取水许可管理的单位和其他用水大户实行计划用水管理和超计划（定额）累进加价制度。建立重点监控用水单位名录，强化重点监控用水单位管理。再生水、雨水等非常规水源纳入水资源统一配置。建立健全宜良县水资源保护考核评价体系，节水目标任务完成情况纳入政府政绩考核。新建、改建、扩建项目用水要达到行业先进水平，节水设施应与主体工程同时设计、同时施工、同时投运。</w:t>
      </w:r>
    </w:p>
    <w:p>
      <w:pPr>
        <w:spacing w:line="560" w:lineRule="exact"/>
        <w:ind w:firstLine="640" w:firstLineChars="200"/>
        <w:rPr>
          <w:rFonts w:eastAsia="仿宋_GB2312"/>
          <w:sz w:val="32"/>
          <w:szCs w:val="84"/>
        </w:rPr>
      </w:pPr>
      <w:r>
        <w:rPr>
          <w:rFonts w:hint="eastAsia" w:eastAsia="仿宋_GB2312"/>
          <w:sz w:val="32"/>
          <w:szCs w:val="84"/>
        </w:rPr>
        <w:t>牵头责任单位：县水务局</w:t>
      </w:r>
    </w:p>
    <w:p>
      <w:pPr>
        <w:spacing w:line="560" w:lineRule="exact"/>
        <w:ind w:firstLine="640" w:firstLineChars="200"/>
        <w:rPr>
          <w:rFonts w:eastAsia="仿宋_GB2312"/>
          <w:sz w:val="32"/>
          <w:szCs w:val="84"/>
        </w:rPr>
      </w:pPr>
      <w:r>
        <w:rPr>
          <w:rFonts w:hint="eastAsia" w:eastAsia="仿宋_GB2312"/>
          <w:sz w:val="32"/>
          <w:szCs w:val="84"/>
        </w:rPr>
        <w:t>配合单位：县发改局、县科技工信局、县住建局、县农业农村局</w:t>
      </w:r>
    </w:p>
    <w:p>
      <w:pPr>
        <w:spacing w:line="560" w:lineRule="exact"/>
        <w:ind w:firstLine="640" w:firstLineChars="200"/>
        <w:rPr>
          <w:rFonts w:eastAsia="仿宋_GB2312"/>
          <w:sz w:val="32"/>
          <w:szCs w:val="84"/>
        </w:rPr>
      </w:pPr>
      <w:r>
        <w:rPr>
          <w:rFonts w:hint="eastAsia" w:eastAsia="仿宋_GB2312"/>
          <w:sz w:val="32"/>
          <w:szCs w:val="84"/>
        </w:rPr>
        <w:t>（2）严控地下水开采。在地面沉降、地裂缝、岩溶塌陷等地质灾害易发区开展排查，在地质灾害易发区开发利用地下水，应进行地质灾害危险性评估。地热水、矿泉水开发应严格实行勘查许可、采矿许可，编制地面沉降区地下水压采方案。</w:t>
      </w:r>
    </w:p>
    <w:p>
      <w:pPr>
        <w:spacing w:line="560" w:lineRule="exact"/>
        <w:ind w:firstLine="640" w:firstLineChars="200"/>
        <w:rPr>
          <w:rFonts w:eastAsia="仿宋_GB2312"/>
          <w:sz w:val="32"/>
          <w:szCs w:val="84"/>
        </w:rPr>
      </w:pPr>
      <w:r>
        <w:rPr>
          <w:rFonts w:hint="eastAsia" w:eastAsia="仿宋_GB2312"/>
          <w:sz w:val="32"/>
          <w:szCs w:val="84"/>
        </w:rPr>
        <w:t>牵头责任单位：县国土局</w:t>
      </w:r>
    </w:p>
    <w:p>
      <w:pPr>
        <w:spacing w:line="560" w:lineRule="exact"/>
        <w:ind w:firstLine="640" w:firstLineChars="200"/>
        <w:rPr>
          <w:rFonts w:eastAsia="仿宋_GB2312"/>
          <w:sz w:val="32"/>
          <w:szCs w:val="84"/>
        </w:rPr>
      </w:pPr>
      <w:r>
        <w:rPr>
          <w:rFonts w:hint="eastAsia" w:eastAsia="仿宋_GB2312"/>
          <w:sz w:val="32"/>
          <w:szCs w:val="84"/>
        </w:rPr>
        <w:t>配合单位：县水务局、县发改局、县科技工信局、县财政局、县住建局</w:t>
      </w:r>
    </w:p>
    <w:p>
      <w:pPr>
        <w:spacing w:line="560" w:lineRule="exact"/>
        <w:ind w:firstLine="640" w:firstLineChars="200"/>
        <w:rPr>
          <w:rFonts w:eastAsia="仿宋_GB2312"/>
          <w:sz w:val="32"/>
          <w:szCs w:val="84"/>
        </w:rPr>
      </w:pPr>
      <w:r>
        <w:rPr>
          <w:rFonts w:hint="eastAsia" w:eastAsia="仿宋_GB2312"/>
          <w:sz w:val="32"/>
          <w:szCs w:val="84"/>
        </w:rPr>
        <w:t>（3）严控地下水超采。严格控制开采深层承压水，实行取水许可。在2016年完成已建机井登记排查的基础上，依法规范机井建设管理。对未经批准和公共供水管网可到达区域的自备水井，一律予以关闭。超采区内禁止工农业生产及服务业新增取用地下水。完成地下水禁采区、限采区和地面沉降控制区范围划定工作。</w:t>
      </w:r>
    </w:p>
    <w:p>
      <w:pPr>
        <w:spacing w:line="560" w:lineRule="exact"/>
        <w:ind w:firstLine="640" w:firstLineChars="200"/>
        <w:rPr>
          <w:rFonts w:eastAsia="仿宋_GB2312"/>
          <w:sz w:val="32"/>
          <w:szCs w:val="84"/>
        </w:rPr>
      </w:pPr>
      <w:r>
        <w:rPr>
          <w:rFonts w:hint="eastAsia" w:eastAsia="仿宋_GB2312"/>
          <w:sz w:val="32"/>
          <w:szCs w:val="84"/>
        </w:rPr>
        <w:t>牵头责任单位：县水务局</w:t>
      </w:r>
    </w:p>
    <w:p>
      <w:pPr>
        <w:spacing w:line="560" w:lineRule="exact"/>
        <w:ind w:firstLine="640" w:firstLineChars="200"/>
        <w:rPr>
          <w:rFonts w:eastAsia="仿宋_GB2312"/>
          <w:sz w:val="32"/>
          <w:szCs w:val="84"/>
        </w:rPr>
      </w:pPr>
      <w:r>
        <w:rPr>
          <w:rFonts w:hint="eastAsia" w:eastAsia="仿宋_GB2312"/>
          <w:sz w:val="32"/>
          <w:szCs w:val="84"/>
        </w:rPr>
        <w:t>配合单位：县国土局、县发改局、县科技工信局、县财政局、县住建局、县农业农村局</w:t>
      </w:r>
    </w:p>
    <w:p>
      <w:pPr>
        <w:spacing w:line="560" w:lineRule="exact"/>
        <w:ind w:firstLine="643" w:firstLineChars="200"/>
        <w:rPr>
          <w:rFonts w:eastAsia="仿宋_GB2312"/>
          <w:b/>
          <w:sz w:val="32"/>
          <w:szCs w:val="84"/>
        </w:rPr>
      </w:pPr>
      <w:r>
        <w:rPr>
          <w:rFonts w:hint="eastAsia" w:eastAsia="仿宋_GB2312"/>
          <w:b/>
          <w:sz w:val="32"/>
          <w:szCs w:val="84"/>
        </w:rPr>
        <w:t>2.提高用水效率</w:t>
      </w:r>
    </w:p>
    <w:p>
      <w:pPr>
        <w:spacing w:line="560" w:lineRule="exact"/>
        <w:ind w:firstLine="640" w:firstLineChars="200"/>
        <w:rPr>
          <w:rFonts w:eastAsia="仿宋_GB2312"/>
          <w:sz w:val="32"/>
          <w:szCs w:val="84"/>
        </w:rPr>
      </w:pPr>
      <w:r>
        <w:rPr>
          <w:rFonts w:hint="eastAsia" w:eastAsia="仿宋_GB2312"/>
          <w:sz w:val="32"/>
          <w:szCs w:val="84"/>
        </w:rPr>
        <w:t>（1）抓好工业节水。执行国家鼓励和淘汰的用水技术、工艺、产品和设备目录。开展节水诊断、水平衡测试、用水效率评估，严格用水定额管理。继续推进电力、钢铁、纺织、造纸、石油石化、化工、食品发酵等高耗水行业达到先进定额标准。严格控制万元工业增加值用水量，继续提高工业用水重复利用率。</w:t>
      </w:r>
    </w:p>
    <w:p>
      <w:pPr>
        <w:spacing w:line="560" w:lineRule="exact"/>
        <w:ind w:firstLine="616" w:firstLineChars="200"/>
        <w:rPr>
          <w:rFonts w:eastAsia="仿宋_GB2312"/>
          <w:spacing w:val="-6"/>
          <w:sz w:val="32"/>
          <w:szCs w:val="84"/>
        </w:rPr>
      </w:pPr>
      <w:r>
        <w:rPr>
          <w:rFonts w:hint="eastAsia" w:eastAsia="仿宋_GB2312"/>
          <w:spacing w:val="-6"/>
          <w:sz w:val="32"/>
          <w:szCs w:val="84"/>
        </w:rPr>
        <w:t>牵头责任单位：县科技工信局、宜良工业园区管委会</w:t>
      </w:r>
    </w:p>
    <w:p>
      <w:pPr>
        <w:spacing w:line="560" w:lineRule="exact"/>
        <w:ind w:firstLine="640" w:firstLineChars="200"/>
        <w:rPr>
          <w:rFonts w:eastAsia="仿宋_GB2312"/>
          <w:sz w:val="32"/>
          <w:szCs w:val="84"/>
        </w:rPr>
      </w:pPr>
      <w:r>
        <w:rPr>
          <w:rFonts w:hint="eastAsia" w:eastAsia="仿宋_GB2312"/>
          <w:sz w:val="32"/>
          <w:szCs w:val="84"/>
        </w:rPr>
        <w:t>配合单位：县水务局、县发改局、县住建局、县市场监管局、县统计局</w:t>
      </w:r>
    </w:p>
    <w:p>
      <w:pPr>
        <w:spacing w:line="560" w:lineRule="exact"/>
        <w:ind w:firstLine="640" w:firstLineChars="200"/>
        <w:rPr>
          <w:rFonts w:eastAsia="仿宋_GB2312"/>
          <w:sz w:val="32"/>
          <w:szCs w:val="84"/>
        </w:rPr>
      </w:pPr>
      <w:r>
        <w:rPr>
          <w:rFonts w:hint="eastAsia" w:eastAsia="仿宋_GB2312"/>
          <w:sz w:val="32"/>
          <w:szCs w:val="84"/>
        </w:rPr>
        <w:t>（2）加强城镇节水。禁止生产、销售不符合节水标准的产品、设备。公共建筑必须采用节水器具，限期淘汰公共建筑中不符合节水标准的水嘴、便器水箱等生活用水器具。鼓励居民家庭选用节水器具。全县公共供水管网漏损率控制在12%以内。落实“海绵城市”建设要求，积极推进试点工作，推行低影响开发建设模式，综合采取“渗、滞、蓄、净、用、排”等措施，最大限度减少城市开发对生态环境的影响。新建城区硬化地面，可渗透面积要达到40%以上。按照《昆明市城市雨水收集利用的规定》，符合下列条件的新建、改建、扩建工程项目，建设单位应当按照节水“三同时”的要求同期配套建设雨水综合利用设施：</w:t>
      </w:r>
      <w:r>
        <w:rPr>
          <w:rFonts w:hint="eastAsia" w:ascii="仿宋_GB2312" w:eastAsia="仿宋_GB2312"/>
          <w:sz w:val="32"/>
          <w:szCs w:val="84"/>
        </w:rPr>
        <w:t>①</w:t>
      </w:r>
      <w:r>
        <w:rPr>
          <w:rFonts w:hint="eastAsia" w:eastAsia="仿宋_GB2312"/>
          <w:sz w:val="32"/>
          <w:szCs w:val="84"/>
        </w:rPr>
        <w:t>民用建筑、工业建筑的建（构）筑物占地与路面硬化面积之和在1500平方米以上的建设工程项目；</w:t>
      </w:r>
      <w:r>
        <w:rPr>
          <w:rFonts w:hint="eastAsia" w:ascii="仿宋_GB2312" w:eastAsia="仿宋_GB2312"/>
          <w:sz w:val="32"/>
          <w:szCs w:val="84"/>
        </w:rPr>
        <w:t>②</w:t>
      </w:r>
      <w:r>
        <w:rPr>
          <w:rFonts w:hint="eastAsia" w:eastAsia="仿宋_GB2312"/>
          <w:sz w:val="32"/>
          <w:szCs w:val="84"/>
        </w:rPr>
        <w:t>总用地面积在2000平方米以上的公园、广场、绿地等市政工程项目；</w:t>
      </w:r>
      <w:r>
        <w:rPr>
          <w:rFonts w:hint="eastAsia" w:ascii="仿宋_GB2312" w:eastAsia="仿宋_GB2312"/>
          <w:sz w:val="32"/>
          <w:szCs w:val="84"/>
        </w:rPr>
        <w:t>③</w:t>
      </w:r>
      <w:r>
        <w:rPr>
          <w:rFonts w:hint="eastAsia" w:eastAsia="仿宋_GB2312"/>
          <w:sz w:val="32"/>
          <w:szCs w:val="84"/>
        </w:rPr>
        <w:t xml:space="preserve">城市道路及高架桥等市政工程项目。 </w:t>
      </w:r>
    </w:p>
    <w:p>
      <w:pPr>
        <w:spacing w:line="560" w:lineRule="exact"/>
        <w:ind w:firstLine="640" w:firstLineChars="200"/>
        <w:rPr>
          <w:rFonts w:eastAsia="仿宋_GB2312"/>
          <w:sz w:val="32"/>
          <w:szCs w:val="84"/>
        </w:rPr>
      </w:pPr>
      <w:r>
        <w:rPr>
          <w:rFonts w:hint="eastAsia" w:eastAsia="仿宋_GB2312"/>
          <w:sz w:val="32"/>
          <w:szCs w:val="84"/>
        </w:rPr>
        <w:t>牵头责任单位：县水务局</w:t>
      </w:r>
    </w:p>
    <w:p>
      <w:pPr>
        <w:spacing w:line="560" w:lineRule="exact"/>
        <w:ind w:firstLine="640" w:firstLineChars="200"/>
        <w:rPr>
          <w:rFonts w:eastAsia="仿宋_GB2312"/>
          <w:sz w:val="32"/>
          <w:szCs w:val="84"/>
        </w:rPr>
      </w:pPr>
      <w:r>
        <w:rPr>
          <w:rFonts w:hint="eastAsia" w:eastAsia="仿宋_GB2312"/>
          <w:sz w:val="32"/>
          <w:szCs w:val="84"/>
        </w:rPr>
        <w:t>配合单位：县住建局、县林草局、县规划局、县发改局、县科技工信局、县市场监管局</w:t>
      </w:r>
    </w:p>
    <w:p>
      <w:pPr>
        <w:spacing w:line="560" w:lineRule="exact"/>
        <w:ind w:firstLine="640" w:firstLineChars="200"/>
        <w:rPr>
          <w:rFonts w:eastAsia="仿宋_GB2312"/>
          <w:sz w:val="32"/>
          <w:szCs w:val="84"/>
        </w:rPr>
      </w:pPr>
      <w:r>
        <w:rPr>
          <w:rFonts w:hint="eastAsia" w:eastAsia="仿宋_GB2312"/>
          <w:sz w:val="32"/>
          <w:szCs w:val="84"/>
        </w:rPr>
        <w:t>（3）发展农业节水。加强节水灌溉工程建设和节水改造，推广保护性耕作、农艺节水保墒、水肥一体化、渠道防渗、管道输水、喷灌、微灌等节水灌溉技术，完善灌溉用水计量设施。在重要的粮食生产区，推进规模化高效节水灌溉，推广农作物节水抗旱技术。</w:t>
      </w:r>
    </w:p>
    <w:p>
      <w:pPr>
        <w:spacing w:line="560" w:lineRule="exact"/>
        <w:ind w:firstLine="640" w:firstLineChars="200"/>
        <w:rPr>
          <w:rFonts w:eastAsia="仿宋_GB2312"/>
          <w:sz w:val="32"/>
          <w:szCs w:val="84"/>
        </w:rPr>
      </w:pPr>
      <w:r>
        <w:rPr>
          <w:rFonts w:hint="eastAsia" w:eastAsia="仿宋_GB2312"/>
          <w:sz w:val="32"/>
          <w:szCs w:val="84"/>
        </w:rPr>
        <w:t>牵头责任单位：县水务局</w:t>
      </w:r>
    </w:p>
    <w:p>
      <w:pPr>
        <w:spacing w:line="560" w:lineRule="exact"/>
        <w:ind w:firstLine="640" w:firstLineChars="200"/>
        <w:rPr>
          <w:rFonts w:eastAsia="仿宋_GB2312"/>
          <w:sz w:val="32"/>
          <w:szCs w:val="84"/>
        </w:rPr>
      </w:pPr>
      <w:r>
        <w:rPr>
          <w:rFonts w:hint="eastAsia" w:eastAsia="仿宋_GB2312"/>
          <w:sz w:val="32"/>
          <w:szCs w:val="84"/>
        </w:rPr>
        <w:t>配合单位：县农业农村局、县发改局、县财政局、各乡镇（街道）</w:t>
      </w:r>
    </w:p>
    <w:p>
      <w:pPr>
        <w:spacing w:line="560" w:lineRule="exact"/>
        <w:ind w:firstLine="643" w:firstLineChars="200"/>
        <w:rPr>
          <w:rFonts w:eastAsia="仿宋_GB2312"/>
          <w:b/>
          <w:sz w:val="32"/>
          <w:szCs w:val="84"/>
        </w:rPr>
      </w:pPr>
      <w:r>
        <w:rPr>
          <w:rFonts w:hint="eastAsia" w:eastAsia="仿宋_GB2312"/>
          <w:b/>
          <w:sz w:val="32"/>
          <w:szCs w:val="84"/>
        </w:rPr>
        <w:t>3.科学保护水资源</w:t>
      </w:r>
    </w:p>
    <w:p>
      <w:pPr>
        <w:spacing w:line="560" w:lineRule="exact"/>
        <w:ind w:firstLine="640" w:firstLineChars="200"/>
        <w:rPr>
          <w:rFonts w:eastAsia="仿宋_GB2312"/>
          <w:sz w:val="32"/>
          <w:szCs w:val="84"/>
        </w:rPr>
      </w:pPr>
      <w:r>
        <w:rPr>
          <w:rFonts w:hint="eastAsia" w:eastAsia="仿宋_GB2312"/>
          <w:sz w:val="32"/>
          <w:szCs w:val="84"/>
        </w:rPr>
        <w:t>（1）加强江河湖库水量调度管理。建立健全水量调度方案。加强珠江水系生态流量保障工程建设，采取闸坝联合调度、生态补水等措施，合理安排闸坝下泄水量和泄流时段，维持河湖基本生态用水需求，重点保障枯水期生态基流。加大水利工程建设力度，发挥好控制性水利工程在改善水质中的作用。</w:t>
      </w:r>
    </w:p>
    <w:p>
      <w:pPr>
        <w:spacing w:line="560" w:lineRule="exact"/>
        <w:ind w:firstLine="640" w:firstLineChars="200"/>
        <w:rPr>
          <w:rFonts w:eastAsia="仿宋_GB2312"/>
          <w:sz w:val="32"/>
          <w:szCs w:val="84"/>
        </w:rPr>
      </w:pPr>
      <w:r>
        <w:rPr>
          <w:rFonts w:hint="eastAsia" w:eastAsia="仿宋_GB2312"/>
          <w:sz w:val="32"/>
          <w:szCs w:val="84"/>
        </w:rPr>
        <w:t>牵头责任单位：县水务局</w:t>
      </w:r>
    </w:p>
    <w:p>
      <w:pPr>
        <w:spacing w:line="560" w:lineRule="exact"/>
        <w:ind w:firstLine="640" w:firstLineChars="200"/>
        <w:rPr>
          <w:rFonts w:eastAsia="仿宋_GB2312"/>
          <w:sz w:val="32"/>
          <w:szCs w:val="84"/>
        </w:rPr>
      </w:pPr>
      <w:r>
        <w:rPr>
          <w:rFonts w:hint="eastAsia" w:eastAsia="仿宋_GB2312"/>
          <w:sz w:val="32"/>
          <w:szCs w:val="84"/>
        </w:rPr>
        <w:t>配合单位：生态环境分局、县住建局</w:t>
      </w:r>
    </w:p>
    <w:p>
      <w:pPr>
        <w:spacing w:line="560" w:lineRule="exact"/>
        <w:ind w:firstLine="640" w:firstLineChars="200"/>
        <w:rPr>
          <w:rFonts w:eastAsia="仿宋_GB2312"/>
          <w:sz w:val="32"/>
          <w:szCs w:val="84"/>
        </w:rPr>
      </w:pPr>
      <w:r>
        <w:rPr>
          <w:rFonts w:hint="eastAsia" w:eastAsia="仿宋_GB2312"/>
          <w:sz w:val="32"/>
          <w:szCs w:val="84"/>
        </w:rPr>
        <w:t>（2）加强生态补水。科学确定生态流量，辖区内规划建设的水库、水电站等水利工程及其他水资源开发利用活动，在开展项目前期工作时，须严格落实建设项目水资源论证工作，在保障河湖基本生态流量的基础上科学确定项目规模、可供水量、取水量等，并作为项目可研审批的重要依据。</w:t>
      </w:r>
    </w:p>
    <w:p>
      <w:pPr>
        <w:spacing w:line="560" w:lineRule="exact"/>
        <w:ind w:firstLine="640" w:firstLineChars="200"/>
        <w:rPr>
          <w:rFonts w:eastAsia="仿宋_GB2312"/>
          <w:sz w:val="32"/>
          <w:szCs w:val="84"/>
        </w:rPr>
      </w:pPr>
      <w:r>
        <w:rPr>
          <w:rFonts w:hint="eastAsia" w:eastAsia="仿宋_GB2312"/>
          <w:sz w:val="32"/>
          <w:szCs w:val="84"/>
        </w:rPr>
        <w:t>牵头责任单位：县水务局</w:t>
      </w:r>
    </w:p>
    <w:p>
      <w:pPr>
        <w:spacing w:line="560" w:lineRule="exact"/>
        <w:ind w:firstLine="640" w:firstLineChars="200"/>
        <w:rPr>
          <w:rFonts w:eastAsia="仿宋_GB2312"/>
          <w:sz w:val="32"/>
          <w:szCs w:val="84"/>
        </w:rPr>
      </w:pPr>
      <w:r>
        <w:rPr>
          <w:rFonts w:hint="eastAsia" w:eastAsia="仿宋_GB2312"/>
          <w:sz w:val="32"/>
          <w:szCs w:val="84"/>
        </w:rPr>
        <w:t>配合单位：县住建局、生态环境分局</w:t>
      </w:r>
    </w:p>
    <w:p>
      <w:pPr>
        <w:spacing w:line="560" w:lineRule="exact"/>
        <w:ind w:firstLine="643" w:firstLineChars="200"/>
        <w:rPr>
          <w:rFonts w:eastAsia="仿宋_GB2312"/>
          <w:b/>
          <w:sz w:val="32"/>
          <w:szCs w:val="84"/>
        </w:rPr>
      </w:pPr>
      <w:r>
        <w:rPr>
          <w:rFonts w:hint="eastAsia" w:eastAsia="仿宋_GB2312"/>
          <w:b/>
          <w:sz w:val="32"/>
          <w:szCs w:val="84"/>
        </w:rPr>
        <w:t>4.建设安全高效的水资源保障体系</w:t>
      </w:r>
    </w:p>
    <w:p>
      <w:pPr>
        <w:spacing w:line="560" w:lineRule="exact"/>
        <w:ind w:firstLine="640" w:firstLineChars="200"/>
        <w:rPr>
          <w:rFonts w:eastAsia="仿宋_GB2312"/>
          <w:sz w:val="32"/>
          <w:szCs w:val="84"/>
        </w:rPr>
      </w:pPr>
      <w:r>
        <w:rPr>
          <w:rFonts w:hint="eastAsia" w:eastAsia="仿宋_GB2312"/>
          <w:sz w:val="32"/>
          <w:szCs w:val="84"/>
        </w:rPr>
        <w:t>以水资源和水利工程的可持续利用，保障城市经济社会可持续发展为目标，加快重点水源和灌区工程建设，缓解用水需求矛盾，加快抗旱救灾应急水源建设，提高防范旱涝灾害的能力。完善城乡供水水源和管网建设，确保城乡用水安全。推进节水型城市建设，实现水资源的可持续发展，构建符合宜良县实际安全高效的水资源保障体系。</w:t>
      </w:r>
    </w:p>
    <w:p>
      <w:pPr>
        <w:spacing w:line="560" w:lineRule="exact"/>
        <w:ind w:firstLine="640" w:firstLineChars="200"/>
        <w:rPr>
          <w:rFonts w:eastAsia="仿宋_GB2312"/>
          <w:sz w:val="32"/>
          <w:szCs w:val="84"/>
        </w:rPr>
      </w:pPr>
      <w:r>
        <w:rPr>
          <w:rFonts w:hint="eastAsia" w:eastAsia="仿宋_GB2312"/>
          <w:sz w:val="32"/>
          <w:szCs w:val="84"/>
        </w:rPr>
        <w:t>牵头责任单位：县水务局</w:t>
      </w:r>
    </w:p>
    <w:p>
      <w:pPr>
        <w:spacing w:line="560" w:lineRule="exact"/>
        <w:ind w:firstLine="640" w:firstLineChars="200"/>
        <w:rPr>
          <w:rFonts w:eastAsia="仿宋_GB2312"/>
          <w:sz w:val="32"/>
          <w:szCs w:val="84"/>
        </w:rPr>
      </w:pPr>
      <w:r>
        <w:rPr>
          <w:rFonts w:hint="eastAsia" w:eastAsia="仿宋_GB2312"/>
          <w:sz w:val="32"/>
          <w:szCs w:val="84"/>
        </w:rPr>
        <w:t>配合单位：县住建局、生态环境分局</w:t>
      </w:r>
    </w:p>
    <w:p>
      <w:pPr>
        <w:spacing w:line="560" w:lineRule="exact"/>
        <w:ind w:firstLine="640" w:firstLineChars="200"/>
        <w:rPr>
          <w:rFonts w:ascii="楷体_GB2312" w:eastAsia="楷体_GB2312"/>
          <w:sz w:val="32"/>
          <w:szCs w:val="84"/>
        </w:rPr>
      </w:pPr>
      <w:r>
        <w:rPr>
          <w:rFonts w:hint="eastAsia" w:ascii="楷体_GB2312" w:eastAsia="楷体_GB2312"/>
          <w:sz w:val="32"/>
          <w:szCs w:val="84"/>
        </w:rPr>
        <w:t>（三）全面控制污染物排放</w:t>
      </w:r>
    </w:p>
    <w:p>
      <w:pPr>
        <w:spacing w:line="560" w:lineRule="exact"/>
        <w:ind w:firstLine="643" w:firstLineChars="200"/>
        <w:rPr>
          <w:rFonts w:eastAsia="仿宋_GB2312"/>
          <w:b/>
          <w:sz w:val="32"/>
          <w:szCs w:val="84"/>
        </w:rPr>
      </w:pPr>
      <w:r>
        <w:rPr>
          <w:rFonts w:hint="eastAsia" w:eastAsia="仿宋_GB2312"/>
          <w:b/>
          <w:sz w:val="32"/>
          <w:szCs w:val="84"/>
        </w:rPr>
        <w:t>1.狠抓工业污染防治</w:t>
      </w:r>
    </w:p>
    <w:p>
      <w:pPr>
        <w:spacing w:line="560" w:lineRule="exact"/>
        <w:ind w:firstLine="640" w:firstLineChars="200"/>
        <w:rPr>
          <w:rFonts w:eastAsia="仿宋_GB2312"/>
          <w:sz w:val="32"/>
          <w:szCs w:val="84"/>
        </w:rPr>
      </w:pPr>
      <w:r>
        <w:rPr>
          <w:rFonts w:hint="eastAsia" w:eastAsia="仿宋_GB2312"/>
          <w:sz w:val="32"/>
          <w:szCs w:val="84"/>
        </w:rPr>
        <w:t>（1）持续开展取缔“十小”企业工作。取缔不符合国家产业政策的小型炼焦、造纸、炼油、炼砷等严重污染水环境的生产项目。</w:t>
      </w:r>
    </w:p>
    <w:p>
      <w:pPr>
        <w:spacing w:line="560" w:lineRule="exact"/>
        <w:ind w:firstLine="640" w:firstLineChars="200"/>
        <w:rPr>
          <w:rFonts w:eastAsia="仿宋_GB2312"/>
          <w:sz w:val="32"/>
          <w:szCs w:val="84"/>
        </w:rPr>
      </w:pPr>
      <w:r>
        <w:rPr>
          <w:rFonts w:hint="eastAsia" w:eastAsia="仿宋_GB2312"/>
          <w:sz w:val="32"/>
          <w:szCs w:val="84"/>
        </w:rPr>
        <w:t>牵头责任单位：县科技工信局</w:t>
      </w:r>
    </w:p>
    <w:p>
      <w:pPr>
        <w:spacing w:line="560" w:lineRule="exact"/>
        <w:ind w:firstLine="640" w:firstLineChars="200"/>
        <w:rPr>
          <w:rFonts w:eastAsia="仿宋_GB2312"/>
          <w:sz w:val="32"/>
          <w:szCs w:val="84"/>
        </w:rPr>
      </w:pPr>
      <w:r>
        <w:rPr>
          <w:rFonts w:hint="eastAsia" w:eastAsia="仿宋_GB2312"/>
          <w:sz w:val="32"/>
          <w:szCs w:val="84"/>
        </w:rPr>
        <w:t>配合单位：生态环境分局、县国土局、县发改局</w:t>
      </w:r>
    </w:p>
    <w:p>
      <w:pPr>
        <w:spacing w:line="560" w:lineRule="exact"/>
        <w:ind w:firstLine="640" w:firstLineChars="200"/>
        <w:rPr>
          <w:rFonts w:eastAsia="仿宋_GB2312"/>
          <w:sz w:val="32"/>
          <w:szCs w:val="84"/>
        </w:rPr>
      </w:pPr>
      <w:r>
        <w:rPr>
          <w:rFonts w:hint="eastAsia" w:eastAsia="仿宋_GB2312"/>
          <w:sz w:val="32"/>
          <w:szCs w:val="84"/>
        </w:rPr>
        <w:t>（2）加大巡察力度，通过日常检查、督查以及群众举报投诉环境问题、网络曝光等途径，将应纳入取缔范围的“十小项目”及时纳入取缔清单。</w:t>
      </w:r>
    </w:p>
    <w:p>
      <w:pPr>
        <w:spacing w:line="560" w:lineRule="exact"/>
        <w:ind w:firstLine="640" w:firstLineChars="200"/>
        <w:rPr>
          <w:rFonts w:eastAsia="仿宋_GB2312"/>
          <w:sz w:val="32"/>
          <w:szCs w:val="84"/>
        </w:rPr>
      </w:pPr>
      <w:r>
        <w:rPr>
          <w:rFonts w:hint="eastAsia" w:eastAsia="仿宋_GB2312"/>
          <w:sz w:val="32"/>
          <w:szCs w:val="84"/>
        </w:rPr>
        <w:t>牵头责任单位：生态环境分局</w:t>
      </w:r>
    </w:p>
    <w:p>
      <w:pPr>
        <w:spacing w:line="560" w:lineRule="exact"/>
        <w:ind w:firstLine="640" w:firstLineChars="200"/>
        <w:rPr>
          <w:rFonts w:eastAsia="仿宋_GB2312"/>
          <w:sz w:val="32"/>
          <w:szCs w:val="84"/>
        </w:rPr>
      </w:pPr>
      <w:r>
        <w:rPr>
          <w:rFonts w:hint="eastAsia" w:eastAsia="仿宋_GB2312"/>
          <w:sz w:val="32"/>
          <w:szCs w:val="84"/>
        </w:rPr>
        <w:t>配合单位：县科技工信局、县国土局、县发改局</w:t>
      </w:r>
    </w:p>
    <w:p>
      <w:pPr>
        <w:spacing w:line="560" w:lineRule="exact"/>
        <w:ind w:firstLine="640" w:firstLineChars="200"/>
        <w:rPr>
          <w:rFonts w:eastAsia="仿宋_GB2312"/>
          <w:sz w:val="32"/>
          <w:szCs w:val="84"/>
        </w:rPr>
      </w:pPr>
      <w:r>
        <w:rPr>
          <w:rFonts w:hint="eastAsia" w:eastAsia="仿宋_GB2312"/>
          <w:sz w:val="32"/>
          <w:szCs w:val="84"/>
        </w:rPr>
        <w:t>（3）实施清洁化改造。加快推进造纸行业纸浆无元素氯漂白改造或采取其他低污染制浆技术，钢铁企业焦炉干熄焦技术改造，氮肥行业尿素生产完成工艺冷凝液水解解析技术改造，印染行业实施低排水染整工艺改造，制药（抗生素、维生素）行业实施绿色酶法生产技术改造。</w:t>
      </w:r>
    </w:p>
    <w:p>
      <w:pPr>
        <w:spacing w:line="560" w:lineRule="exact"/>
        <w:ind w:firstLine="640" w:firstLineChars="200"/>
        <w:rPr>
          <w:rFonts w:eastAsia="仿宋_GB2312"/>
          <w:sz w:val="32"/>
          <w:szCs w:val="84"/>
        </w:rPr>
      </w:pPr>
      <w:r>
        <w:rPr>
          <w:rFonts w:hint="eastAsia" w:eastAsia="仿宋_GB2312"/>
          <w:sz w:val="32"/>
          <w:szCs w:val="84"/>
        </w:rPr>
        <w:t>牵头责任单位：县科技工信局</w:t>
      </w:r>
    </w:p>
    <w:p>
      <w:pPr>
        <w:spacing w:line="560" w:lineRule="exact"/>
        <w:ind w:firstLine="640" w:firstLineChars="200"/>
        <w:rPr>
          <w:rFonts w:eastAsia="仿宋_GB2312"/>
          <w:sz w:val="32"/>
          <w:szCs w:val="84"/>
        </w:rPr>
      </w:pPr>
      <w:r>
        <w:rPr>
          <w:rFonts w:hint="eastAsia" w:eastAsia="仿宋_GB2312"/>
          <w:sz w:val="32"/>
          <w:szCs w:val="84"/>
        </w:rPr>
        <w:t>配合单位：生态环境分局</w:t>
      </w:r>
    </w:p>
    <w:p>
      <w:pPr>
        <w:spacing w:line="560" w:lineRule="exact"/>
        <w:ind w:firstLine="640" w:firstLineChars="200"/>
        <w:rPr>
          <w:rFonts w:eastAsia="仿宋_GB2312"/>
          <w:sz w:val="32"/>
          <w:szCs w:val="84"/>
        </w:rPr>
      </w:pPr>
      <w:r>
        <w:rPr>
          <w:rFonts w:hint="eastAsia" w:eastAsia="仿宋_GB2312"/>
          <w:sz w:val="32"/>
          <w:szCs w:val="84"/>
        </w:rPr>
        <w:t>（4）集中治理工业集聚区水污染。加强对现有工业集聚区建成的污水集中处理设施及在线监控装置的监管，督促工业集聚区污水集中处理设施及在线监控装置正常运行。督促工业集聚区内企业将工业废水预处理达到集中处理要求后，进入污水集中处理设施。</w:t>
      </w:r>
    </w:p>
    <w:p>
      <w:pPr>
        <w:spacing w:line="560" w:lineRule="exact"/>
        <w:ind w:firstLine="640" w:firstLineChars="200"/>
        <w:rPr>
          <w:rFonts w:eastAsia="仿宋_GB2312"/>
          <w:sz w:val="32"/>
          <w:szCs w:val="84"/>
        </w:rPr>
      </w:pPr>
      <w:r>
        <w:rPr>
          <w:rFonts w:hint="eastAsia" w:eastAsia="仿宋_GB2312"/>
          <w:sz w:val="32"/>
          <w:szCs w:val="84"/>
        </w:rPr>
        <w:t>牵头责任单位：生态环境分局</w:t>
      </w:r>
    </w:p>
    <w:p>
      <w:pPr>
        <w:spacing w:line="560" w:lineRule="exact"/>
        <w:ind w:firstLine="640" w:firstLineChars="200"/>
        <w:rPr>
          <w:rFonts w:eastAsia="仿宋_GB2312"/>
          <w:sz w:val="32"/>
          <w:szCs w:val="84"/>
        </w:rPr>
      </w:pPr>
      <w:r>
        <w:rPr>
          <w:rFonts w:hint="eastAsia" w:eastAsia="仿宋_GB2312"/>
          <w:sz w:val="32"/>
          <w:szCs w:val="84"/>
        </w:rPr>
        <w:t>配合单位：县科技工信局、县科技工信局、县城管局、宜良工业园区管委会</w:t>
      </w:r>
    </w:p>
    <w:p>
      <w:pPr>
        <w:spacing w:line="560" w:lineRule="exact"/>
        <w:ind w:firstLine="643" w:firstLineChars="200"/>
        <w:rPr>
          <w:rFonts w:eastAsia="仿宋_GB2312"/>
          <w:b/>
          <w:sz w:val="32"/>
          <w:szCs w:val="84"/>
        </w:rPr>
      </w:pPr>
      <w:r>
        <w:rPr>
          <w:rFonts w:hint="eastAsia" w:eastAsia="仿宋_GB2312"/>
          <w:b/>
          <w:sz w:val="32"/>
          <w:szCs w:val="84"/>
        </w:rPr>
        <w:t>2.防治地下水污染</w:t>
      </w:r>
    </w:p>
    <w:p>
      <w:pPr>
        <w:spacing w:line="560" w:lineRule="exact"/>
        <w:ind w:firstLine="640" w:firstLineChars="200"/>
        <w:rPr>
          <w:rFonts w:eastAsia="仿宋_GB2312"/>
          <w:sz w:val="32"/>
          <w:szCs w:val="84"/>
        </w:rPr>
      </w:pPr>
      <w:r>
        <w:rPr>
          <w:rFonts w:hint="eastAsia" w:eastAsia="仿宋_GB2312"/>
          <w:sz w:val="32"/>
          <w:szCs w:val="84"/>
        </w:rPr>
        <w:t>（1）完成集中式地下水型饮用水水源补给区环境状况调查，确定地下水污染防治重点区域，制定地下水污染防治工作方案并组织实施。</w:t>
      </w:r>
    </w:p>
    <w:p>
      <w:pPr>
        <w:spacing w:line="560" w:lineRule="exact"/>
        <w:ind w:firstLine="640" w:firstLineChars="200"/>
        <w:rPr>
          <w:rFonts w:eastAsia="仿宋_GB2312"/>
          <w:sz w:val="32"/>
          <w:szCs w:val="84"/>
        </w:rPr>
      </w:pPr>
      <w:r>
        <w:rPr>
          <w:rFonts w:hint="eastAsia" w:eastAsia="仿宋_GB2312"/>
          <w:sz w:val="32"/>
          <w:szCs w:val="84"/>
        </w:rPr>
        <w:t>牵头责任单位：县水务局、生态环境分局</w:t>
      </w:r>
    </w:p>
    <w:p>
      <w:pPr>
        <w:spacing w:line="560" w:lineRule="exact"/>
        <w:ind w:firstLine="640" w:firstLineChars="200"/>
        <w:rPr>
          <w:rFonts w:eastAsia="仿宋_GB2312"/>
          <w:sz w:val="32"/>
          <w:szCs w:val="84"/>
        </w:rPr>
      </w:pPr>
      <w:r>
        <w:rPr>
          <w:rFonts w:hint="eastAsia" w:eastAsia="仿宋_GB2312"/>
          <w:sz w:val="32"/>
          <w:szCs w:val="84"/>
        </w:rPr>
        <w:t>配合单位：县国土局、县财政局</w:t>
      </w:r>
    </w:p>
    <w:p>
      <w:pPr>
        <w:spacing w:line="560" w:lineRule="exact"/>
        <w:ind w:firstLine="640" w:firstLineChars="200"/>
        <w:rPr>
          <w:rFonts w:eastAsia="仿宋_GB2312"/>
          <w:sz w:val="32"/>
          <w:szCs w:val="84"/>
        </w:rPr>
      </w:pPr>
      <w:r>
        <w:rPr>
          <w:rFonts w:hint="eastAsia" w:eastAsia="仿宋_GB2312"/>
          <w:sz w:val="32"/>
          <w:szCs w:val="84"/>
        </w:rPr>
        <w:t>（2）加快推进加油站地下油罐更新改造工作，将双层油罐作为新建加油站的审批条件。</w:t>
      </w:r>
    </w:p>
    <w:p>
      <w:pPr>
        <w:spacing w:line="560" w:lineRule="exact"/>
        <w:ind w:firstLine="640" w:firstLineChars="200"/>
        <w:rPr>
          <w:rFonts w:eastAsia="仿宋_GB2312"/>
          <w:sz w:val="32"/>
          <w:szCs w:val="84"/>
        </w:rPr>
      </w:pPr>
      <w:r>
        <w:rPr>
          <w:rFonts w:hint="eastAsia" w:eastAsia="仿宋_GB2312"/>
          <w:sz w:val="32"/>
          <w:szCs w:val="84"/>
        </w:rPr>
        <w:t>牵头责任单位：生态环境分局、县科技工信局</w:t>
      </w:r>
    </w:p>
    <w:p>
      <w:pPr>
        <w:spacing w:line="560" w:lineRule="exact"/>
        <w:ind w:firstLine="643" w:firstLineChars="200"/>
        <w:rPr>
          <w:rFonts w:eastAsia="仿宋_GB2312"/>
          <w:sz w:val="32"/>
          <w:szCs w:val="84"/>
        </w:rPr>
      </w:pPr>
      <w:r>
        <w:rPr>
          <w:rFonts w:hint="eastAsia" w:eastAsia="仿宋_GB2312"/>
          <w:b/>
          <w:sz w:val="32"/>
          <w:szCs w:val="84"/>
        </w:rPr>
        <w:t>3.推进污泥规范处理处置</w:t>
      </w:r>
    </w:p>
    <w:p>
      <w:pPr>
        <w:spacing w:line="560" w:lineRule="exact"/>
        <w:ind w:firstLine="640" w:firstLineChars="200"/>
        <w:rPr>
          <w:rFonts w:eastAsia="仿宋_GB2312"/>
          <w:sz w:val="32"/>
          <w:szCs w:val="84"/>
        </w:rPr>
      </w:pPr>
      <w:r>
        <w:rPr>
          <w:rFonts w:hint="eastAsia" w:eastAsia="仿宋_GB2312"/>
          <w:sz w:val="32"/>
          <w:szCs w:val="84"/>
        </w:rPr>
        <w:t>污水处理设施产生的污泥应进行稳定化、无害化和资源化处理处置，处理处置不达标的污泥禁止进入耕地。非法污泥堆放点一律予以取缔。继续推进现有污泥处理处置设施基本完成达标改造。</w:t>
      </w:r>
    </w:p>
    <w:p>
      <w:pPr>
        <w:spacing w:line="560" w:lineRule="exact"/>
        <w:ind w:firstLine="640" w:firstLineChars="200"/>
        <w:rPr>
          <w:rFonts w:eastAsia="仿宋_GB2312"/>
          <w:sz w:val="32"/>
          <w:szCs w:val="84"/>
        </w:rPr>
      </w:pPr>
      <w:r>
        <w:rPr>
          <w:rFonts w:hint="eastAsia" w:eastAsia="仿宋_GB2312"/>
          <w:sz w:val="32"/>
          <w:szCs w:val="84"/>
        </w:rPr>
        <w:t>牵头责任单位：县住建局</w:t>
      </w:r>
    </w:p>
    <w:p>
      <w:pPr>
        <w:spacing w:line="560" w:lineRule="exact"/>
        <w:ind w:firstLine="640" w:firstLineChars="200"/>
        <w:rPr>
          <w:rFonts w:eastAsia="仿宋_GB2312"/>
          <w:sz w:val="32"/>
          <w:szCs w:val="84"/>
        </w:rPr>
      </w:pPr>
      <w:r>
        <w:rPr>
          <w:rFonts w:hint="eastAsia" w:eastAsia="仿宋_GB2312"/>
          <w:sz w:val="32"/>
          <w:szCs w:val="84"/>
        </w:rPr>
        <w:t>配合单位：县国土局、县发改局、县科技工信局、生态环境分局、县农业农村局</w:t>
      </w:r>
    </w:p>
    <w:p>
      <w:pPr>
        <w:spacing w:line="560" w:lineRule="exact"/>
        <w:ind w:firstLine="640" w:firstLineChars="200"/>
        <w:rPr>
          <w:rFonts w:ascii="楷体_GB2312" w:eastAsia="楷体_GB2312"/>
          <w:sz w:val="32"/>
          <w:szCs w:val="84"/>
        </w:rPr>
      </w:pPr>
      <w:r>
        <w:rPr>
          <w:rFonts w:hint="eastAsia" w:ascii="楷体_GB2312" w:eastAsia="楷体_GB2312"/>
          <w:sz w:val="32"/>
          <w:szCs w:val="84"/>
        </w:rPr>
        <w:t>（四）进一步完善制度保障和工作措施</w:t>
      </w:r>
    </w:p>
    <w:p>
      <w:pPr>
        <w:spacing w:line="560" w:lineRule="exact"/>
        <w:ind w:firstLine="643" w:firstLineChars="200"/>
        <w:rPr>
          <w:rFonts w:eastAsia="仿宋_GB2312"/>
          <w:b/>
          <w:sz w:val="32"/>
          <w:szCs w:val="84"/>
        </w:rPr>
      </w:pPr>
      <w:r>
        <w:rPr>
          <w:rFonts w:hint="eastAsia" w:eastAsia="仿宋_GB2312"/>
          <w:b/>
          <w:sz w:val="32"/>
          <w:szCs w:val="84"/>
        </w:rPr>
        <w:t>1.严格环境执法监管</w:t>
      </w:r>
    </w:p>
    <w:p>
      <w:pPr>
        <w:spacing w:line="560" w:lineRule="exact"/>
        <w:ind w:firstLine="640" w:firstLineChars="200"/>
        <w:rPr>
          <w:rFonts w:eastAsia="仿宋_GB2312"/>
          <w:sz w:val="32"/>
          <w:szCs w:val="84"/>
        </w:rPr>
      </w:pPr>
      <w:r>
        <w:rPr>
          <w:rFonts w:hint="eastAsia" w:eastAsia="仿宋_GB2312"/>
          <w:sz w:val="32"/>
          <w:szCs w:val="84"/>
        </w:rPr>
        <w:t>所有排污单位必须依法实现全面达标排放。逐一排查工业企业排污情况，排污单位应采取措施确保稳定达标；对超标和超总量的企业予以“黄牌”警示，一律限制生产或停产整治；对整治仍不能达到要求且情节严重的企业予以“红牌”处罚，一律停业、关闭。定期公布环保“黄牌”“红牌”企业名单。定期抽查排污单位达标排放情况，结果向社会公布。逐步实行推行环境监管网格化管理。</w:t>
      </w:r>
    </w:p>
    <w:p>
      <w:pPr>
        <w:spacing w:line="560" w:lineRule="exact"/>
        <w:ind w:firstLine="640" w:firstLineChars="200"/>
        <w:rPr>
          <w:rFonts w:eastAsia="仿宋_GB2312"/>
          <w:sz w:val="32"/>
          <w:szCs w:val="84"/>
        </w:rPr>
      </w:pPr>
      <w:r>
        <w:rPr>
          <w:rFonts w:hint="eastAsia" w:eastAsia="仿宋_GB2312"/>
          <w:sz w:val="32"/>
          <w:szCs w:val="84"/>
        </w:rPr>
        <w:t>牵头责任单位：生态环境分局</w:t>
      </w:r>
    </w:p>
    <w:p>
      <w:pPr>
        <w:spacing w:line="560" w:lineRule="exact"/>
        <w:ind w:firstLine="643" w:firstLineChars="200"/>
        <w:rPr>
          <w:rFonts w:eastAsia="仿宋_GB2312"/>
          <w:b/>
          <w:sz w:val="32"/>
          <w:szCs w:val="84"/>
        </w:rPr>
      </w:pPr>
      <w:r>
        <w:rPr>
          <w:rFonts w:hint="eastAsia" w:eastAsia="仿宋_GB2312"/>
          <w:b/>
          <w:sz w:val="32"/>
          <w:szCs w:val="84"/>
        </w:rPr>
        <w:t>2.切实加强水环境管理</w:t>
      </w:r>
    </w:p>
    <w:p>
      <w:pPr>
        <w:spacing w:line="560" w:lineRule="exact"/>
        <w:ind w:firstLine="640" w:firstLineChars="200"/>
        <w:rPr>
          <w:rFonts w:eastAsia="仿宋_GB2312"/>
          <w:sz w:val="32"/>
          <w:szCs w:val="84"/>
        </w:rPr>
      </w:pPr>
      <w:r>
        <w:rPr>
          <w:rFonts w:hint="eastAsia" w:eastAsia="仿宋_GB2312"/>
          <w:sz w:val="32"/>
          <w:szCs w:val="84"/>
        </w:rPr>
        <w:t>（1）严格环境风险控制</w:t>
      </w:r>
    </w:p>
    <w:p>
      <w:pPr>
        <w:spacing w:line="560" w:lineRule="exact"/>
        <w:ind w:firstLine="640" w:firstLineChars="200"/>
        <w:rPr>
          <w:rFonts w:eastAsia="仿宋_GB2312"/>
          <w:sz w:val="32"/>
          <w:szCs w:val="84"/>
        </w:rPr>
      </w:pPr>
      <w:r>
        <w:rPr>
          <w:rFonts w:hint="eastAsia" w:ascii="仿宋_GB2312" w:eastAsia="仿宋_GB2312"/>
          <w:sz w:val="32"/>
          <w:szCs w:val="84"/>
        </w:rPr>
        <w:t>①</w:t>
      </w:r>
      <w:r>
        <w:rPr>
          <w:rFonts w:hint="eastAsia" w:eastAsia="仿宋_GB2312"/>
          <w:sz w:val="32"/>
          <w:szCs w:val="84"/>
        </w:rPr>
        <w:t>防范环境风险。按照环境和健康风险评估体系，定期评估沿江河湖库工业企业、工业集聚区环境和健康风险，落实防控措施。评估现有化学物质环境和健康风险，按照国家发布的优先控制化学品名录，对高风险化学品生产、储存、销售、运输、使用进行严格限制。</w:t>
      </w:r>
    </w:p>
    <w:p>
      <w:pPr>
        <w:spacing w:line="560" w:lineRule="exact"/>
        <w:ind w:firstLine="640" w:firstLineChars="200"/>
        <w:rPr>
          <w:rFonts w:eastAsia="仿宋_GB2312"/>
          <w:sz w:val="32"/>
          <w:szCs w:val="84"/>
        </w:rPr>
      </w:pPr>
      <w:r>
        <w:rPr>
          <w:rFonts w:hint="eastAsia" w:eastAsia="仿宋_GB2312"/>
          <w:sz w:val="32"/>
          <w:szCs w:val="84"/>
        </w:rPr>
        <w:t>牵头责任单位：生态环境分局</w:t>
      </w:r>
    </w:p>
    <w:p>
      <w:pPr>
        <w:spacing w:line="560" w:lineRule="exact"/>
        <w:ind w:firstLine="640" w:firstLineChars="200"/>
        <w:rPr>
          <w:rFonts w:eastAsia="仿宋_GB2312"/>
          <w:sz w:val="32"/>
          <w:szCs w:val="84"/>
        </w:rPr>
      </w:pPr>
      <w:r>
        <w:rPr>
          <w:rFonts w:hint="eastAsia" w:eastAsia="仿宋_GB2312"/>
          <w:sz w:val="32"/>
          <w:szCs w:val="84"/>
        </w:rPr>
        <w:t>配合单位：县科技工信局、县卫健局、县应急局、县公安局、宜良工业园区管委会</w:t>
      </w:r>
    </w:p>
    <w:p>
      <w:pPr>
        <w:spacing w:line="560" w:lineRule="exact"/>
        <w:ind w:firstLine="640" w:firstLineChars="200"/>
        <w:rPr>
          <w:rFonts w:eastAsia="仿宋_GB2312"/>
          <w:sz w:val="32"/>
          <w:szCs w:val="84"/>
        </w:rPr>
      </w:pPr>
      <w:r>
        <w:rPr>
          <w:rFonts w:hint="eastAsia" w:ascii="仿宋_GB2312" w:eastAsia="仿宋_GB2312"/>
          <w:sz w:val="32"/>
          <w:szCs w:val="84"/>
        </w:rPr>
        <w:t>②</w:t>
      </w:r>
      <w:r>
        <w:rPr>
          <w:rFonts w:hint="eastAsia" w:eastAsia="仿宋_GB2312"/>
          <w:sz w:val="32"/>
          <w:szCs w:val="84"/>
        </w:rPr>
        <w:t>加强尾矿库隐患排查和综合治理。建立健全重大危险源分级监控制度，将建在禁建区内、涉及有毒有害污染物、下游有集中式饮用水水源地和其他敏感点的尾矿库，列为重大环境安全隐患，建立尾矿库环境安全管理台账，加强对隐患登记、整改、销号的全过程管理。</w:t>
      </w:r>
    </w:p>
    <w:p>
      <w:pPr>
        <w:spacing w:line="560" w:lineRule="exact"/>
        <w:ind w:firstLine="640" w:firstLineChars="200"/>
        <w:rPr>
          <w:rFonts w:eastAsia="仿宋_GB2312"/>
          <w:sz w:val="32"/>
          <w:szCs w:val="84"/>
        </w:rPr>
      </w:pPr>
      <w:r>
        <w:rPr>
          <w:rFonts w:hint="eastAsia" w:eastAsia="仿宋_GB2312"/>
          <w:sz w:val="32"/>
          <w:szCs w:val="84"/>
        </w:rPr>
        <w:t>牵头责任单位：生态环境分局</w:t>
      </w:r>
    </w:p>
    <w:p>
      <w:pPr>
        <w:spacing w:line="560" w:lineRule="exact"/>
        <w:ind w:firstLine="640" w:firstLineChars="200"/>
        <w:rPr>
          <w:rFonts w:eastAsia="仿宋_GB2312"/>
          <w:sz w:val="32"/>
          <w:szCs w:val="84"/>
        </w:rPr>
      </w:pPr>
      <w:r>
        <w:rPr>
          <w:rFonts w:hint="eastAsia" w:eastAsia="仿宋_GB2312"/>
          <w:sz w:val="32"/>
          <w:szCs w:val="84"/>
        </w:rPr>
        <w:t>配合单位：县国土局、县应急局</w:t>
      </w:r>
    </w:p>
    <w:p>
      <w:pPr>
        <w:spacing w:line="560" w:lineRule="exact"/>
        <w:ind w:firstLine="640" w:firstLineChars="200"/>
        <w:rPr>
          <w:rFonts w:eastAsia="仿宋_GB2312"/>
          <w:sz w:val="32"/>
          <w:szCs w:val="84"/>
        </w:rPr>
      </w:pPr>
      <w:r>
        <w:rPr>
          <w:rFonts w:hint="eastAsia" w:ascii="仿宋_GB2312" w:eastAsia="仿宋_GB2312"/>
          <w:sz w:val="32"/>
          <w:szCs w:val="84"/>
        </w:rPr>
        <w:t>③</w:t>
      </w:r>
      <w:r>
        <w:rPr>
          <w:rFonts w:hint="eastAsia" w:eastAsia="仿宋_GB2312"/>
          <w:sz w:val="32"/>
          <w:szCs w:val="84"/>
        </w:rPr>
        <w:t>稳妥处置突发水环境污染事件。按照属地管理原则制定和完善水污染事故处置应急预案，落实责任主体，明确预警预报与响应程序、应急处置及保障措施等内容，依法及时公布预警信息。</w:t>
      </w:r>
    </w:p>
    <w:p>
      <w:pPr>
        <w:spacing w:line="560" w:lineRule="exact"/>
        <w:ind w:firstLine="640" w:firstLineChars="200"/>
        <w:rPr>
          <w:rFonts w:eastAsia="仿宋_GB2312"/>
          <w:sz w:val="32"/>
          <w:szCs w:val="84"/>
        </w:rPr>
      </w:pPr>
      <w:r>
        <w:rPr>
          <w:rFonts w:hint="eastAsia" w:eastAsia="仿宋_GB2312"/>
          <w:sz w:val="32"/>
          <w:szCs w:val="84"/>
        </w:rPr>
        <w:t>牵头责任单位：生态环境分局</w:t>
      </w:r>
    </w:p>
    <w:p>
      <w:pPr>
        <w:spacing w:line="560" w:lineRule="exact"/>
        <w:ind w:firstLine="640" w:firstLineChars="200"/>
        <w:rPr>
          <w:rFonts w:eastAsia="仿宋_GB2312"/>
          <w:sz w:val="32"/>
          <w:szCs w:val="84"/>
        </w:rPr>
      </w:pPr>
      <w:r>
        <w:rPr>
          <w:rFonts w:hint="eastAsia" w:eastAsia="仿宋_GB2312"/>
          <w:sz w:val="32"/>
          <w:szCs w:val="84"/>
        </w:rPr>
        <w:t>配合单位：县住建局、县水务局、县农业农村局、县卫健局、各乡镇（街道）</w:t>
      </w:r>
    </w:p>
    <w:p>
      <w:pPr>
        <w:spacing w:line="560" w:lineRule="exact"/>
        <w:ind w:firstLine="640" w:firstLineChars="200"/>
        <w:rPr>
          <w:rFonts w:eastAsia="仿宋_GB2312"/>
          <w:sz w:val="32"/>
          <w:szCs w:val="84"/>
        </w:rPr>
      </w:pPr>
      <w:r>
        <w:rPr>
          <w:rFonts w:hint="eastAsia" w:eastAsia="仿宋_GB2312"/>
          <w:sz w:val="32"/>
          <w:szCs w:val="84"/>
        </w:rPr>
        <w:t xml:space="preserve">（2）全面实施排污许可制。加强许可证管理，以改善水质、防范环境风险为目标，将污染物排放种类、浓度、总量、排放去向等纳入许可证管理范围。依法查处无证排污、超证排污等行为。  </w:t>
      </w:r>
    </w:p>
    <w:p>
      <w:pPr>
        <w:spacing w:line="560" w:lineRule="exact"/>
        <w:ind w:firstLine="640" w:firstLineChars="200"/>
        <w:rPr>
          <w:rFonts w:eastAsia="仿宋_GB2312"/>
          <w:sz w:val="32"/>
          <w:szCs w:val="84"/>
        </w:rPr>
      </w:pPr>
      <w:r>
        <w:rPr>
          <w:rFonts w:hint="eastAsia" w:eastAsia="仿宋_GB2312"/>
          <w:sz w:val="32"/>
          <w:szCs w:val="84"/>
        </w:rPr>
        <w:t>牵头责任单位：生态环境分局</w:t>
      </w:r>
    </w:p>
    <w:p>
      <w:pPr>
        <w:spacing w:line="560" w:lineRule="exact"/>
        <w:ind w:firstLine="640" w:firstLineChars="200"/>
        <w:rPr>
          <w:rFonts w:ascii="黑体" w:hAnsi="黑体" w:eastAsia="黑体"/>
          <w:sz w:val="32"/>
          <w:szCs w:val="84"/>
        </w:rPr>
      </w:pPr>
      <w:r>
        <w:rPr>
          <w:rFonts w:hint="eastAsia" w:ascii="黑体" w:hAnsi="黑体" w:eastAsia="黑体"/>
          <w:sz w:val="32"/>
          <w:szCs w:val="84"/>
        </w:rPr>
        <w:t>四、组织实施和考核监督</w:t>
      </w:r>
    </w:p>
    <w:p>
      <w:pPr>
        <w:spacing w:line="560" w:lineRule="exact"/>
        <w:ind w:firstLine="640" w:firstLineChars="200"/>
        <w:rPr>
          <w:rFonts w:ascii="楷体_GB2312" w:eastAsia="楷体_GB2312"/>
          <w:sz w:val="32"/>
          <w:szCs w:val="84"/>
        </w:rPr>
      </w:pPr>
      <w:r>
        <w:rPr>
          <w:rFonts w:hint="eastAsia" w:ascii="楷体_GB2312" w:eastAsia="楷体_GB2312"/>
          <w:sz w:val="32"/>
          <w:szCs w:val="84"/>
        </w:rPr>
        <w:t>（一）加强组织领导，健全调度机制</w:t>
      </w:r>
    </w:p>
    <w:p>
      <w:pPr>
        <w:spacing w:line="560" w:lineRule="exact"/>
        <w:ind w:firstLine="640" w:firstLineChars="200"/>
        <w:rPr>
          <w:rFonts w:eastAsia="仿宋_GB2312"/>
          <w:sz w:val="32"/>
          <w:szCs w:val="84"/>
        </w:rPr>
      </w:pPr>
      <w:r>
        <w:rPr>
          <w:rFonts w:hint="eastAsia" w:eastAsia="仿宋_GB2312"/>
          <w:sz w:val="32"/>
          <w:szCs w:val="84"/>
        </w:rPr>
        <w:t>各牵头责任单位是水污染防治责任主体，主要领导是第一责任人；要建立健全定期协调、定期检查的水污染防治工作机制，落实以资源环境承载力为约束、以水环境质量改善为核心的责任制；要完善政策措施，加大资金投入，统筹城乡水污染治理，强化监管，将目标任务分解落实到具体部门和责任人，确保年度任务圆满完成。</w:t>
      </w:r>
    </w:p>
    <w:p>
      <w:pPr>
        <w:spacing w:line="560" w:lineRule="exact"/>
        <w:ind w:firstLine="640" w:firstLineChars="200"/>
        <w:rPr>
          <w:rFonts w:eastAsia="仿宋_GB2312"/>
          <w:sz w:val="32"/>
          <w:szCs w:val="84"/>
        </w:rPr>
      </w:pPr>
      <w:r>
        <w:rPr>
          <w:rFonts w:hint="eastAsia" w:eastAsia="仿宋_GB2312"/>
          <w:sz w:val="32"/>
          <w:szCs w:val="84"/>
        </w:rPr>
        <w:t>完善联络对接和月调度机制。各牵头责任单位要确定1名本单位水污染防治工作联络员，负责本单位与县水污染防治工作领导小组办公室（生态环境分局）的工作对接，填报本单位当月水污染防治工作进展调度表，并于每月20日前通过OA报送县水污染防治工作领导小组办公室（生态环境分局）。</w:t>
      </w:r>
    </w:p>
    <w:p>
      <w:pPr>
        <w:spacing w:line="560" w:lineRule="exact"/>
        <w:ind w:firstLine="640" w:firstLineChars="200"/>
        <w:rPr>
          <w:rFonts w:ascii="楷体_GB2312" w:eastAsia="楷体_GB2312"/>
          <w:sz w:val="32"/>
          <w:szCs w:val="84"/>
        </w:rPr>
      </w:pPr>
      <w:r>
        <w:rPr>
          <w:rFonts w:hint="eastAsia" w:ascii="楷体_GB2312" w:eastAsia="楷体_GB2312"/>
          <w:sz w:val="32"/>
          <w:szCs w:val="84"/>
        </w:rPr>
        <w:t>（二）落实党政主体责任，强化责任追究</w:t>
      </w:r>
    </w:p>
    <w:p>
      <w:pPr>
        <w:spacing w:line="560" w:lineRule="exact"/>
        <w:ind w:firstLine="640" w:firstLineChars="200"/>
        <w:rPr>
          <w:rFonts w:eastAsia="仿宋_GB2312"/>
          <w:sz w:val="32"/>
          <w:szCs w:val="84"/>
        </w:rPr>
      </w:pPr>
      <w:r>
        <w:rPr>
          <w:rFonts w:hint="eastAsia" w:eastAsia="仿宋_GB2312"/>
          <w:sz w:val="32"/>
          <w:szCs w:val="84"/>
        </w:rPr>
        <w:t>按照《中共宜良县委办公室、宜良县人民政府办公室关于建立生态环境保护“党政同责”和“一岗双责”责任制的通知》（宜办通〔2018〕89号）的要求，切实落实“党政同责”“一岗双责”，各牵头单位主要领导是水污染防治工作第一责任人，对水污染防治工作负全面领导责任。各有关部门要按照责任分工，各司其职，各负其责，密切配合，形成合力。对因工作不力、履职缺位等导致未能有效应对水环境污染事件的，以及干预、伪造数据的，要依法依纪追究有关单位和人员责任。对不顾生态环境盲目决策，导致水环境质量恶化，造成严重后果的领导干部，要记录在案，视情节轻重，给予组织处理或纪律处分，已经离任的也要终身追究责任。</w:t>
      </w:r>
    </w:p>
    <w:p>
      <w:pPr>
        <w:spacing w:line="560" w:lineRule="exact"/>
        <w:ind w:firstLine="640" w:firstLineChars="200"/>
        <w:rPr>
          <w:rFonts w:ascii="楷体_GB2312" w:eastAsia="楷体_GB2312"/>
          <w:sz w:val="32"/>
          <w:szCs w:val="84"/>
        </w:rPr>
      </w:pPr>
      <w:r>
        <w:rPr>
          <w:rFonts w:hint="eastAsia" w:ascii="楷体_GB2312" w:eastAsia="楷体_GB2312"/>
          <w:sz w:val="32"/>
          <w:szCs w:val="84"/>
        </w:rPr>
        <w:t>（三）强化公众参与和社会监督</w:t>
      </w:r>
    </w:p>
    <w:p>
      <w:pPr>
        <w:spacing w:line="560" w:lineRule="exact"/>
        <w:ind w:firstLine="640" w:firstLineChars="200"/>
        <w:rPr>
          <w:rFonts w:eastAsia="仿宋_GB2312"/>
          <w:sz w:val="32"/>
          <w:szCs w:val="84"/>
        </w:rPr>
      </w:pPr>
      <w:r>
        <w:rPr>
          <w:rFonts w:hint="eastAsia" w:eastAsia="仿宋_GB2312"/>
          <w:sz w:val="32"/>
          <w:szCs w:val="84"/>
        </w:rPr>
        <w:t>严格信息公开。生态环境分局要定期公布行政区域内水环境质量状况。建立排污企业环境信息公报制度，依法向社会公开其产生的主要污染物名称、排放方式、排放浓度和总量、超标排放情况，以及污染防治设施的建设和运行情况，主动接受监督。</w:t>
      </w:r>
    </w:p>
    <w:p>
      <w:pPr>
        <w:spacing w:line="560" w:lineRule="exact"/>
        <w:ind w:firstLine="640" w:firstLineChars="200"/>
        <w:rPr>
          <w:rFonts w:eastAsia="仿宋_GB2312"/>
          <w:sz w:val="32"/>
          <w:szCs w:val="84"/>
        </w:rPr>
      </w:pPr>
      <w:r>
        <w:rPr>
          <w:rFonts w:hint="eastAsia" w:eastAsia="仿宋_GB2312"/>
          <w:sz w:val="32"/>
          <w:szCs w:val="84"/>
        </w:rPr>
        <w:t>加大宣传教育力度。通过广播、电视、报纸、互联网等新闻媒介，宣传水污染防治方面的法律、法规和政策，健康防护等方面的知识。积极引导广大群众了解水污染防治有关知识，增强自我防护意识。组织媒体宣传水污染防治先进典型，揭露和曝光严重污染环境的反面典型。把握好舆论导向，维护好社会稳定。</w:t>
      </w:r>
    </w:p>
    <w:p>
      <w:pPr>
        <w:spacing w:line="560" w:lineRule="exact"/>
        <w:ind w:left="1" w:firstLine="640" w:firstLineChars="200"/>
        <w:rPr>
          <w:rFonts w:hint="eastAsia" w:eastAsia="仿宋_GB2312"/>
          <w:sz w:val="32"/>
          <w:szCs w:val="84"/>
        </w:rPr>
      </w:pPr>
    </w:p>
    <w:p>
      <w:pPr>
        <w:spacing w:line="560" w:lineRule="exact"/>
        <w:ind w:left="1" w:firstLine="640" w:firstLineChars="200"/>
        <w:rPr>
          <w:rFonts w:eastAsia="仿宋_GB2312"/>
          <w:sz w:val="32"/>
          <w:szCs w:val="84"/>
        </w:rPr>
      </w:pPr>
      <w:r>
        <w:rPr>
          <w:rFonts w:hint="eastAsia" w:eastAsia="仿宋_GB2312"/>
          <w:sz w:val="32"/>
          <w:szCs w:val="84"/>
        </w:rPr>
        <w:t>附件：1．昆明市国家级、省级水质考核断面表</w:t>
      </w:r>
    </w:p>
    <w:p>
      <w:pPr>
        <w:spacing w:line="560" w:lineRule="exact"/>
        <w:ind w:left="1" w:firstLine="1648" w:firstLineChars="515"/>
        <w:rPr>
          <w:rFonts w:eastAsia="仿宋_GB2312"/>
          <w:sz w:val="32"/>
          <w:szCs w:val="84"/>
        </w:rPr>
      </w:pPr>
      <w:r>
        <w:rPr>
          <w:rFonts w:hint="eastAsia" w:eastAsia="仿宋_GB2312"/>
          <w:sz w:val="32"/>
          <w:szCs w:val="84"/>
        </w:rPr>
        <w:t>2．昆明市市级水质考核断面表</w:t>
      </w:r>
    </w:p>
    <w:p>
      <w:pPr>
        <w:autoSpaceDE w:val="0"/>
        <w:autoSpaceDN w:val="0"/>
        <w:adjustRightInd w:val="0"/>
        <w:spacing w:line="520" w:lineRule="exact"/>
        <w:rPr>
          <w:rFonts w:eastAsia="黑体" w:cs="Calibri"/>
          <w:sz w:val="32"/>
          <w:szCs w:val="32"/>
        </w:rPr>
      </w:pPr>
      <w:r>
        <w:rPr>
          <w:rFonts w:eastAsia="仿宋_GB2312"/>
          <w:sz w:val="32"/>
          <w:szCs w:val="84"/>
        </w:rPr>
        <w:br w:type="page"/>
      </w:r>
      <w:r>
        <w:rPr>
          <w:rFonts w:hint="eastAsia" w:ascii="黑体" w:eastAsia="黑体" w:cs="黑体"/>
          <w:sz w:val="32"/>
          <w:szCs w:val="32"/>
          <w:lang w:val="zh-CN"/>
        </w:rPr>
        <w:t>附件</w:t>
      </w:r>
      <w:r>
        <w:rPr>
          <w:rFonts w:eastAsia="黑体" w:cs="Calibri"/>
          <w:sz w:val="32"/>
          <w:szCs w:val="32"/>
        </w:rPr>
        <w:t>1</w:t>
      </w:r>
    </w:p>
    <w:p>
      <w:pPr>
        <w:autoSpaceDE w:val="0"/>
        <w:autoSpaceDN w:val="0"/>
        <w:adjustRightInd w:val="0"/>
        <w:spacing w:line="560" w:lineRule="exact"/>
        <w:jc w:val="center"/>
        <w:rPr>
          <w:rFonts w:eastAsia="方正小标宋_GBK" w:cs="Calibri"/>
          <w:sz w:val="44"/>
          <w:szCs w:val="44"/>
        </w:rPr>
      </w:pPr>
      <w:r>
        <w:rPr>
          <w:rFonts w:hint="eastAsia" w:ascii="方正小标宋_GBK" w:eastAsia="方正小标宋_GBK" w:cs="方正小标宋_GBK"/>
          <w:sz w:val="44"/>
          <w:szCs w:val="44"/>
          <w:lang w:val="zh-CN"/>
        </w:rPr>
        <w:t>昆明市国家级、省级水质考核断面表</w:t>
      </w:r>
    </w:p>
    <w:p>
      <w:pPr>
        <w:autoSpaceDE w:val="0"/>
        <w:autoSpaceDN w:val="0"/>
        <w:adjustRightInd w:val="0"/>
        <w:spacing w:line="580" w:lineRule="exact"/>
        <w:jc w:val="center"/>
        <w:rPr>
          <w:rFonts w:eastAsia="仿宋_GB2312" w:cs="Calibri"/>
          <w:sz w:val="32"/>
          <w:szCs w:val="32"/>
        </w:rPr>
      </w:pPr>
      <w:r>
        <w:rPr>
          <w:rFonts w:hint="eastAsia" w:ascii="仿宋_GB2312" w:eastAsia="仿宋_GB2312" w:cs="仿宋_GB2312"/>
          <w:sz w:val="32"/>
          <w:szCs w:val="32"/>
          <w:lang w:val="zh-CN"/>
        </w:rPr>
        <w:t>附件</w:t>
      </w:r>
      <w:r>
        <w:rPr>
          <w:rFonts w:eastAsia="仿宋_GB2312" w:cs="Calibri"/>
          <w:sz w:val="32"/>
          <w:szCs w:val="32"/>
        </w:rPr>
        <w:t>1</w:t>
      </w:r>
      <w:r>
        <w:rPr>
          <w:rFonts w:hint="eastAsia" w:eastAsia="仿宋_GB2312" w:cs="Calibri"/>
          <w:sz w:val="32"/>
          <w:szCs w:val="32"/>
        </w:rPr>
        <w:t>—</w:t>
      </w:r>
      <w:r>
        <w:rPr>
          <w:rFonts w:eastAsia="仿宋_GB2312" w:cs="Calibri"/>
          <w:sz w:val="32"/>
          <w:szCs w:val="32"/>
        </w:rPr>
        <w:t xml:space="preserve">1 </w:t>
      </w:r>
      <w:r>
        <w:rPr>
          <w:rFonts w:hint="eastAsia" w:ascii="仿宋_GB2312" w:eastAsia="仿宋_GB2312" w:cs="仿宋_GB2312"/>
          <w:sz w:val="32"/>
          <w:szCs w:val="32"/>
          <w:lang w:val="zh-CN"/>
        </w:rPr>
        <w:t>纳入国家考核断面水质目标表</w:t>
      </w:r>
    </w:p>
    <w:tbl>
      <w:tblPr>
        <w:tblStyle w:val="2"/>
        <w:tblW w:w="9243" w:type="dxa"/>
        <w:jc w:val="center"/>
        <w:tblInd w:w="0" w:type="dxa"/>
        <w:tblLayout w:type="fixed"/>
        <w:tblCellMar>
          <w:top w:w="0" w:type="dxa"/>
          <w:left w:w="108" w:type="dxa"/>
          <w:bottom w:w="0" w:type="dxa"/>
          <w:right w:w="108" w:type="dxa"/>
        </w:tblCellMar>
      </w:tblPr>
      <w:tblGrid>
        <w:gridCol w:w="736"/>
        <w:gridCol w:w="1129"/>
        <w:gridCol w:w="777"/>
        <w:gridCol w:w="2286"/>
        <w:gridCol w:w="1276"/>
        <w:gridCol w:w="1275"/>
        <w:gridCol w:w="1764"/>
      </w:tblGrid>
      <w:tr>
        <w:tblPrEx>
          <w:tblLayout w:type="fixed"/>
          <w:tblCellMar>
            <w:top w:w="0" w:type="dxa"/>
            <w:left w:w="108" w:type="dxa"/>
            <w:bottom w:w="0" w:type="dxa"/>
            <w:right w:w="108" w:type="dxa"/>
          </w:tblCellMar>
        </w:tblPrEx>
        <w:trPr>
          <w:trHeight w:val="669" w:hRule="atLeast"/>
          <w:jc w:val="center"/>
        </w:trPr>
        <w:tc>
          <w:tcPr>
            <w:tcW w:w="7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b/>
                <w:bCs/>
                <w:kern w:val="0"/>
                <w:sz w:val="20"/>
                <w:szCs w:val="20"/>
              </w:rPr>
            </w:pPr>
            <w:r>
              <w:rPr>
                <w:rFonts w:hint="eastAsia" w:ascii="仿宋_GB2312" w:eastAsia="仿宋_GB2312" w:cs="仿宋_GB2312"/>
                <w:b/>
                <w:bCs/>
                <w:kern w:val="0"/>
                <w:sz w:val="20"/>
                <w:szCs w:val="20"/>
                <w:lang w:val="zh-CN"/>
              </w:rPr>
              <w:t>序号</w:t>
            </w:r>
          </w:p>
        </w:tc>
        <w:tc>
          <w:tcPr>
            <w:tcW w:w="112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b/>
                <w:bCs/>
                <w:kern w:val="0"/>
                <w:sz w:val="20"/>
                <w:szCs w:val="20"/>
              </w:rPr>
            </w:pPr>
            <w:r>
              <w:rPr>
                <w:rFonts w:hint="eastAsia" w:ascii="仿宋_GB2312" w:eastAsia="仿宋_GB2312" w:cs="仿宋_GB2312"/>
                <w:b/>
                <w:bCs/>
                <w:kern w:val="0"/>
                <w:sz w:val="20"/>
                <w:szCs w:val="20"/>
                <w:lang w:val="zh-CN"/>
              </w:rPr>
              <w:t>考核县（市）区</w:t>
            </w:r>
          </w:p>
        </w:tc>
        <w:tc>
          <w:tcPr>
            <w:tcW w:w="77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b/>
                <w:bCs/>
                <w:kern w:val="0"/>
                <w:sz w:val="20"/>
                <w:szCs w:val="20"/>
              </w:rPr>
            </w:pPr>
            <w:r>
              <w:rPr>
                <w:rFonts w:hint="eastAsia" w:ascii="仿宋_GB2312" w:eastAsia="仿宋_GB2312" w:cs="仿宋_GB2312"/>
                <w:b/>
                <w:bCs/>
                <w:kern w:val="0"/>
                <w:sz w:val="20"/>
                <w:szCs w:val="20"/>
                <w:lang w:val="zh-CN"/>
              </w:rPr>
              <w:t>流域</w:t>
            </w:r>
          </w:p>
        </w:tc>
        <w:tc>
          <w:tcPr>
            <w:tcW w:w="228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b/>
                <w:bCs/>
                <w:kern w:val="0"/>
                <w:sz w:val="20"/>
                <w:szCs w:val="20"/>
              </w:rPr>
            </w:pPr>
            <w:r>
              <w:rPr>
                <w:rFonts w:hint="eastAsia" w:ascii="仿宋_GB2312" w:eastAsia="仿宋_GB2312" w:cs="仿宋_GB2312"/>
                <w:b/>
                <w:bCs/>
                <w:kern w:val="0"/>
                <w:sz w:val="20"/>
                <w:szCs w:val="20"/>
                <w:lang w:val="zh-CN"/>
              </w:rPr>
              <w:t>断面名称</w:t>
            </w:r>
          </w:p>
        </w:tc>
        <w:tc>
          <w:tcPr>
            <w:tcW w:w="12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b/>
                <w:bCs/>
                <w:kern w:val="0"/>
                <w:sz w:val="20"/>
                <w:szCs w:val="20"/>
              </w:rPr>
            </w:pPr>
            <w:r>
              <w:rPr>
                <w:rFonts w:hint="eastAsia" w:ascii="仿宋_GB2312" w:eastAsia="仿宋_GB2312" w:cs="仿宋_GB2312"/>
                <w:b/>
                <w:bCs/>
                <w:kern w:val="0"/>
                <w:sz w:val="20"/>
                <w:szCs w:val="20"/>
                <w:lang w:val="zh-CN"/>
              </w:rPr>
              <w:t>所在水体</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eastAsia="仿宋_GB2312" w:cs="仿宋_GB2312"/>
                <w:b/>
                <w:bCs/>
                <w:kern w:val="0"/>
                <w:sz w:val="20"/>
                <w:szCs w:val="20"/>
                <w:lang w:val="zh-CN"/>
              </w:rPr>
            </w:pPr>
            <w:r>
              <w:rPr>
                <w:rFonts w:ascii="仿宋_GB2312" w:eastAsia="仿宋_GB2312" w:cs="仿宋_GB2312"/>
                <w:b/>
                <w:bCs/>
                <w:kern w:val="0"/>
                <w:sz w:val="20"/>
                <w:szCs w:val="20"/>
                <w:lang w:val="zh-CN"/>
              </w:rPr>
              <w:t>2014</w:t>
            </w:r>
            <w:r>
              <w:rPr>
                <w:rFonts w:hint="eastAsia" w:ascii="仿宋_GB2312" w:eastAsia="仿宋_GB2312" w:cs="仿宋_GB2312"/>
                <w:b/>
                <w:bCs/>
                <w:kern w:val="0"/>
                <w:sz w:val="20"/>
                <w:szCs w:val="20"/>
                <w:lang w:val="zh-CN"/>
              </w:rPr>
              <w:t>年水质</w:t>
            </w:r>
          </w:p>
        </w:tc>
        <w:tc>
          <w:tcPr>
            <w:tcW w:w="17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eastAsia="仿宋_GB2312" w:cs="仿宋_GB2312"/>
                <w:b/>
                <w:bCs/>
                <w:kern w:val="0"/>
                <w:sz w:val="20"/>
                <w:szCs w:val="20"/>
                <w:lang w:val="zh-CN"/>
              </w:rPr>
            </w:pPr>
            <w:r>
              <w:rPr>
                <w:rFonts w:ascii="仿宋_GB2312" w:eastAsia="仿宋_GB2312" w:cs="仿宋_GB2312"/>
                <w:b/>
                <w:bCs/>
                <w:kern w:val="0"/>
                <w:sz w:val="20"/>
                <w:szCs w:val="20"/>
                <w:lang w:val="zh-CN"/>
              </w:rPr>
              <w:t>2019</w:t>
            </w:r>
            <w:r>
              <w:rPr>
                <w:rFonts w:hint="eastAsia" w:ascii="仿宋_GB2312" w:eastAsia="仿宋_GB2312" w:cs="仿宋_GB2312"/>
                <w:b/>
                <w:bCs/>
                <w:kern w:val="0"/>
                <w:sz w:val="20"/>
                <w:szCs w:val="20"/>
                <w:lang w:val="zh-CN"/>
              </w:rPr>
              <w:t>年水质目标</w:t>
            </w:r>
          </w:p>
        </w:tc>
      </w:tr>
      <w:tr>
        <w:tblPrEx>
          <w:tblLayout w:type="fixed"/>
          <w:tblCellMar>
            <w:top w:w="0" w:type="dxa"/>
            <w:left w:w="108" w:type="dxa"/>
            <w:bottom w:w="0" w:type="dxa"/>
            <w:right w:w="108" w:type="dxa"/>
          </w:tblCellMar>
        </w:tblPrEx>
        <w:trPr>
          <w:trHeight w:val="385" w:hRule="atLeast"/>
          <w:jc w:val="center"/>
        </w:trPr>
        <w:tc>
          <w:tcPr>
            <w:tcW w:w="7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kern w:val="0"/>
                <w:sz w:val="20"/>
                <w:szCs w:val="20"/>
              </w:rPr>
            </w:pPr>
            <w:r>
              <w:rPr>
                <w:rFonts w:hint="eastAsia" w:eastAsia="仿宋_GB2312" w:cs="Calibri"/>
                <w:kern w:val="0"/>
                <w:sz w:val="20"/>
                <w:szCs w:val="20"/>
              </w:rPr>
              <w:t>1</w:t>
            </w:r>
          </w:p>
        </w:tc>
        <w:tc>
          <w:tcPr>
            <w:tcW w:w="112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kern w:val="0"/>
                <w:sz w:val="20"/>
                <w:szCs w:val="20"/>
              </w:rPr>
            </w:pPr>
            <w:r>
              <w:rPr>
                <w:rFonts w:hint="eastAsia" w:ascii="仿宋_GB2312" w:eastAsia="仿宋_GB2312" w:cs="仿宋_GB2312"/>
                <w:kern w:val="0"/>
                <w:sz w:val="20"/>
                <w:szCs w:val="20"/>
                <w:lang w:val="zh-CN"/>
              </w:rPr>
              <w:t>宜良县</w:t>
            </w:r>
          </w:p>
        </w:tc>
        <w:tc>
          <w:tcPr>
            <w:tcW w:w="77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kern w:val="0"/>
                <w:sz w:val="20"/>
                <w:szCs w:val="20"/>
              </w:rPr>
            </w:pPr>
            <w:r>
              <w:rPr>
                <w:rFonts w:hint="eastAsia" w:ascii="仿宋_GB2312" w:eastAsia="仿宋_GB2312" w:cs="仿宋_GB2312"/>
                <w:kern w:val="0"/>
                <w:sz w:val="20"/>
                <w:szCs w:val="20"/>
                <w:lang w:val="zh-CN"/>
              </w:rPr>
              <w:t>珠江流域</w:t>
            </w:r>
          </w:p>
        </w:tc>
        <w:tc>
          <w:tcPr>
            <w:tcW w:w="228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kern w:val="0"/>
                <w:sz w:val="20"/>
                <w:szCs w:val="20"/>
              </w:rPr>
            </w:pPr>
            <w:r>
              <w:rPr>
                <w:rFonts w:hint="eastAsia" w:ascii="仿宋_GB2312" w:eastAsia="仿宋_GB2312" w:cs="仿宋_GB2312"/>
                <w:kern w:val="0"/>
                <w:sz w:val="20"/>
                <w:szCs w:val="20"/>
                <w:lang w:val="zh-CN"/>
              </w:rPr>
              <w:t>禄丰村</w:t>
            </w:r>
          </w:p>
        </w:tc>
        <w:tc>
          <w:tcPr>
            <w:tcW w:w="12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kern w:val="0"/>
                <w:sz w:val="20"/>
                <w:szCs w:val="20"/>
              </w:rPr>
            </w:pPr>
            <w:r>
              <w:rPr>
                <w:rFonts w:hint="eastAsia" w:ascii="仿宋_GB2312" w:eastAsia="仿宋_GB2312" w:cs="仿宋_GB2312"/>
                <w:kern w:val="0"/>
                <w:sz w:val="20"/>
                <w:szCs w:val="20"/>
                <w:lang w:val="zh-CN"/>
              </w:rPr>
              <w:t>南盘江</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kern w:val="0"/>
                <w:sz w:val="20"/>
                <w:szCs w:val="20"/>
              </w:rPr>
            </w:pPr>
            <w:r>
              <w:rPr>
                <w:rFonts w:hint="eastAsia" w:ascii="仿宋_GB2312" w:eastAsia="仿宋_GB2312" w:cs="仿宋_GB2312"/>
                <w:kern w:val="0"/>
                <w:sz w:val="20"/>
                <w:szCs w:val="20"/>
                <w:lang w:val="zh-CN"/>
              </w:rPr>
              <w:t>Ⅲ类</w:t>
            </w:r>
          </w:p>
        </w:tc>
        <w:tc>
          <w:tcPr>
            <w:tcW w:w="17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kern w:val="0"/>
                <w:sz w:val="20"/>
                <w:szCs w:val="20"/>
              </w:rPr>
            </w:pPr>
            <w:r>
              <w:rPr>
                <w:rFonts w:hint="eastAsia" w:ascii="仿宋_GB2312" w:eastAsia="仿宋_GB2312" w:cs="仿宋_GB2312"/>
                <w:kern w:val="0"/>
                <w:sz w:val="20"/>
                <w:szCs w:val="20"/>
                <w:lang w:val="zh-CN"/>
              </w:rPr>
              <w:t>Ⅲ类</w:t>
            </w:r>
          </w:p>
        </w:tc>
      </w:tr>
    </w:tbl>
    <w:p>
      <w:pPr>
        <w:autoSpaceDE w:val="0"/>
        <w:autoSpaceDN w:val="0"/>
        <w:adjustRightInd w:val="0"/>
        <w:spacing w:line="580" w:lineRule="exact"/>
        <w:jc w:val="center"/>
        <w:rPr>
          <w:rFonts w:ascii="仿宋_GB2312" w:eastAsia="仿宋_GB2312" w:cs="仿宋_GB2312"/>
          <w:sz w:val="32"/>
          <w:szCs w:val="32"/>
          <w:lang w:val="zh-CN"/>
        </w:rPr>
      </w:pPr>
    </w:p>
    <w:p>
      <w:pPr>
        <w:autoSpaceDE w:val="0"/>
        <w:autoSpaceDN w:val="0"/>
        <w:adjustRightInd w:val="0"/>
        <w:spacing w:line="580" w:lineRule="exact"/>
        <w:jc w:val="center"/>
        <w:rPr>
          <w:rFonts w:eastAsia="仿宋_GB2312" w:cs="Calibri"/>
          <w:sz w:val="32"/>
          <w:szCs w:val="32"/>
        </w:rPr>
      </w:pPr>
      <w:r>
        <w:rPr>
          <w:rFonts w:hint="eastAsia" w:ascii="仿宋_GB2312" w:eastAsia="仿宋_GB2312" w:cs="仿宋_GB2312"/>
          <w:sz w:val="32"/>
          <w:szCs w:val="32"/>
          <w:lang w:val="zh-CN"/>
        </w:rPr>
        <w:t>附件</w:t>
      </w:r>
      <w:r>
        <w:rPr>
          <w:rFonts w:eastAsia="仿宋_GB2312" w:cs="Calibri"/>
          <w:sz w:val="32"/>
          <w:szCs w:val="32"/>
        </w:rPr>
        <w:t>1</w:t>
      </w:r>
      <w:r>
        <w:rPr>
          <w:rFonts w:hint="eastAsia" w:eastAsia="仿宋_GB2312" w:cs="Calibri"/>
          <w:sz w:val="32"/>
          <w:szCs w:val="32"/>
        </w:rPr>
        <w:t xml:space="preserve">—2 </w:t>
      </w:r>
      <w:r>
        <w:rPr>
          <w:rFonts w:hint="eastAsia" w:ascii="仿宋_GB2312" w:eastAsia="仿宋_GB2312" w:cs="仿宋_GB2312"/>
          <w:sz w:val="32"/>
          <w:szCs w:val="32"/>
          <w:lang w:val="zh-CN"/>
        </w:rPr>
        <w:t>纳入云南省考核断面水质目标表</w:t>
      </w:r>
    </w:p>
    <w:tbl>
      <w:tblPr>
        <w:tblStyle w:val="2"/>
        <w:tblW w:w="9287" w:type="dxa"/>
        <w:jc w:val="center"/>
        <w:tblInd w:w="0" w:type="dxa"/>
        <w:tblLayout w:type="fixed"/>
        <w:tblCellMar>
          <w:top w:w="0" w:type="dxa"/>
          <w:left w:w="108" w:type="dxa"/>
          <w:bottom w:w="0" w:type="dxa"/>
          <w:right w:w="108" w:type="dxa"/>
        </w:tblCellMar>
      </w:tblPr>
      <w:tblGrid>
        <w:gridCol w:w="844"/>
        <w:gridCol w:w="1232"/>
        <w:gridCol w:w="1084"/>
        <w:gridCol w:w="1905"/>
        <w:gridCol w:w="1408"/>
        <w:gridCol w:w="1410"/>
        <w:gridCol w:w="1404"/>
      </w:tblGrid>
      <w:tr>
        <w:tblPrEx>
          <w:tblLayout w:type="fixed"/>
          <w:tblCellMar>
            <w:top w:w="0" w:type="dxa"/>
            <w:left w:w="108" w:type="dxa"/>
            <w:bottom w:w="0" w:type="dxa"/>
            <w:right w:w="108" w:type="dxa"/>
          </w:tblCellMar>
        </w:tblPrEx>
        <w:trPr>
          <w:trHeight w:val="298" w:hRule="atLeast"/>
          <w:jc w:val="center"/>
        </w:trPr>
        <w:tc>
          <w:tcPr>
            <w:tcW w:w="84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b/>
                <w:bCs/>
                <w:kern w:val="0"/>
                <w:sz w:val="20"/>
                <w:szCs w:val="20"/>
              </w:rPr>
            </w:pPr>
            <w:r>
              <w:rPr>
                <w:rFonts w:hint="eastAsia" w:ascii="仿宋_GB2312" w:eastAsia="仿宋_GB2312" w:cs="仿宋_GB2312"/>
                <w:b/>
                <w:bCs/>
                <w:kern w:val="0"/>
                <w:sz w:val="20"/>
                <w:szCs w:val="20"/>
                <w:lang w:val="zh-CN"/>
              </w:rPr>
              <w:t>序号</w:t>
            </w:r>
          </w:p>
        </w:tc>
        <w:tc>
          <w:tcPr>
            <w:tcW w:w="12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b/>
                <w:bCs/>
                <w:kern w:val="0"/>
                <w:sz w:val="20"/>
                <w:szCs w:val="20"/>
              </w:rPr>
            </w:pPr>
            <w:r>
              <w:rPr>
                <w:rFonts w:hint="eastAsia" w:ascii="仿宋_GB2312" w:eastAsia="仿宋_GB2312" w:cs="仿宋_GB2312"/>
                <w:b/>
                <w:bCs/>
                <w:kern w:val="0"/>
                <w:sz w:val="20"/>
                <w:szCs w:val="20"/>
                <w:lang w:val="zh-CN"/>
              </w:rPr>
              <w:t>考核县（市）区</w:t>
            </w:r>
          </w:p>
        </w:tc>
        <w:tc>
          <w:tcPr>
            <w:tcW w:w="108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b/>
                <w:bCs/>
                <w:kern w:val="0"/>
                <w:sz w:val="20"/>
                <w:szCs w:val="20"/>
              </w:rPr>
            </w:pPr>
            <w:r>
              <w:rPr>
                <w:rFonts w:hint="eastAsia" w:ascii="仿宋_GB2312" w:eastAsia="仿宋_GB2312" w:cs="仿宋_GB2312"/>
                <w:b/>
                <w:bCs/>
                <w:kern w:val="0"/>
                <w:sz w:val="20"/>
                <w:szCs w:val="20"/>
                <w:lang w:val="zh-CN"/>
              </w:rPr>
              <w:t>所属流域</w:t>
            </w:r>
          </w:p>
        </w:tc>
        <w:tc>
          <w:tcPr>
            <w:tcW w:w="190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b/>
                <w:bCs/>
                <w:kern w:val="0"/>
                <w:sz w:val="20"/>
                <w:szCs w:val="20"/>
              </w:rPr>
            </w:pPr>
            <w:r>
              <w:rPr>
                <w:rFonts w:hint="eastAsia" w:ascii="仿宋_GB2312" w:eastAsia="仿宋_GB2312" w:cs="仿宋_GB2312"/>
                <w:b/>
                <w:bCs/>
                <w:kern w:val="0"/>
                <w:sz w:val="20"/>
                <w:szCs w:val="20"/>
                <w:lang w:val="zh-CN"/>
              </w:rPr>
              <w:t>断面名称</w:t>
            </w:r>
          </w:p>
        </w:tc>
        <w:tc>
          <w:tcPr>
            <w:tcW w:w="140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b/>
                <w:bCs/>
                <w:kern w:val="0"/>
                <w:sz w:val="20"/>
                <w:szCs w:val="20"/>
              </w:rPr>
            </w:pPr>
            <w:r>
              <w:rPr>
                <w:rFonts w:hint="eastAsia" w:ascii="仿宋_GB2312" w:eastAsia="仿宋_GB2312" w:cs="仿宋_GB2312"/>
                <w:b/>
                <w:bCs/>
                <w:kern w:val="0"/>
                <w:sz w:val="20"/>
                <w:szCs w:val="20"/>
                <w:lang w:val="zh-CN"/>
              </w:rPr>
              <w:t>所在水体名称</w:t>
            </w:r>
          </w:p>
        </w:tc>
        <w:tc>
          <w:tcPr>
            <w:tcW w:w="14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b/>
                <w:bCs/>
                <w:kern w:val="0"/>
                <w:sz w:val="20"/>
                <w:szCs w:val="20"/>
              </w:rPr>
            </w:pPr>
            <w:r>
              <w:rPr>
                <w:rFonts w:eastAsia="仿宋_GB2312" w:cs="Calibri"/>
                <w:b/>
                <w:bCs/>
                <w:kern w:val="0"/>
                <w:sz w:val="20"/>
                <w:szCs w:val="20"/>
              </w:rPr>
              <w:t>2014</w:t>
            </w:r>
            <w:r>
              <w:rPr>
                <w:rFonts w:hint="eastAsia" w:eastAsia="仿宋_GB2312" w:cs="Calibri"/>
                <w:b/>
                <w:bCs/>
                <w:kern w:val="0"/>
                <w:sz w:val="20"/>
                <w:szCs w:val="20"/>
              </w:rPr>
              <w:t>年水质</w:t>
            </w:r>
          </w:p>
        </w:tc>
        <w:tc>
          <w:tcPr>
            <w:tcW w:w="14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b/>
                <w:bCs/>
                <w:kern w:val="0"/>
                <w:sz w:val="20"/>
                <w:szCs w:val="20"/>
              </w:rPr>
            </w:pPr>
            <w:r>
              <w:rPr>
                <w:rFonts w:eastAsia="仿宋_GB2312" w:cs="Calibri"/>
                <w:b/>
                <w:bCs/>
                <w:kern w:val="0"/>
                <w:sz w:val="20"/>
                <w:szCs w:val="20"/>
              </w:rPr>
              <w:t>2019</w:t>
            </w:r>
            <w:r>
              <w:rPr>
                <w:rFonts w:hint="eastAsia" w:eastAsia="仿宋_GB2312" w:cs="Calibri"/>
                <w:b/>
                <w:bCs/>
                <w:kern w:val="0"/>
                <w:sz w:val="20"/>
                <w:szCs w:val="20"/>
              </w:rPr>
              <w:t>年水质目标</w:t>
            </w:r>
          </w:p>
        </w:tc>
      </w:tr>
      <w:tr>
        <w:tblPrEx>
          <w:tblLayout w:type="fixed"/>
          <w:tblCellMar>
            <w:top w:w="0" w:type="dxa"/>
            <w:left w:w="108" w:type="dxa"/>
            <w:bottom w:w="0" w:type="dxa"/>
            <w:right w:w="108" w:type="dxa"/>
          </w:tblCellMar>
        </w:tblPrEx>
        <w:trPr>
          <w:trHeight w:val="298" w:hRule="atLeast"/>
          <w:jc w:val="center"/>
        </w:trPr>
        <w:tc>
          <w:tcPr>
            <w:tcW w:w="84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kern w:val="0"/>
                <w:sz w:val="20"/>
                <w:szCs w:val="20"/>
              </w:rPr>
            </w:pPr>
            <w:r>
              <w:rPr>
                <w:rFonts w:hint="eastAsia" w:eastAsia="仿宋_GB2312" w:cs="Calibri"/>
                <w:kern w:val="0"/>
                <w:sz w:val="20"/>
                <w:szCs w:val="20"/>
              </w:rPr>
              <w:t>1</w:t>
            </w:r>
          </w:p>
        </w:tc>
        <w:tc>
          <w:tcPr>
            <w:tcW w:w="12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kern w:val="0"/>
                <w:sz w:val="20"/>
                <w:szCs w:val="20"/>
              </w:rPr>
            </w:pPr>
            <w:r>
              <w:rPr>
                <w:rFonts w:hint="eastAsia" w:ascii="仿宋_GB2312" w:eastAsia="仿宋_GB2312" w:cs="仿宋_GB2312"/>
                <w:kern w:val="0"/>
                <w:sz w:val="20"/>
                <w:szCs w:val="20"/>
                <w:lang w:val="zh-CN"/>
              </w:rPr>
              <w:t>宜良县</w:t>
            </w:r>
          </w:p>
        </w:tc>
        <w:tc>
          <w:tcPr>
            <w:tcW w:w="108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kern w:val="0"/>
                <w:sz w:val="20"/>
                <w:szCs w:val="20"/>
              </w:rPr>
            </w:pPr>
            <w:r>
              <w:rPr>
                <w:rFonts w:hint="eastAsia" w:ascii="仿宋_GB2312" w:eastAsia="仿宋_GB2312" w:cs="仿宋_GB2312"/>
                <w:kern w:val="0"/>
                <w:sz w:val="20"/>
                <w:szCs w:val="20"/>
                <w:lang w:val="zh-CN"/>
              </w:rPr>
              <w:t>珠江流域</w:t>
            </w:r>
          </w:p>
        </w:tc>
        <w:tc>
          <w:tcPr>
            <w:tcW w:w="190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kern w:val="0"/>
                <w:sz w:val="20"/>
                <w:szCs w:val="20"/>
              </w:rPr>
            </w:pPr>
            <w:r>
              <w:rPr>
                <w:rFonts w:hint="eastAsia" w:ascii="仿宋_GB2312" w:eastAsia="仿宋_GB2312" w:cs="仿宋_GB2312"/>
                <w:kern w:val="0"/>
                <w:sz w:val="20"/>
                <w:szCs w:val="20"/>
                <w:lang w:val="zh-CN"/>
              </w:rPr>
              <w:t>柴石滩水坝口</w:t>
            </w:r>
          </w:p>
        </w:tc>
        <w:tc>
          <w:tcPr>
            <w:tcW w:w="140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kern w:val="0"/>
                <w:sz w:val="20"/>
                <w:szCs w:val="20"/>
              </w:rPr>
            </w:pPr>
            <w:r>
              <w:rPr>
                <w:rFonts w:hint="eastAsia" w:ascii="仿宋_GB2312" w:eastAsia="仿宋_GB2312" w:cs="仿宋_GB2312"/>
                <w:kern w:val="0"/>
                <w:sz w:val="20"/>
                <w:szCs w:val="20"/>
                <w:lang w:val="zh-CN"/>
              </w:rPr>
              <w:t>南盘江</w:t>
            </w:r>
          </w:p>
        </w:tc>
        <w:tc>
          <w:tcPr>
            <w:tcW w:w="14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kern w:val="0"/>
                <w:sz w:val="20"/>
                <w:szCs w:val="20"/>
              </w:rPr>
            </w:pPr>
            <w:r>
              <w:rPr>
                <w:rFonts w:hint="eastAsia" w:ascii="仿宋_GB2312" w:eastAsia="仿宋_GB2312" w:cs="仿宋_GB2312"/>
                <w:kern w:val="0"/>
                <w:sz w:val="20"/>
                <w:szCs w:val="20"/>
                <w:lang w:val="zh-CN"/>
              </w:rPr>
              <w:t>Ⅱ类</w:t>
            </w:r>
          </w:p>
        </w:tc>
        <w:tc>
          <w:tcPr>
            <w:tcW w:w="14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kern w:val="0"/>
                <w:sz w:val="20"/>
                <w:szCs w:val="20"/>
              </w:rPr>
            </w:pPr>
            <w:r>
              <w:rPr>
                <w:rFonts w:hint="eastAsia" w:ascii="仿宋_GB2312" w:eastAsia="仿宋_GB2312" w:cs="仿宋_GB2312"/>
                <w:kern w:val="0"/>
                <w:sz w:val="20"/>
                <w:szCs w:val="20"/>
                <w:lang w:val="zh-CN"/>
              </w:rPr>
              <w:t>Ⅱ类</w:t>
            </w:r>
          </w:p>
        </w:tc>
      </w:tr>
    </w:tbl>
    <w:p>
      <w:pPr>
        <w:autoSpaceDE w:val="0"/>
        <w:autoSpaceDN w:val="0"/>
        <w:adjustRightInd w:val="0"/>
        <w:snapToGrid w:val="0"/>
        <w:spacing w:line="580" w:lineRule="exact"/>
        <w:jc w:val="center"/>
        <w:rPr>
          <w:rFonts w:ascii="仿宋_GB2312" w:eastAsia="仿宋_GB2312" w:cs="仿宋_GB2312"/>
          <w:sz w:val="30"/>
          <w:szCs w:val="30"/>
          <w:lang w:val="zh-CN"/>
        </w:rPr>
      </w:pPr>
    </w:p>
    <w:p>
      <w:pPr>
        <w:autoSpaceDE w:val="0"/>
        <w:autoSpaceDN w:val="0"/>
        <w:adjustRightInd w:val="0"/>
        <w:snapToGrid w:val="0"/>
        <w:spacing w:line="580" w:lineRule="exact"/>
        <w:jc w:val="center"/>
        <w:rPr>
          <w:rFonts w:ascii="仿宋_GB2312" w:eastAsia="仿宋_GB2312" w:cs="仿宋_GB2312"/>
          <w:sz w:val="30"/>
          <w:szCs w:val="30"/>
          <w:lang w:val="zh-CN"/>
        </w:rPr>
      </w:pPr>
      <w:r>
        <w:rPr>
          <w:rFonts w:hint="eastAsia" w:ascii="仿宋_GB2312" w:eastAsia="仿宋_GB2312" w:cs="仿宋_GB2312"/>
          <w:sz w:val="30"/>
          <w:szCs w:val="30"/>
          <w:lang w:val="zh-CN"/>
        </w:rPr>
        <w:t>附件</w:t>
      </w:r>
      <w:r>
        <w:rPr>
          <w:rFonts w:eastAsia="仿宋_GB2312" w:cs="Calibri"/>
          <w:sz w:val="30"/>
          <w:szCs w:val="30"/>
        </w:rPr>
        <w:t>1</w:t>
      </w:r>
      <w:r>
        <w:rPr>
          <w:rFonts w:hint="eastAsia" w:eastAsia="仿宋_GB2312" w:cs="Calibri"/>
          <w:sz w:val="30"/>
          <w:szCs w:val="30"/>
        </w:rPr>
        <w:t xml:space="preserve">—3 </w:t>
      </w:r>
      <w:r>
        <w:rPr>
          <w:rFonts w:hint="eastAsia" w:ascii="仿宋_GB2312" w:eastAsia="仿宋_GB2312" w:cs="仿宋_GB2312"/>
          <w:sz w:val="30"/>
          <w:szCs w:val="30"/>
          <w:lang w:val="zh-CN"/>
        </w:rPr>
        <w:t>县级城市集中式饮用水水源地考核断面水质目标表</w:t>
      </w:r>
    </w:p>
    <w:tbl>
      <w:tblPr>
        <w:tblStyle w:val="2"/>
        <w:tblW w:w="9154" w:type="dxa"/>
        <w:jc w:val="center"/>
        <w:tblInd w:w="0" w:type="dxa"/>
        <w:tblLayout w:type="fixed"/>
        <w:tblCellMar>
          <w:top w:w="0" w:type="dxa"/>
          <w:left w:w="108" w:type="dxa"/>
          <w:bottom w:w="0" w:type="dxa"/>
          <w:right w:w="108" w:type="dxa"/>
        </w:tblCellMar>
      </w:tblPr>
      <w:tblGrid>
        <w:gridCol w:w="1064"/>
        <w:gridCol w:w="2021"/>
        <w:gridCol w:w="2942"/>
        <w:gridCol w:w="1565"/>
        <w:gridCol w:w="1562"/>
      </w:tblGrid>
      <w:tr>
        <w:tblPrEx>
          <w:tblLayout w:type="fixed"/>
          <w:tblCellMar>
            <w:top w:w="0" w:type="dxa"/>
            <w:left w:w="108" w:type="dxa"/>
            <w:bottom w:w="0" w:type="dxa"/>
            <w:right w:w="108" w:type="dxa"/>
          </w:tblCellMar>
        </w:tblPrEx>
        <w:trPr>
          <w:trHeight w:val="115" w:hRule="atLeast"/>
          <w:jc w:val="center"/>
        </w:trPr>
        <w:tc>
          <w:tcPr>
            <w:tcW w:w="10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b/>
                <w:bCs/>
                <w:kern w:val="0"/>
                <w:sz w:val="20"/>
                <w:szCs w:val="20"/>
              </w:rPr>
            </w:pPr>
            <w:r>
              <w:rPr>
                <w:rFonts w:hint="eastAsia" w:ascii="仿宋_GB2312" w:eastAsia="仿宋_GB2312" w:cs="仿宋_GB2312"/>
                <w:b/>
                <w:bCs/>
                <w:kern w:val="0"/>
                <w:sz w:val="20"/>
                <w:szCs w:val="20"/>
                <w:lang w:val="zh-CN"/>
              </w:rPr>
              <w:t>序号</w:t>
            </w:r>
          </w:p>
        </w:tc>
        <w:tc>
          <w:tcPr>
            <w:tcW w:w="202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b/>
                <w:bCs/>
                <w:kern w:val="0"/>
                <w:sz w:val="20"/>
                <w:szCs w:val="20"/>
              </w:rPr>
            </w:pPr>
            <w:r>
              <w:rPr>
                <w:rFonts w:hint="eastAsia" w:ascii="仿宋_GB2312" w:eastAsia="仿宋_GB2312" w:cs="仿宋_GB2312"/>
                <w:b/>
                <w:bCs/>
                <w:kern w:val="0"/>
                <w:sz w:val="20"/>
                <w:szCs w:val="20"/>
                <w:lang w:val="zh-CN"/>
              </w:rPr>
              <w:t>考核县（市）区</w:t>
            </w:r>
          </w:p>
        </w:tc>
        <w:tc>
          <w:tcPr>
            <w:tcW w:w="29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b/>
                <w:bCs/>
                <w:kern w:val="0"/>
                <w:sz w:val="20"/>
                <w:szCs w:val="20"/>
              </w:rPr>
            </w:pPr>
            <w:r>
              <w:rPr>
                <w:rFonts w:hint="eastAsia" w:ascii="仿宋_GB2312" w:eastAsia="仿宋_GB2312" w:cs="仿宋_GB2312"/>
                <w:b/>
                <w:bCs/>
                <w:kern w:val="0"/>
                <w:sz w:val="20"/>
                <w:szCs w:val="20"/>
                <w:lang w:val="zh-CN"/>
              </w:rPr>
              <w:t>水源地名称</w:t>
            </w:r>
          </w:p>
        </w:tc>
        <w:tc>
          <w:tcPr>
            <w:tcW w:w="156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eastAsia="仿宋_GB2312" w:cs="Calibri"/>
                <w:b/>
                <w:bCs/>
                <w:kern w:val="0"/>
                <w:sz w:val="20"/>
                <w:szCs w:val="20"/>
              </w:rPr>
            </w:pPr>
            <w:r>
              <w:rPr>
                <w:rFonts w:eastAsia="仿宋_GB2312" w:cs="Calibri"/>
                <w:b/>
                <w:bCs/>
                <w:kern w:val="0"/>
                <w:sz w:val="20"/>
                <w:szCs w:val="20"/>
              </w:rPr>
              <w:t>2014</w:t>
            </w:r>
            <w:r>
              <w:rPr>
                <w:rFonts w:hint="eastAsia" w:ascii="仿宋_GB2312" w:eastAsia="仿宋_GB2312" w:cs="仿宋_GB2312"/>
                <w:b/>
                <w:bCs/>
                <w:kern w:val="0"/>
                <w:sz w:val="20"/>
                <w:szCs w:val="20"/>
                <w:lang w:val="zh-CN"/>
              </w:rPr>
              <w:t>年</w:t>
            </w:r>
          </w:p>
          <w:p>
            <w:pPr>
              <w:autoSpaceDE w:val="0"/>
              <w:autoSpaceDN w:val="0"/>
              <w:adjustRightInd w:val="0"/>
              <w:jc w:val="center"/>
              <w:rPr>
                <w:rFonts w:eastAsia="仿宋_GB2312" w:cs="Calibri"/>
                <w:b/>
                <w:bCs/>
                <w:kern w:val="0"/>
                <w:sz w:val="20"/>
                <w:szCs w:val="20"/>
              </w:rPr>
            </w:pPr>
            <w:r>
              <w:rPr>
                <w:rFonts w:hint="eastAsia" w:ascii="仿宋_GB2312" w:eastAsia="仿宋_GB2312" w:cs="仿宋_GB2312"/>
                <w:b/>
                <w:bCs/>
                <w:kern w:val="0"/>
                <w:sz w:val="20"/>
                <w:szCs w:val="20"/>
                <w:lang w:val="zh-CN"/>
              </w:rPr>
              <w:t>水质</w:t>
            </w:r>
          </w:p>
        </w:tc>
        <w:tc>
          <w:tcPr>
            <w:tcW w:w="15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eastAsia="仿宋_GB2312" w:cs="仿宋_GB2312"/>
                <w:b/>
                <w:bCs/>
                <w:kern w:val="0"/>
                <w:sz w:val="20"/>
                <w:szCs w:val="20"/>
                <w:lang w:val="zh-CN"/>
              </w:rPr>
            </w:pPr>
            <w:r>
              <w:rPr>
                <w:rFonts w:eastAsia="仿宋_GB2312" w:cs="Calibri"/>
                <w:b/>
                <w:bCs/>
                <w:kern w:val="0"/>
                <w:sz w:val="20"/>
                <w:szCs w:val="20"/>
              </w:rPr>
              <w:t>2019</w:t>
            </w:r>
            <w:r>
              <w:rPr>
                <w:rFonts w:hint="eastAsia" w:ascii="仿宋_GB2312" w:eastAsia="仿宋_GB2312" w:cs="仿宋_GB2312"/>
                <w:b/>
                <w:bCs/>
                <w:kern w:val="0"/>
                <w:sz w:val="20"/>
                <w:szCs w:val="20"/>
                <w:lang w:val="zh-CN"/>
              </w:rPr>
              <w:t>年</w:t>
            </w:r>
          </w:p>
          <w:p>
            <w:pPr>
              <w:autoSpaceDE w:val="0"/>
              <w:autoSpaceDN w:val="0"/>
              <w:adjustRightInd w:val="0"/>
              <w:jc w:val="center"/>
              <w:rPr>
                <w:rFonts w:eastAsia="仿宋_GB2312" w:cs="Calibri"/>
                <w:b/>
                <w:bCs/>
                <w:kern w:val="0"/>
                <w:sz w:val="20"/>
                <w:szCs w:val="20"/>
              </w:rPr>
            </w:pPr>
            <w:r>
              <w:rPr>
                <w:rFonts w:hint="eastAsia" w:ascii="仿宋_GB2312" w:eastAsia="仿宋_GB2312" w:cs="仿宋_GB2312"/>
                <w:b/>
                <w:bCs/>
                <w:kern w:val="0"/>
                <w:sz w:val="20"/>
                <w:szCs w:val="20"/>
                <w:lang w:val="zh-CN"/>
              </w:rPr>
              <w:t>水质目标</w:t>
            </w:r>
          </w:p>
        </w:tc>
      </w:tr>
      <w:tr>
        <w:tblPrEx>
          <w:tblLayout w:type="fixed"/>
          <w:tblCellMar>
            <w:top w:w="0" w:type="dxa"/>
            <w:left w:w="108" w:type="dxa"/>
            <w:bottom w:w="0" w:type="dxa"/>
            <w:right w:w="108" w:type="dxa"/>
          </w:tblCellMar>
        </w:tblPrEx>
        <w:trPr>
          <w:trHeight w:val="115" w:hRule="atLeast"/>
          <w:jc w:val="center"/>
        </w:trPr>
        <w:tc>
          <w:tcPr>
            <w:tcW w:w="10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kern w:val="0"/>
                <w:sz w:val="20"/>
                <w:szCs w:val="20"/>
              </w:rPr>
            </w:pPr>
            <w:r>
              <w:rPr>
                <w:rFonts w:hint="eastAsia" w:eastAsia="仿宋_GB2312" w:cs="Calibri"/>
                <w:kern w:val="0"/>
                <w:sz w:val="20"/>
                <w:szCs w:val="20"/>
              </w:rPr>
              <w:t>1</w:t>
            </w:r>
          </w:p>
        </w:tc>
        <w:tc>
          <w:tcPr>
            <w:tcW w:w="2021"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kern w:val="0"/>
                <w:sz w:val="20"/>
                <w:szCs w:val="20"/>
              </w:rPr>
            </w:pPr>
            <w:r>
              <w:rPr>
                <w:rFonts w:hint="eastAsia" w:ascii="仿宋_GB2312" w:eastAsia="仿宋_GB2312" w:cs="仿宋_GB2312"/>
                <w:kern w:val="0"/>
                <w:sz w:val="20"/>
                <w:szCs w:val="20"/>
                <w:lang w:val="zh-CN"/>
              </w:rPr>
              <w:t>宜良县</w:t>
            </w:r>
          </w:p>
        </w:tc>
        <w:tc>
          <w:tcPr>
            <w:tcW w:w="29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kern w:val="0"/>
                <w:sz w:val="20"/>
                <w:szCs w:val="20"/>
              </w:rPr>
            </w:pPr>
            <w:r>
              <w:rPr>
                <w:rFonts w:hint="eastAsia" w:ascii="仿宋_GB2312" w:eastAsia="仿宋_GB2312" w:cs="仿宋_GB2312"/>
                <w:kern w:val="0"/>
                <w:sz w:val="20"/>
                <w:szCs w:val="20"/>
                <w:lang w:val="zh-CN"/>
              </w:rPr>
              <w:t>小鱼洞水源地</w:t>
            </w:r>
          </w:p>
        </w:tc>
        <w:tc>
          <w:tcPr>
            <w:tcW w:w="156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eastAsia="仿宋_GB2312" w:cs="Calibri"/>
                <w:kern w:val="0"/>
                <w:sz w:val="20"/>
                <w:szCs w:val="20"/>
              </w:rPr>
            </w:pPr>
            <w:r>
              <w:rPr>
                <w:rFonts w:hint="eastAsia" w:ascii="仿宋_GB2312" w:eastAsia="仿宋_GB2312" w:cs="仿宋_GB2312"/>
                <w:kern w:val="0"/>
                <w:sz w:val="20"/>
                <w:szCs w:val="20"/>
                <w:lang w:val="zh-CN"/>
              </w:rPr>
              <w:t>Ⅱ类</w:t>
            </w:r>
          </w:p>
        </w:tc>
        <w:tc>
          <w:tcPr>
            <w:tcW w:w="15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kern w:val="0"/>
                <w:sz w:val="20"/>
                <w:szCs w:val="20"/>
              </w:rPr>
            </w:pPr>
            <w:r>
              <w:rPr>
                <w:rFonts w:hint="eastAsia" w:ascii="仿宋_GB2312" w:eastAsia="仿宋_GB2312" w:cs="仿宋_GB2312"/>
                <w:kern w:val="0"/>
                <w:sz w:val="20"/>
                <w:szCs w:val="20"/>
                <w:lang w:val="zh-CN"/>
              </w:rPr>
              <w:t>保持稳定</w:t>
            </w:r>
          </w:p>
        </w:tc>
      </w:tr>
      <w:tr>
        <w:tblPrEx>
          <w:tblLayout w:type="fixed"/>
          <w:tblCellMar>
            <w:top w:w="0" w:type="dxa"/>
            <w:left w:w="108" w:type="dxa"/>
            <w:bottom w:w="0" w:type="dxa"/>
            <w:right w:w="108" w:type="dxa"/>
          </w:tblCellMar>
        </w:tblPrEx>
        <w:trPr>
          <w:trHeight w:val="115" w:hRule="atLeast"/>
          <w:jc w:val="center"/>
        </w:trPr>
        <w:tc>
          <w:tcPr>
            <w:tcW w:w="10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kern w:val="0"/>
                <w:sz w:val="20"/>
                <w:szCs w:val="20"/>
              </w:rPr>
            </w:pPr>
            <w:r>
              <w:rPr>
                <w:rFonts w:hint="eastAsia" w:eastAsia="仿宋_GB2312" w:cs="Calibri"/>
                <w:kern w:val="0"/>
                <w:sz w:val="20"/>
                <w:szCs w:val="20"/>
              </w:rPr>
              <w:t>2</w:t>
            </w:r>
          </w:p>
        </w:tc>
        <w:tc>
          <w:tcPr>
            <w:tcW w:w="2021"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left"/>
              <w:rPr>
                <w:rFonts w:eastAsia="仿宋_GB2312" w:cs="Calibri"/>
                <w:kern w:val="0"/>
                <w:sz w:val="20"/>
                <w:szCs w:val="20"/>
              </w:rPr>
            </w:pPr>
          </w:p>
        </w:tc>
        <w:tc>
          <w:tcPr>
            <w:tcW w:w="29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kern w:val="0"/>
                <w:sz w:val="20"/>
                <w:szCs w:val="20"/>
              </w:rPr>
            </w:pPr>
            <w:r>
              <w:rPr>
                <w:rFonts w:hint="eastAsia" w:ascii="仿宋_GB2312" w:eastAsia="仿宋_GB2312" w:cs="仿宋_GB2312"/>
                <w:kern w:val="0"/>
                <w:sz w:val="20"/>
                <w:szCs w:val="20"/>
                <w:lang w:val="zh-CN"/>
              </w:rPr>
              <w:t>九龙池水库</w:t>
            </w:r>
          </w:p>
        </w:tc>
        <w:tc>
          <w:tcPr>
            <w:tcW w:w="156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eastAsia="仿宋_GB2312" w:cs="Calibri"/>
                <w:kern w:val="0"/>
                <w:sz w:val="20"/>
                <w:szCs w:val="20"/>
              </w:rPr>
            </w:pPr>
            <w:r>
              <w:rPr>
                <w:rFonts w:hint="eastAsia" w:ascii="仿宋_GB2312" w:eastAsia="仿宋_GB2312" w:cs="仿宋_GB2312"/>
                <w:kern w:val="0"/>
                <w:sz w:val="20"/>
                <w:szCs w:val="20"/>
                <w:lang w:val="zh-CN"/>
              </w:rPr>
              <w:t>Ⅱ类</w:t>
            </w:r>
          </w:p>
        </w:tc>
        <w:tc>
          <w:tcPr>
            <w:tcW w:w="15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eastAsia="仿宋_GB2312" w:cs="Calibri"/>
                <w:kern w:val="0"/>
                <w:sz w:val="20"/>
                <w:szCs w:val="20"/>
              </w:rPr>
            </w:pPr>
            <w:r>
              <w:rPr>
                <w:rFonts w:hint="eastAsia" w:ascii="仿宋_GB2312" w:eastAsia="仿宋_GB2312" w:cs="仿宋_GB2312"/>
                <w:kern w:val="0"/>
                <w:sz w:val="20"/>
                <w:szCs w:val="20"/>
                <w:lang w:val="zh-CN"/>
              </w:rPr>
              <w:t>保持稳定</w:t>
            </w:r>
          </w:p>
        </w:tc>
      </w:tr>
    </w:tbl>
    <w:p>
      <w:pPr>
        <w:autoSpaceDE w:val="0"/>
        <w:autoSpaceDN w:val="0"/>
        <w:adjustRightInd w:val="0"/>
        <w:spacing w:line="580" w:lineRule="exact"/>
        <w:jc w:val="center"/>
        <w:rPr>
          <w:rFonts w:ascii="仿宋_GB2312" w:eastAsia="仿宋_GB2312" w:cs="仿宋_GB2312"/>
          <w:sz w:val="32"/>
          <w:szCs w:val="32"/>
          <w:lang w:val="zh-CN"/>
        </w:rPr>
      </w:pPr>
    </w:p>
    <w:p>
      <w:pPr>
        <w:autoSpaceDE w:val="0"/>
        <w:autoSpaceDN w:val="0"/>
        <w:adjustRightInd w:val="0"/>
        <w:spacing w:line="580" w:lineRule="exact"/>
        <w:jc w:val="left"/>
        <w:rPr>
          <w:rFonts w:eastAsia="仿宋_GB2312" w:cs="Calibri"/>
          <w:sz w:val="32"/>
          <w:szCs w:val="32"/>
        </w:rPr>
      </w:pPr>
      <w:r>
        <w:rPr>
          <w:rFonts w:ascii="仿宋_GB2312" w:eastAsia="仿宋_GB2312" w:cs="仿宋_GB2312"/>
          <w:sz w:val="32"/>
          <w:szCs w:val="32"/>
          <w:lang w:val="zh-CN"/>
        </w:rPr>
        <w:br w:type="page"/>
      </w:r>
      <w:r>
        <w:rPr>
          <w:rFonts w:eastAsia="黑体"/>
          <w:sz w:val="32"/>
          <w:szCs w:val="32"/>
        </w:rPr>
        <w:t>附</w:t>
      </w:r>
      <w:r>
        <w:rPr>
          <w:rFonts w:hint="eastAsia" w:eastAsia="黑体"/>
          <w:sz w:val="32"/>
          <w:szCs w:val="32"/>
        </w:rPr>
        <w:t>件</w:t>
      </w:r>
      <w:r>
        <w:rPr>
          <w:rFonts w:eastAsia="黑体"/>
          <w:sz w:val="32"/>
          <w:szCs w:val="32"/>
        </w:rPr>
        <w:t xml:space="preserve">2 </w:t>
      </w:r>
    </w:p>
    <w:p>
      <w:pPr>
        <w:adjustRightInd w:val="0"/>
        <w:spacing w:line="560" w:lineRule="exact"/>
        <w:jc w:val="center"/>
        <w:rPr>
          <w:rFonts w:eastAsia="方正小标宋_GBK"/>
          <w:sz w:val="44"/>
          <w:szCs w:val="44"/>
        </w:rPr>
      </w:pPr>
      <w:r>
        <w:rPr>
          <w:rFonts w:eastAsia="方正小标宋_GBK"/>
          <w:sz w:val="44"/>
          <w:szCs w:val="44"/>
        </w:rPr>
        <w:t>昆明市市级水质考核断面表</w:t>
      </w:r>
    </w:p>
    <w:tbl>
      <w:tblPr>
        <w:tblStyle w:val="2"/>
        <w:tblW w:w="9060" w:type="dxa"/>
        <w:tblInd w:w="0" w:type="dxa"/>
        <w:tblLayout w:type="fixed"/>
        <w:tblCellMar>
          <w:top w:w="0" w:type="dxa"/>
          <w:left w:w="108" w:type="dxa"/>
          <w:bottom w:w="0" w:type="dxa"/>
          <w:right w:w="108" w:type="dxa"/>
        </w:tblCellMar>
      </w:tblPr>
      <w:tblGrid>
        <w:gridCol w:w="822"/>
        <w:gridCol w:w="1205"/>
        <w:gridCol w:w="1100"/>
        <w:gridCol w:w="2051"/>
        <w:gridCol w:w="1294"/>
        <w:gridCol w:w="1294"/>
        <w:gridCol w:w="1294"/>
      </w:tblGrid>
      <w:tr>
        <w:tblPrEx>
          <w:tblLayout w:type="fixed"/>
          <w:tblCellMar>
            <w:top w:w="0" w:type="dxa"/>
            <w:left w:w="108" w:type="dxa"/>
            <w:bottom w:w="0" w:type="dxa"/>
            <w:right w:w="108" w:type="dxa"/>
          </w:tblCellMar>
        </w:tblPrEx>
        <w:trPr>
          <w:trHeight w:val="480" w:hRule="atLeast"/>
        </w:trPr>
        <w:tc>
          <w:tcPr>
            <w:tcW w:w="8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bCs/>
                <w:kern w:val="0"/>
                <w:sz w:val="20"/>
                <w:szCs w:val="20"/>
              </w:rPr>
            </w:pPr>
            <w:r>
              <w:rPr>
                <w:rFonts w:eastAsia="仿宋_GB2312"/>
                <w:b/>
                <w:bCs/>
                <w:kern w:val="0"/>
                <w:sz w:val="20"/>
                <w:szCs w:val="20"/>
              </w:rPr>
              <w:t>序号</w:t>
            </w:r>
          </w:p>
        </w:tc>
        <w:tc>
          <w:tcPr>
            <w:tcW w:w="1205"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sz w:val="20"/>
                <w:szCs w:val="20"/>
              </w:rPr>
            </w:pPr>
            <w:r>
              <w:rPr>
                <w:rFonts w:eastAsia="仿宋_GB2312"/>
                <w:b/>
                <w:bCs/>
                <w:kern w:val="0"/>
                <w:sz w:val="20"/>
                <w:szCs w:val="20"/>
              </w:rPr>
              <w:t>考核县（市）区</w:t>
            </w:r>
          </w:p>
        </w:tc>
        <w:tc>
          <w:tcPr>
            <w:tcW w:w="11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sz w:val="20"/>
                <w:szCs w:val="20"/>
              </w:rPr>
            </w:pPr>
            <w:r>
              <w:rPr>
                <w:rFonts w:eastAsia="仿宋_GB2312"/>
                <w:b/>
                <w:bCs/>
                <w:kern w:val="0"/>
                <w:sz w:val="20"/>
                <w:szCs w:val="20"/>
              </w:rPr>
              <w:t>流域</w:t>
            </w:r>
          </w:p>
        </w:tc>
        <w:tc>
          <w:tcPr>
            <w:tcW w:w="2051"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sz w:val="20"/>
                <w:szCs w:val="20"/>
              </w:rPr>
            </w:pPr>
            <w:r>
              <w:rPr>
                <w:rFonts w:eastAsia="仿宋_GB2312"/>
                <w:b/>
                <w:bCs/>
                <w:kern w:val="0"/>
                <w:sz w:val="20"/>
                <w:szCs w:val="20"/>
              </w:rPr>
              <w:t>断面名称</w:t>
            </w:r>
          </w:p>
        </w:tc>
        <w:tc>
          <w:tcPr>
            <w:tcW w:w="129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sz w:val="20"/>
                <w:szCs w:val="20"/>
              </w:rPr>
            </w:pPr>
            <w:r>
              <w:rPr>
                <w:rFonts w:eastAsia="仿宋_GB2312"/>
                <w:b/>
                <w:bCs/>
                <w:kern w:val="0"/>
                <w:sz w:val="20"/>
                <w:szCs w:val="20"/>
              </w:rPr>
              <w:t>所在水体</w:t>
            </w:r>
          </w:p>
        </w:tc>
        <w:tc>
          <w:tcPr>
            <w:tcW w:w="129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sz w:val="20"/>
                <w:szCs w:val="20"/>
              </w:rPr>
            </w:pPr>
            <w:r>
              <w:rPr>
                <w:rFonts w:eastAsia="仿宋_GB2312"/>
                <w:b/>
                <w:bCs/>
                <w:kern w:val="0"/>
                <w:sz w:val="20"/>
                <w:szCs w:val="20"/>
              </w:rPr>
              <w:t>2014年水质现状</w:t>
            </w:r>
          </w:p>
        </w:tc>
        <w:tc>
          <w:tcPr>
            <w:tcW w:w="129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sz w:val="20"/>
                <w:szCs w:val="20"/>
              </w:rPr>
            </w:pPr>
            <w:r>
              <w:rPr>
                <w:rFonts w:eastAsia="仿宋_GB2312"/>
                <w:b/>
                <w:bCs/>
                <w:kern w:val="0"/>
                <w:sz w:val="20"/>
                <w:szCs w:val="20"/>
              </w:rPr>
              <w:t>20</w:t>
            </w:r>
            <w:r>
              <w:rPr>
                <w:rFonts w:hint="eastAsia" w:eastAsia="仿宋_GB2312"/>
                <w:b/>
                <w:bCs/>
                <w:kern w:val="0"/>
                <w:sz w:val="20"/>
                <w:szCs w:val="20"/>
              </w:rPr>
              <w:t>19</w:t>
            </w:r>
            <w:r>
              <w:rPr>
                <w:rFonts w:eastAsia="仿宋_GB2312"/>
                <w:b/>
                <w:bCs/>
                <w:kern w:val="0"/>
                <w:sz w:val="20"/>
                <w:szCs w:val="20"/>
              </w:rPr>
              <w:t>年水质目标</w:t>
            </w:r>
          </w:p>
        </w:tc>
      </w:tr>
      <w:tr>
        <w:tblPrEx>
          <w:tblLayout w:type="fixed"/>
          <w:tblCellMar>
            <w:top w:w="0" w:type="dxa"/>
            <w:left w:w="108" w:type="dxa"/>
            <w:bottom w:w="0" w:type="dxa"/>
            <w:right w:w="108" w:type="dxa"/>
          </w:tblCellMar>
        </w:tblPrEx>
        <w:trPr>
          <w:trHeight w:val="720" w:hRule="atLeast"/>
        </w:trPr>
        <w:tc>
          <w:tcPr>
            <w:tcW w:w="8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1</w:t>
            </w:r>
          </w:p>
        </w:tc>
        <w:tc>
          <w:tcPr>
            <w:tcW w:w="12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宜良县</w:t>
            </w:r>
          </w:p>
          <w:p>
            <w:pPr>
              <w:widowControl/>
              <w:jc w:val="center"/>
              <w:rPr>
                <w:rFonts w:eastAsia="仿宋_GB2312"/>
                <w:kern w:val="0"/>
                <w:sz w:val="20"/>
                <w:szCs w:val="20"/>
              </w:rPr>
            </w:pPr>
            <w:r>
              <w:rPr>
                <w:rFonts w:eastAsia="仿宋_GB2312"/>
                <w:kern w:val="0"/>
                <w:sz w:val="20"/>
                <w:szCs w:val="20"/>
              </w:rPr>
              <w:t>（5个）</w:t>
            </w:r>
          </w:p>
        </w:tc>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珠江流域</w:t>
            </w:r>
          </w:p>
        </w:tc>
        <w:tc>
          <w:tcPr>
            <w:tcW w:w="2051"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柴石滩水库库头库中库尾</w:t>
            </w:r>
          </w:p>
        </w:tc>
        <w:tc>
          <w:tcPr>
            <w:tcW w:w="129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柴石滩水库</w:t>
            </w:r>
          </w:p>
        </w:tc>
        <w:tc>
          <w:tcPr>
            <w:tcW w:w="129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劣</w:t>
            </w:r>
            <w:r>
              <w:rPr>
                <w:rFonts w:hint="eastAsia" w:ascii="宋体" w:hAnsi="宋体" w:cs="宋体"/>
                <w:kern w:val="0"/>
                <w:sz w:val="20"/>
                <w:szCs w:val="20"/>
              </w:rPr>
              <w:t>Ⅴ</w:t>
            </w:r>
            <w:r>
              <w:rPr>
                <w:rFonts w:eastAsia="仿宋_GB2312"/>
                <w:kern w:val="0"/>
                <w:sz w:val="20"/>
                <w:szCs w:val="20"/>
              </w:rPr>
              <w:t>类</w:t>
            </w:r>
          </w:p>
        </w:tc>
        <w:tc>
          <w:tcPr>
            <w:tcW w:w="129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ascii="宋体" w:hAnsi="宋体" w:cs="宋体"/>
                <w:kern w:val="0"/>
                <w:sz w:val="20"/>
                <w:szCs w:val="20"/>
              </w:rPr>
              <w:t>Ⅲ</w:t>
            </w:r>
            <w:r>
              <w:rPr>
                <w:rFonts w:eastAsia="仿宋_GB2312"/>
                <w:kern w:val="0"/>
                <w:sz w:val="20"/>
                <w:szCs w:val="20"/>
              </w:rPr>
              <w:t>类</w:t>
            </w:r>
          </w:p>
        </w:tc>
      </w:tr>
      <w:tr>
        <w:tblPrEx>
          <w:tblLayout w:type="fixed"/>
          <w:tblCellMar>
            <w:top w:w="0" w:type="dxa"/>
            <w:left w:w="108" w:type="dxa"/>
            <w:bottom w:w="0" w:type="dxa"/>
            <w:right w:w="108" w:type="dxa"/>
          </w:tblCellMar>
        </w:tblPrEx>
        <w:trPr>
          <w:trHeight w:val="480" w:hRule="atLeast"/>
        </w:trPr>
        <w:tc>
          <w:tcPr>
            <w:tcW w:w="822"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2</w:t>
            </w:r>
          </w:p>
        </w:tc>
        <w:tc>
          <w:tcPr>
            <w:tcW w:w="120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11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2051"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大跌水坝下(天生桥)</w:t>
            </w:r>
          </w:p>
        </w:tc>
        <w:tc>
          <w:tcPr>
            <w:tcW w:w="1294"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南盘江</w:t>
            </w:r>
          </w:p>
        </w:tc>
        <w:tc>
          <w:tcPr>
            <w:tcW w:w="1294"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ascii="宋体" w:hAnsi="宋体" w:cs="宋体"/>
                <w:kern w:val="0"/>
                <w:sz w:val="20"/>
                <w:szCs w:val="20"/>
              </w:rPr>
              <w:t>Ⅱ</w:t>
            </w:r>
            <w:r>
              <w:rPr>
                <w:rFonts w:eastAsia="仿宋_GB2312"/>
                <w:kern w:val="0"/>
                <w:sz w:val="20"/>
                <w:szCs w:val="20"/>
              </w:rPr>
              <w:t>类</w:t>
            </w:r>
          </w:p>
        </w:tc>
        <w:tc>
          <w:tcPr>
            <w:tcW w:w="1294"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ascii="宋体" w:hAnsi="宋体" w:cs="宋体"/>
                <w:kern w:val="0"/>
                <w:sz w:val="20"/>
                <w:szCs w:val="20"/>
              </w:rPr>
              <w:t>Ⅱ</w:t>
            </w:r>
            <w:r>
              <w:rPr>
                <w:rFonts w:eastAsia="仿宋_GB2312"/>
                <w:kern w:val="0"/>
                <w:sz w:val="20"/>
                <w:szCs w:val="20"/>
              </w:rPr>
              <w:t>类</w:t>
            </w:r>
          </w:p>
        </w:tc>
      </w:tr>
      <w:tr>
        <w:tblPrEx>
          <w:tblLayout w:type="fixed"/>
          <w:tblCellMar>
            <w:top w:w="0" w:type="dxa"/>
            <w:left w:w="108" w:type="dxa"/>
            <w:bottom w:w="0" w:type="dxa"/>
            <w:right w:w="108" w:type="dxa"/>
          </w:tblCellMar>
        </w:tblPrEx>
        <w:trPr>
          <w:trHeight w:val="270" w:hRule="atLeast"/>
        </w:trPr>
        <w:tc>
          <w:tcPr>
            <w:tcW w:w="822"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3</w:t>
            </w:r>
          </w:p>
        </w:tc>
        <w:tc>
          <w:tcPr>
            <w:tcW w:w="120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11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2051"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狗街</w:t>
            </w:r>
          </w:p>
        </w:tc>
        <w:tc>
          <w:tcPr>
            <w:tcW w:w="1294"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南盘江</w:t>
            </w:r>
          </w:p>
        </w:tc>
        <w:tc>
          <w:tcPr>
            <w:tcW w:w="1294"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ascii="宋体" w:hAnsi="宋体" w:cs="宋体"/>
                <w:kern w:val="0"/>
                <w:sz w:val="20"/>
                <w:szCs w:val="20"/>
              </w:rPr>
              <w:t>Ⅳ</w:t>
            </w:r>
            <w:r>
              <w:rPr>
                <w:rFonts w:eastAsia="仿宋_GB2312"/>
                <w:kern w:val="0"/>
                <w:sz w:val="20"/>
                <w:szCs w:val="20"/>
              </w:rPr>
              <w:t>类</w:t>
            </w:r>
          </w:p>
        </w:tc>
        <w:tc>
          <w:tcPr>
            <w:tcW w:w="1294"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ascii="宋体" w:hAnsi="宋体" w:cs="宋体"/>
                <w:kern w:val="0"/>
                <w:sz w:val="20"/>
                <w:szCs w:val="20"/>
              </w:rPr>
              <w:t>Ⅳ</w:t>
            </w:r>
            <w:r>
              <w:rPr>
                <w:rFonts w:eastAsia="仿宋_GB2312"/>
                <w:kern w:val="0"/>
                <w:sz w:val="20"/>
                <w:szCs w:val="20"/>
              </w:rPr>
              <w:t>类</w:t>
            </w:r>
          </w:p>
        </w:tc>
      </w:tr>
      <w:tr>
        <w:tblPrEx>
          <w:tblLayout w:type="fixed"/>
          <w:tblCellMar>
            <w:top w:w="0" w:type="dxa"/>
            <w:left w:w="108" w:type="dxa"/>
            <w:bottom w:w="0" w:type="dxa"/>
            <w:right w:w="108" w:type="dxa"/>
          </w:tblCellMar>
        </w:tblPrEx>
        <w:trPr>
          <w:trHeight w:val="270" w:hRule="atLeast"/>
        </w:trPr>
        <w:tc>
          <w:tcPr>
            <w:tcW w:w="822"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4</w:t>
            </w:r>
          </w:p>
        </w:tc>
        <w:tc>
          <w:tcPr>
            <w:tcW w:w="120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11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2051"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藏方闸</w:t>
            </w:r>
          </w:p>
        </w:tc>
        <w:tc>
          <w:tcPr>
            <w:tcW w:w="1294"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獐子坝河</w:t>
            </w:r>
          </w:p>
        </w:tc>
        <w:tc>
          <w:tcPr>
            <w:tcW w:w="1294"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ascii="宋体" w:hAnsi="宋体" w:cs="宋体"/>
                <w:kern w:val="0"/>
                <w:sz w:val="20"/>
                <w:szCs w:val="20"/>
              </w:rPr>
              <w:t>Ⅱ</w:t>
            </w:r>
            <w:r>
              <w:rPr>
                <w:rFonts w:eastAsia="仿宋_GB2312"/>
                <w:kern w:val="0"/>
                <w:sz w:val="20"/>
                <w:szCs w:val="20"/>
              </w:rPr>
              <w:t>类</w:t>
            </w:r>
          </w:p>
        </w:tc>
        <w:tc>
          <w:tcPr>
            <w:tcW w:w="1294"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ascii="宋体" w:hAnsi="宋体" w:cs="宋体"/>
                <w:kern w:val="0"/>
                <w:sz w:val="20"/>
                <w:szCs w:val="20"/>
              </w:rPr>
              <w:t>Ⅱ</w:t>
            </w:r>
            <w:r>
              <w:rPr>
                <w:rFonts w:eastAsia="仿宋_GB2312"/>
                <w:kern w:val="0"/>
                <w:sz w:val="20"/>
                <w:szCs w:val="20"/>
              </w:rPr>
              <w:t>类</w:t>
            </w:r>
          </w:p>
        </w:tc>
      </w:tr>
      <w:tr>
        <w:tblPrEx>
          <w:tblLayout w:type="fixed"/>
          <w:tblCellMar>
            <w:top w:w="0" w:type="dxa"/>
            <w:left w:w="108" w:type="dxa"/>
            <w:bottom w:w="0" w:type="dxa"/>
            <w:right w:w="108" w:type="dxa"/>
          </w:tblCellMar>
        </w:tblPrEx>
        <w:trPr>
          <w:trHeight w:val="270" w:hRule="atLeast"/>
        </w:trPr>
        <w:tc>
          <w:tcPr>
            <w:tcW w:w="822"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5</w:t>
            </w:r>
          </w:p>
        </w:tc>
        <w:tc>
          <w:tcPr>
            <w:tcW w:w="120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11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2051"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下班庄村</w:t>
            </w:r>
          </w:p>
        </w:tc>
        <w:tc>
          <w:tcPr>
            <w:tcW w:w="1294"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巴江</w:t>
            </w:r>
          </w:p>
        </w:tc>
        <w:tc>
          <w:tcPr>
            <w:tcW w:w="1294"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ascii="宋体" w:hAnsi="宋体" w:cs="宋体"/>
                <w:kern w:val="0"/>
                <w:sz w:val="20"/>
                <w:szCs w:val="20"/>
              </w:rPr>
              <w:t>Ⅱ</w:t>
            </w:r>
            <w:r>
              <w:rPr>
                <w:rFonts w:eastAsia="仿宋_GB2312"/>
                <w:kern w:val="0"/>
                <w:sz w:val="20"/>
                <w:szCs w:val="20"/>
              </w:rPr>
              <w:t>类</w:t>
            </w:r>
          </w:p>
        </w:tc>
        <w:tc>
          <w:tcPr>
            <w:tcW w:w="1294"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ascii="宋体" w:hAnsi="宋体" w:cs="宋体"/>
                <w:kern w:val="0"/>
                <w:sz w:val="20"/>
                <w:szCs w:val="20"/>
              </w:rPr>
              <w:t>Ⅱ</w:t>
            </w:r>
            <w:r>
              <w:rPr>
                <w:rFonts w:eastAsia="仿宋_GB2312"/>
                <w:kern w:val="0"/>
                <w:sz w:val="20"/>
                <w:szCs w:val="20"/>
              </w:rPr>
              <w:t>类</w:t>
            </w:r>
          </w:p>
        </w:tc>
      </w:tr>
    </w:tbl>
    <w:p>
      <w:pPr>
        <w:spacing w:line="560" w:lineRule="exact"/>
        <w:ind w:right="-99" w:rightChars="-47"/>
        <w:jc w:val="left"/>
        <w:rPr>
          <w:rFonts w:eastAsia="仿宋_GB2312"/>
          <w:kern w:val="0"/>
          <w:sz w:val="20"/>
          <w:szCs w:val="2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F427B"/>
    <w:rsid w:val="76FF4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2020-11-24T04:11:00Z</dcterms:created>
  <dc:creator>Administrator</dc:creator>
  <cp:lastModifiedBy>Administrator</cp:lastModifiedBy>
  <dcterms:modified xsi:type="dcterms:W3CDTF">2020-11-24T06:32:03Z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