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72"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left w:val="nil"/>
              <w:bottom w:val="single" w:color="auto" w:sz="12" w:space="0"/>
              <w:tl2br w:val="nil"/>
              <w:tr2bl w:val="nil"/>
            </w:tcBorders>
            <w:vAlign w:val="center"/>
          </w:tcPr>
          <w:p>
            <w:pPr>
              <w:spacing w:line="360" w:lineRule="auto"/>
              <w:jc w:val="center"/>
              <w:rPr>
                <w:rFonts w:ascii="Times New Roman" w:hAnsi="Times New Roman" w:eastAsia="黑体"/>
                <w:b/>
                <w:sz w:val="24"/>
                <w:szCs w:val="24"/>
              </w:rPr>
            </w:pPr>
          </w:p>
          <w:p>
            <w:pPr>
              <w:spacing w:line="360" w:lineRule="auto"/>
              <w:jc w:val="center"/>
              <w:rPr>
                <w:rFonts w:ascii="Times New Roman" w:hAnsi="Times New Roman" w:eastAsia="黑体"/>
                <w:b/>
                <w:sz w:val="44"/>
                <w:szCs w:val="44"/>
              </w:rPr>
            </w:pPr>
            <w:r>
              <w:rPr>
                <w:rFonts w:ascii="Times New Roman" w:hAnsi="Times New Roman" w:eastAsia="黑体"/>
                <w:b/>
                <w:sz w:val="44"/>
                <w:szCs w:val="44"/>
              </w:rPr>
              <w:t>宜良县环境监察大队</w:t>
            </w:r>
            <w:r>
              <w:rPr>
                <w:rFonts w:hint="eastAsia" w:ascii="Times New Roman" w:hAnsi="Times New Roman" w:eastAsia="黑体"/>
                <w:b/>
                <w:sz w:val="44"/>
                <w:szCs w:val="44"/>
              </w:rPr>
              <w:t>现场检查（勘察）</w:t>
            </w:r>
            <w:r>
              <w:rPr>
                <w:rFonts w:ascii="Times New Roman" w:hAnsi="Times New Roman" w:eastAsia="黑体"/>
                <w:b/>
                <w:sz w:val="44"/>
                <w:szCs w:val="44"/>
              </w:rPr>
              <w:t>笔录</w:t>
            </w:r>
          </w:p>
          <w:p>
            <w:pPr>
              <w:spacing w:line="360" w:lineRule="auto"/>
              <w:jc w:val="center"/>
              <w:rPr>
                <w:rFonts w:ascii="Times New Roman" w:hAnsi="Times New Roman" w:eastAsia="黑体"/>
                <w:b/>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single" w:color="auto" w:sz="12" w:space="0"/>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2019</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05</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09</w:t>
            </w:r>
          </w:p>
        </w:tc>
        <w:tc>
          <w:tcPr>
            <w:tcW w:w="567"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09</w:t>
            </w:r>
          </w:p>
        </w:tc>
        <w:tc>
          <w:tcPr>
            <w:tcW w:w="567"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50</w:t>
            </w:r>
          </w:p>
        </w:tc>
        <w:tc>
          <w:tcPr>
            <w:tcW w:w="850"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 至</w:t>
            </w:r>
          </w:p>
        </w:tc>
        <w:tc>
          <w:tcPr>
            <w:tcW w:w="567" w:type="dxa"/>
            <w:tcBorders>
              <w:top w:val="single" w:color="auto" w:sz="12" w:space="0"/>
              <w:bottom w:val="dotted" w:color="auto" w:sz="4" w:space="0"/>
            </w:tcBorders>
            <w:vAlign w:val="bottom"/>
          </w:tcPr>
          <w:p>
            <w:pPr>
              <w:spacing w:before="78" w:beforeLines="25" w:after="78" w:afterLines="25" w:line="360" w:lineRule="auto"/>
              <w:rPr>
                <w:rFonts w:hint="eastAsia" w:ascii="Times New Roman" w:hAnsi="Times New Roman" w:eastAsia="宋体"/>
                <w:sz w:val="24"/>
                <w:szCs w:val="24"/>
                <w:lang w:eastAsia="zh-CN"/>
              </w:rPr>
            </w:pPr>
            <w:r>
              <w:rPr>
                <w:rFonts w:hint="eastAsia" w:ascii="Times New Roman" w:hAnsi="Times New Roman"/>
                <w:sz w:val="24"/>
                <w:szCs w:val="24"/>
              </w:rPr>
              <w:t>1</w:t>
            </w:r>
            <w:r>
              <w:rPr>
                <w:rFonts w:hint="eastAsia" w:ascii="Times New Roman" w:hAnsi="Times New Roman"/>
                <w:sz w:val="24"/>
                <w:szCs w:val="24"/>
                <w:lang w:val="en-US" w:eastAsia="zh-CN"/>
              </w:rPr>
              <w:t>1</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lang w:val="en-US" w:eastAsia="zh-CN"/>
              </w:rPr>
              <w:t>1</w:t>
            </w:r>
            <w:r>
              <w:rPr>
                <w:rFonts w:hint="eastAsia" w:ascii="Times New Roman" w:hAnsi="Times New Roman"/>
                <w:sz w:val="24"/>
                <w:szCs w:val="24"/>
              </w:rPr>
              <w:t>8</w:t>
            </w:r>
          </w:p>
        </w:tc>
        <w:tc>
          <w:tcPr>
            <w:tcW w:w="785"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云南省昆明市宜良县云南省昆明市宜良县北古城镇工业园区</w:t>
            </w:r>
          </w:p>
        </w:tc>
        <w:tc>
          <w:tcPr>
            <w:tcW w:w="2551" w:type="dxa"/>
            <w:gridSpan w:val="10"/>
            <w:tcBorders>
              <w:top w:val="nil"/>
              <w:left w:val="nil"/>
              <w:bottom w:val="nil"/>
            </w:tcBorders>
            <w:vAlign w:val="bottom"/>
          </w:tcPr>
          <w:p>
            <w:pPr>
              <w:spacing w:before="78" w:beforeLines="25" w:after="78" w:afterLines="25" w:line="360" w:lineRule="auto"/>
              <w:rPr>
                <w:rFonts w:ascii="Times New Roman" w:hAnsi="Times New Roman"/>
                <w:sz w:val="24"/>
                <w:szCs w:val="24"/>
              </w:rPr>
            </w:pPr>
            <w:r>
              <w:rPr>
                <w:rFonts w:ascii="Times New Roman" w:hAnsi="Times New Roman"/>
                <w:b/>
                <w:bCs/>
                <w:sz w:val="22"/>
                <w:szCs w:val="24"/>
              </w:rPr>
              <w:t>统一社会信用代码证号</w:t>
            </w:r>
            <w:r>
              <w:rPr>
                <w:rFonts w:hint="eastAsia" w:ascii="Times New Roman" w:hAnsi="Times New Roman"/>
                <w:b/>
                <w:bCs/>
                <w:sz w:val="24"/>
                <w:szCs w:val="24"/>
              </w:rPr>
              <w:t>：</w:t>
            </w:r>
          </w:p>
        </w:tc>
        <w:tc>
          <w:tcPr>
            <w:tcW w:w="2486" w:type="dxa"/>
            <w:gridSpan w:val="6"/>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915301256930961718</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w:t>
            </w:r>
            <w:r>
              <w:rPr>
                <w:rFonts w:ascii="Times New Roman" w:hAnsi="Times New Roman"/>
                <w:b/>
                <w:bCs/>
                <w:sz w:val="24"/>
                <w:szCs w:val="24"/>
              </w:rPr>
              <w:t>人及执法证号：</w:t>
            </w:r>
          </w:p>
        </w:tc>
        <w:tc>
          <w:tcPr>
            <w:tcW w:w="3711" w:type="dxa"/>
            <w:gridSpan w:val="13"/>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丁章政(533076),周代清(531599)</w:t>
            </w:r>
          </w:p>
        </w:tc>
        <w:tc>
          <w:tcPr>
            <w:tcW w:w="1108"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丁章政(533076)</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被检查单位名称：</w:t>
            </w:r>
          </w:p>
        </w:tc>
        <w:tc>
          <w:tcPr>
            <w:tcW w:w="4161" w:type="dxa"/>
            <w:gridSpan w:val="1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昆明漓源饲料有限公司</w:t>
            </w:r>
          </w:p>
        </w:tc>
        <w:tc>
          <w:tcPr>
            <w:tcW w:w="1549" w:type="dxa"/>
            <w:gridSpan w:val="4"/>
            <w:tcBorders>
              <w:top w:val="nil"/>
              <w:bottom w:val="nil"/>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b/>
                <w:bCs/>
                <w:sz w:val="24"/>
                <w:szCs w:val="24"/>
              </w:rPr>
              <w:t>法定代表人：</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韦俊生</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794" w:type="dxa"/>
            <w:gridSpan w:val="4"/>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w:t>
            </w:r>
            <w:r>
              <w:rPr>
                <w:rFonts w:ascii="Times New Roman" w:hAnsi="Times New Roman"/>
                <w:b/>
                <w:bCs/>
                <w:sz w:val="24"/>
                <w:szCs w:val="24"/>
              </w:rPr>
              <w:t>：</w:t>
            </w:r>
          </w:p>
        </w:tc>
        <w:tc>
          <w:tcPr>
            <w:tcW w:w="2474"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温伟光</w:t>
            </w:r>
          </w:p>
        </w:tc>
        <w:tc>
          <w:tcPr>
            <w:tcW w:w="834"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33</w:t>
            </w:r>
          </w:p>
        </w:tc>
        <w:tc>
          <w:tcPr>
            <w:tcW w:w="1363" w:type="dxa"/>
            <w:gridSpan w:val="5"/>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4509221986</w:t>
            </w:r>
            <w:r>
              <w:rPr>
                <w:rFonts w:hint="eastAsia" w:ascii="Times New Roman" w:hAnsi="Times New Roman"/>
                <w:sz w:val="24"/>
                <w:szCs w:val="24"/>
                <w:lang w:val="en-US" w:eastAsia="zh-CN"/>
              </w:rPr>
              <w:t>****</w:t>
            </w:r>
            <w:bookmarkStart w:id="0" w:name="_GoBack"/>
            <w:bookmarkEnd w:id="0"/>
            <w:r>
              <w:rPr>
                <w:rFonts w:hint="eastAsia" w:ascii="Times New Roman" w:hAnsi="Times New Roman"/>
                <w:sz w:val="24"/>
                <w:szCs w:val="24"/>
              </w:rPr>
              <w:t>4638</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358" w:type="dxa"/>
            <w:gridSpan w:val="2"/>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昆明漓源饲料有限公司</w:t>
            </w:r>
          </w:p>
        </w:tc>
        <w:tc>
          <w:tcPr>
            <w:tcW w:w="939"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财务</w:t>
            </w:r>
          </w:p>
        </w:tc>
        <w:tc>
          <w:tcPr>
            <w:tcW w:w="1547" w:type="dxa"/>
            <w:gridSpan w:val="4"/>
            <w:tcBorders>
              <w:top w:val="dotted" w:color="auto" w:sz="4"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color="auto" w:sz="4"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现场负责人</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ascii="Times New Roman" w:hAnsi="Times New Roman"/>
                <w:sz w:val="24"/>
                <w:szCs w:val="24"/>
              </w:rPr>
              <w:t>云南省昆明市宜良县云南省昆明市宜良县北古城镇工业园区</w:t>
            </w:r>
          </w:p>
        </w:tc>
        <w:tc>
          <w:tcPr>
            <w:tcW w:w="870"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18177524813</w:t>
            </w:r>
          </w:p>
        </w:tc>
        <w:tc>
          <w:tcPr>
            <w:tcW w:w="1307" w:type="dxa"/>
            <w:gridSpan w:val="3"/>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3293" w:type="dxa"/>
            <w:gridSpan w:val="7"/>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color="auto" w:sz="4" w:space="0"/>
            </w:tcBorders>
            <w:vAlign w:val="bottom"/>
          </w:tcPr>
          <w:p>
            <w:pPr>
              <w:spacing w:before="78" w:beforeLines="25" w:after="78" w:afterLines="25" w:line="360" w:lineRule="auto"/>
              <w:rPr>
                <w:rFonts w:ascii="Times New Roman" w:hAnsi="Times New Roman"/>
                <w:sz w:val="18"/>
                <w:szCs w:val="18"/>
              </w:rPr>
            </w:pPr>
            <w:r>
              <w:rPr>
                <w:rFonts w:hint="eastAsia" w:ascii="Times New Roman" w:hAnsi="Times New Roman"/>
                <w:sz w:val="18"/>
                <w:szCs w:val="18"/>
              </w:rPr>
              <w:t>祁军凯（宜良县工业园区管委会安监环保处）</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single" w:color="auto" w:sz="12"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single" w:color="auto" w:sz="12" w:space="0"/>
              <w:left w:val="nil"/>
              <w:bottom w:val="nil"/>
              <w:tl2br w:val="nil"/>
              <w:tr2bl w:val="nil"/>
            </w:tcBorders>
          </w:tcPr>
          <w:p>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我们是</w:t>
            </w:r>
            <w:r>
              <w:rPr>
                <w:rFonts w:ascii="仿宋" w:hAnsi="仿宋" w:eastAsia="仿宋" w:cs="仿宋"/>
                <w:sz w:val="24"/>
              </w:rPr>
              <w:t>宜良县环境保护局环境监察大队</w:t>
            </w:r>
            <w:r>
              <w:rPr>
                <w:rFonts w:hint="eastAsia" w:ascii="仿宋" w:hAnsi="仿宋" w:eastAsia="仿宋" w:cs="仿宋"/>
                <w:sz w:val="24"/>
              </w:rPr>
              <w:t>的行政执法人员，这是我们的执法证件，请过目确认。</w:t>
            </w:r>
            <w:r>
              <w:rPr>
                <w:rFonts w:hint="eastAsia" w:ascii="仿宋" w:hAnsi="仿宋" w:eastAsia="仿宋" w:cs="仿宋"/>
                <w:sz w:val="24"/>
                <w:u w:val="single"/>
              </w:rPr>
              <w:t xml:space="preserve">                                  </w:t>
            </w:r>
            <w:r>
              <w:rPr>
                <w:rFonts w:hint="eastAsia" w:ascii="仿宋" w:hAnsi="仿宋" w:eastAsia="仿宋" w:cs="仿宋"/>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hint="eastAsia" w:ascii="仿宋" w:hAnsi="仿宋" w:eastAsia="仿宋" w:cs="仿宋"/>
                <w:sz w:val="24"/>
                <w:u w:val="single"/>
              </w:rPr>
              <w:t xml:space="preserve">                                                                      </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u w:val="dotted"/>
              </w:rPr>
            </w:pPr>
            <w:r>
              <w:rPr>
                <w:rFonts w:ascii="仿宋" w:hAnsi="仿宋" w:eastAsia="仿宋"/>
                <w:sz w:val="24"/>
                <w:szCs w:val="24"/>
                <w:u w:val="dotted"/>
              </w:rPr>
              <w:t xml:space="preserve"> </w:t>
            </w:r>
            <w:r>
              <w:rPr>
                <w:u w:val="dotted"/>
              </w:rPr>
              <w:t xml:space="preserve">   </w:t>
            </w:r>
            <w:r>
              <w:rPr>
                <w:sz w:val="28"/>
                <w:szCs w:val="28"/>
                <w:u w:val="dotted"/>
              </w:rPr>
              <w:t xml:space="preserve"> 一、企业概况：</w:t>
            </w:r>
            <w:r>
              <w:rPr>
                <w:sz w:val="28"/>
                <w:szCs w:val="28"/>
                <w:u w:val="dotted"/>
              </w:rPr>
              <w:cr/>
            </w:r>
            <w:r>
              <w:rPr>
                <w:sz w:val="28"/>
                <w:szCs w:val="28"/>
                <w:u w:val="dotted"/>
              </w:rPr>
              <w:t xml:space="preserve">    昆明漓源饲料有限公司微生态禽畜配合饲料生产线一期项目位于宜良县北古城镇工业园区饲料产业基地，项目总占地40502.61平方米，总建筑面积10034平方米，主要建设内容为：3栋生产车间、1栋综合楼、1间锅炉热能车间，以及五金和机修车间、门卫房、公厕等配套设施。项目生产规模为年产各类饲料24万吨。</w:t>
            </w:r>
            <w:r>
              <w:rPr>
                <w:sz w:val="28"/>
                <w:szCs w:val="28"/>
                <w:u w:val="dotted"/>
              </w:rPr>
              <w:cr/>
            </w:r>
            <w:r>
              <w:rPr>
                <w:sz w:val="28"/>
                <w:szCs w:val="28"/>
                <w:u w:val="dotted"/>
              </w:rPr>
              <w:t xml:space="preserve">    废水：生产、生活废水全部收集后经5m3/d的一体化污水处理站处理后部分回用于厂区绿化，剩余部分达到GB18918-2002《城镇污水处理厂污染物排放标准》一级A标准后外排至园区管网。</w:t>
            </w:r>
            <w:r>
              <w:rPr>
                <w:sz w:val="28"/>
                <w:szCs w:val="28"/>
                <w:u w:val="dotted"/>
              </w:rPr>
              <w:cr/>
            </w:r>
            <w:r>
              <w:rPr>
                <w:sz w:val="28"/>
                <w:szCs w:val="28"/>
                <w:u w:val="dotted"/>
              </w:rPr>
              <w:t xml:space="preserve">    废气：项目生产设备全部安装于生产车间内。项目有组织废气（1）工艺粉尘主要来自于原料的破碎工段、制粒和膨化工段的含尘废气，5台粉碎机脉冲除尘器处理后的废气通过4根15m高排气筒外排；（2）项目配备了1台4t/h的燃煤蒸汽锅炉，锅炉废气通过1套高压螺旋水喷淋脱硫废气净化器后经35m高烟囱外排；（3）食堂安装了1套有资质认定的油烟净化器。</w:t>
            </w:r>
            <w:r>
              <w:rPr>
                <w:sz w:val="28"/>
                <w:szCs w:val="28"/>
                <w:u w:val="dotted"/>
              </w:rPr>
              <w:cr/>
            </w:r>
            <w:r>
              <w:rPr>
                <w:sz w:val="28"/>
                <w:szCs w:val="28"/>
                <w:u w:val="dotted"/>
              </w:rPr>
              <w:t xml:space="preserve">    无组织废气：项目生产过程中产生的无组织废气经过除尘器除尘后无组织排放于车间内。</w:t>
            </w:r>
            <w:r>
              <w:rPr>
                <w:sz w:val="28"/>
                <w:szCs w:val="28"/>
                <w:u w:val="dotted"/>
              </w:rPr>
              <w:cr/>
            </w:r>
            <w:r>
              <w:rPr>
                <w:sz w:val="28"/>
                <w:szCs w:val="28"/>
                <w:u w:val="dotted"/>
              </w:rPr>
              <w:t xml:space="preserve">    噪声：项目已在主要噪声源安装了消音器。</w:t>
            </w:r>
            <w:r>
              <w:rPr>
                <w:sz w:val="28"/>
                <w:szCs w:val="28"/>
                <w:u w:val="dotted"/>
              </w:rPr>
              <w:cr/>
            </w:r>
            <w:r>
              <w:rPr>
                <w:sz w:val="28"/>
                <w:szCs w:val="28"/>
                <w:u w:val="dotted"/>
              </w:rPr>
              <w:t xml:space="preserve">    二、环保手续：</w:t>
            </w:r>
            <w:r>
              <w:rPr>
                <w:sz w:val="28"/>
                <w:szCs w:val="28"/>
                <w:u w:val="dotted"/>
              </w:rPr>
              <w:cr/>
            </w:r>
            <w:r>
              <w:rPr>
                <w:sz w:val="28"/>
                <w:szCs w:val="28"/>
                <w:u w:val="dotted"/>
              </w:rPr>
              <w:t xml:space="preserve">    《昆明漓源饲料有限公司微生态禽畜配合饲料生产线项目一期建设项目环境影响报告表》于2014年6月编制，于2014年6月27日取得宜良县环境保护局对该项目的批复（宜环保【2014】62号；2016年12月30日该项目取得宜良县环境保护局的验收批复（宜环保复【2016】181号）。2017年7月27日取得宜良县环境保护局核发的《云南省排放污染物许可证》，编号：5301256930961C6743Y。《</w:t>
            </w:r>
            <w:r>
              <w:rPr>
                <w:sz w:val="28"/>
                <w:szCs w:val="28"/>
                <w:u w:val="dotted"/>
              </w:rPr>
              <w:cr/>
            </w:r>
            <w:r>
              <w:rPr>
                <w:sz w:val="28"/>
                <w:szCs w:val="28"/>
                <w:u w:val="dotted"/>
              </w:rPr>
              <w:t xml:space="preserve">    三、污染防治设施现场检查情况：</w:t>
            </w:r>
            <w:r>
              <w:rPr>
                <w:sz w:val="28"/>
                <w:szCs w:val="28"/>
                <w:u w:val="dotted"/>
              </w:rPr>
              <w:cr/>
            </w:r>
            <w:r>
              <w:rPr>
                <w:sz w:val="28"/>
                <w:szCs w:val="28"/>
                <w:u w:val="dotted"/>
              </w:rPr>
              <w:t xml:space="preserve">    1.现场检查时该项目正在生产；2.污水处理站正在运行，现场有经过污水处理站处理后的水外排；3.食堂隔油池较满；4.该公司2018年10月委托云南升环检测技术有限公司对外排废气、废水和噪声进行了检测，据出具的SHJC201810W3005号《检测报告》显示检测的各项外排污染物均达标排放。</w:t>
            </w:r>
            <w:r>
              <w:rPr>
                <w:sz w:val="28"/>
                <w:szCs w:val="28"/>
                <w:u w:val="dotted"/>
              </w:rPr>
              <w:cr/>
            </w:r>
            <w:r>
              <w:rPr>
                <w:sz w:val="28"/>
                <w:szCs w:val="28"/>
                <w:u w:val="dotted"/>
              </w:rPr>
              <w:t xml:space="preserve">    四、环境风险及应急管理情况：</w:t>
            </w:r>
            <w:r>
              <w:rPr>
                <w:sz w:val="28"/>
                <w:szCs w:val="28"/>
                <w:u w:val="dotted"/>
              </w:rPr>
              <w:cr/>
            </w:r>
            <w:r>
              <w:rPr>
                <w:sz w:val="28"/>
                <w:szCs w:val="28"/>
                <w:u w:val="dotted"/>
              </w:rPr>
              <w:t xml:space="preserve">    昆明漓源饲料有限公司突发环境事件应急预案》于2017年9月15日在宜良县环境保护局备案，备案号：5301252017018L。</w:t>
            </w:r>
            <w:r>
              <w:rPr>
                <w:sz w:val="28"/>
                <w:szCs w:val="28"/>
                <w:u w:val="dotted"/>
              </w:rPr>
              <w:cr/>
            </w:r>
            <w:r>
              <w:rPr>
                <w:sz w:val="28"/>
                <w:szCs w:val="28"/>
                <w:u w:val="dotted"/>
              </w:rPr>
              <w:t xml:space="preserve">    五、存在主要问题：</w:t>
            </w:r>
            <w:r>
              <w:rPr>
                <w:sz w:val="28"/>
                <w:szCs w:val="28"/>
                <w:u w:val="dotted"/>
              </w:rPr>
              <w:cr/>
            </w:r>
            <w:r>
              <w:rPr>
                <w:sz w:val="28"/>
                <w:szCs w:val="28"/>
                <w:u w:val="dotted"/>
              </w:rPr>
              <w:t xml:space="preserve">    1.食堂隔油池较满；2.厂区裸露地面较多。</w:t>
            </w:r>
            <w:r>
              <w:rPr>
                <w:sz w:val="28"/>
                <w:szCs w:val="28"/>
                <w:u w:val="dotted"/>
              </w:rPr>
              <w:cr/>
            </w:r>
            <w:r>
              <w:rPr>
                <w:sz w:val="28"/>
                <w:szCs w:val="28"/>
                <w:u w:val="dotted"/>
              </w:rPr>
              <w:t xml:space="preserve">    六、监察要求：</w:t>
            </w:r>
            <w:r>
              <w:rPr>
                <w:sz w:val="28"/>
                <w:szCs w:val="28"/>
                <w:u w:val="dotted"/>
              </w:rPr>
              <w:cr/>
            </w:r>
            <w:r>
              <w:rPr>
                <w:sz w:val="28"/>
                <w:szCs w:val="28"/>
                <w:u w:val="dotted"/>
              </w:rPr>
              <w:t xml:space="preserve">    1.立即清掏食堂隔油池；2.对厂区裸露地面进行绿化；3.加强设施设备维护管理，确保环保设施设备运行正常，外排污染物稳定达标排放；4.加强企业环境管理人员培训。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u w:val="dotted"/>
              </w:rPr>
            </w:pPr>
            <w:r>
              <w:rPr>
                <w:rFonts w:ascii="仿宋" w:hAnsi="仿宋" w:eastAsia="仿宋"/>
                <w:sz w:val="28"/>
                <w:szCs w:val="28"/>
                <w:u w:val="dotted"/>
              </w:rPr>
              <w:t xml:space="preserve">    </w:t>
            </w:r>
            <w:r>
              <w:rPr>
                <w:rFonts w:hint="eastAsia" w:ascii="仿宋" w:hAnsi="仿宋" w:eastAsia="仿宋"/>
                <w:sz w:val="28"/>
                <w:szCs w:val="28"/>
                <w:u w:val="dotted"/>
              </w:rPr>
              <w:t>（以下空白）</w:t>
            </w:r>
            <w:r>
              <w:rPr>
                <w:rFonts w:ascii="仿宋" w:hAnsi="仿宋" w:eastAsia="仿宋"/>
                <w:sz w:val="28"/>
                <w:szCs w:val="28"/>
                <w:u w:val="dotted"/>
              </w:rPr>
              <w:t xml:space="preserve">                                                              </w:t>
            </w:r>
            <w:r>
              <w:rPr>
                <w:rFonts w:ascii="仿宋" w:hAnsi="仿宋" w:eastAsia="仿宋"/>
                <w:sz w:val="24"/>
                <w:szCs w:val="24"/>
                <w:u w:val="dotted"/>
              </w:rPr>
              <w:t xml:space="preserve"> </w:t>
            </w:r>
          </w:p>
        </w:tc>
      </w:tr>
    </w:tbl>
    <w:tbl>
      <w:tblPr>
        <w:tblStyle w:val="5"/>
        <w:tblpPr w:leftFromText="181" w:rightFromText="181" w:vertAnchor="page" w:horzAnchor="page" w:tblpX="1399" w:tblpY="10415"/>
        <w:tblOverlap w:val="never"/>
        <w:tblW w:w="9570"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spacing w:before="78" w:beforeLines="25" w:after="78" w:afterLines="25" w:line="360" w:lineRule="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spacing w:before="78" w:beforeLines="25" w:after="78" w:afterLines="25" w:line="360" w:lineRule="auto"/>
              <w:jc w:val="right"/>
              <w:rPr>
                <w:rFonts w:ascii="Times New Roman" w:hAnsi="Times New Roman"/>
                <w:sz w:val="24"/>
                <w:szCs w:val="24"/>
              </w:rPr>
            </w:pPr>
          </w:p>
        </w:tc>
      </w:tr>
    </w:tbl>
    <w:p>
      <w:pPr>
        <w:spacing w:line="17" w:lineRule="auto"/>
        <w:rPr>
          <w:sz w:val="10"/>
          <w:szCs w:val="10"/>
        </w:rPr>
        <w:sectPr>
          <w:footerReference r:id="rId3"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pPr>
    </w:p>
    <w:p>
      <w:pPr>
        <w:spacing w:line="17" w:lineRule="auto"/>
        <w:rPr>
          <w:sz w:val="10"/>
          <w:szCs w:val="10"/>
        </w:rPr>
      </w:pPr>
    </w:p>
    <w:sectPr>
      <w:footerReference r:id="rId4"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楷体" w:hAnsi="楷体" w:eastAsia="楷体" w:cs="楷体"/>
        <w:b/>
        <w:sz w:val="28"/>
        <w:szCs w:val="28"/>
        <w:lang w:val="zh-CN"/>
      </w:rPr>
    </w:pPr>
    <w:r>
      <w:rPr>
        <w:rFonts w:hint="eastAsia" w:ascii="楷体" w:hAnsi="楷体" w:eastAsia="楷体" w:cs="楷体"/>
        <w:b/>
        <w:sz w:val="28"/>
        <w:szCs w:val="28"/>
        <w:lang w:val="zh-CN"/>
      </w:rPr>
      <w:t>现场负责人签名：                     日期：</w:t>
    </w:r>
  </w:p>
  <w:p>
    <w:pPr>
      <w:pStyle w:val="3"/>
      <w:rPr>
        <w:rFonts w:ascii="楷体" w:hAnsi="楷体" w:eastAsia="楷体" w:cs="楷体"/>
        <w:b/>
        <w:sz w:val="28"/>
        <w:szCs w:val="28"/>
        <w:lang w:val="zh-CN"/>
      </w:rPr>
    </w:pPr>
    <w:r>
      <w:rPr>
        <w:rFonts w:hint="eastAsia" w:ascii="楷体" w:hAnsi="楷体" w:eastAsia="楷体" w:cs="楷体"/>
        <w:b/>
        <w:sz w:val="28"/>
        <w:szCs w:val="28"/>
        <w:lang w:val="zh-CN"/>
      </w:rPr>
      <w:t>执法人员签名：                       日期：</w:t>
    </w:r>
  </w:p>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78F34B7"/>
    <w:rsid w:val="08D24049"/>
    <w:rsid w:val="0CB70773"/>
    <w:rsid w:val="18DB7A85"/>
    <w:rsid w:val="284A6382"/>
    <w:rsid w:val="2C0B1F53"/>
    <w:rsid w:val="2F8E11E3"/>
    <w:rsid w:val="55E16072"/>
    <w:rsid w:val="590A5D2A"/>
    <w:rsid w:val="63953170"/>
    <w:rsid w:val="65DD432F"/>
    <w:rsid w:val="663D7BCC"/>
    <w:rsid w:val="6A1D1DA5"/>
    <w:rsid w:val="7D56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kern w:val="2"/>
      <w:sz w:val="18"/>
      <w:szCs w:val="18"/>
    </w:rPr>
  </w:style>
  <w:style w:type="character" w:customStyle="1" w:styleId="8">
    <w:name w:val="无间隔 字符"/>
    <w:link w:val="9"/>
    <w:qFormat/>
    <w:uiPriority w:val="0"/>
    <w:rPr>
      <w:sz w:val="22"/>
      <w:szCs w:val="22"/>
      <w:lang w:val="en-US" w:eastAsia="zh-CN" w:bidi="ar-SA"/>
    </w:rPr>
  </w:style>
  <w:style w:type="paragraph" w:styleId="9">
    <w:name w:val="No Spacing"/>
    <w:link w:val="8"/>
    <w:qFormat/>
    <w:uiPriority w:val="0"/>
    <w:rPr>
      <w:rFonts w:ascii="Calibri" w:hAnsi="Calibri" w:eastAsia="宋体" w:cs="Times New Roman"/>
      <w:sz w:val="22"/>
      <w:szCs w:val="22"/>
      <w:lang w:val="en-US" w:eastAsia="zh-CN" w:bidi="ar-SA"/>
    </w:rPr>
  </w:style>
  <w:style w:type="character" w:customStyle="1" w:styleId="10">
    <w:name w:val="批注框文本 字符"/>
    <w:link w:val="2"/>
    <w:qFormat/>
    <w:uiPriority w:val="0"/>
    <w:rPr>
      <w:kern w:val="2"/>
      <w:sz w:val="18"/>
      <w:szCs w:val="18"/>
    </w:rPr>
  </w:style>
  <w:style w:type="character" w:customStyle="1" w:styleId="11">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D55FB-D821-4099-A306-78B5761CFDE3}">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141</Words>
  <Characters>809</Characters>
  <Lines>6</Lines>
  <Paragraphs>1</Paragraphs>
  <TotalTime>8</TotalTime>
  <ScaleCrop>false</ScaleCrop>
  <LinksUpToDate>false</LinksUpToDate>
  <CharactersWithSpaces>949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2018-04-02T07:24:00Z</dcterms:created>
  <dc:creator>Kingway Horn</dc:creator>
  <cp:lastModifiedBy>镜先生</cp:lastModifiedBy>
  <cp:lastPrinted>2019-05-09T03:17:00Z</cp:lastPrinted>
  <dcterms:modified xsi:type="dcterms:W3CDTF">2020-11-10T07:49:21Z</dcterms:modified>
  <dc:title>云南省环境监察总队调查询问笔录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