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572" w:type="dxa"/>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850"/>
        <w:gridCol w:w="508"/>
        <w:gridCol w:w="342"/>
        <w:gridCol w:w="94"/>
        <w:gridCol w:w="473"/>
        <w:gridCol w:w="567"/>
        <w:gridCol w:w="459"/>
        <w:gridCol w:w="108"/>
        <w:gridCol w:w="567"/>
        <w:gridCol w:w="92"/>
        <w:gridCol w:w="208"/>
        <w:gridCol w:w="267"/>
        <w:gridCol w:w="249"/>
        <w:gridCol w:w="146"/>
        <w:gridCol w:w="172"/>
        <w:gridCol w:w="567"/>
        <w:gridCol w:w="54"/>
        <w:gridCol w:w="255"/>
        <w:gridCol w:w="258"/>
        <w:gridCol w:w="192"/>
        <w:gridCol w:w="242"/>
        <w:gridCol w:w="416"/>
        <w:gridCol w:w="567"/>
        <w:gridCol w:w="324"/>
        <w:gridCol w:w="243"/>
        <w:gridCol w:w="413"/>
        <w:gridCol w:w="154"/>
        <w:gridCol w:w="785"/>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left w:val="nil"/>
              <w:bottom w:val="single" w:color="auto" w:sz="12" w:space="0"/>
              <w:tl2br w:val="nil"/>
              <w:tr2bl w:val="nil"/>
            </w:tcBorders>
            <w:vAlign w:val="center"/>
          </w:tcPr>
          <w:p>
            <w:pPr>
              <w:spacing w:line="360" w:lineRule="auto"/>
              <w:jc w:val="center"/>
              <w:rPr>
                <w:rFonts w:ascii="Times New Roman" w:hAnsi="Times New Roman" w:eastAsia="黑体"/>
                <w:b/>
                <w:sz w:val="24"/>
                <w:szCs w:val="24"/>
              </w:rPr>
            </w:pPr>
          </w:p>
          <w:p>
            <w:pPr>
              <w:spacing w:line="360" w:lineRule="auto"/>
              <w:jc w:val="center"/>
              <w:rPr>
                <w:rFonts w:ascii="Times New Roman" w:hAnsi="Times New Roman" w:eastAsia="黑体"/>
                <w:b/>
                <w:sz w:val="44"/>
                <w:szCs w:val="44"/>
              </w:rPr>
            </w:pPr>
            <w:r>
              <w:rPr>
                <w:rFonts w:ascii="Times New Roman" w:hAnsi="Times New Roman" w:eastAsia="黑体"/>
                <w:b/>
                <w:sz w:val="44"/>
                <w:szCs w:val="44"/>
              </w:rPr>
              <w:t>宜良县环境监察大队</w:t>
            </w:r>
            <w:r>
              <w:rPr>
                <w:rFonts w:hint="eastAsia" w:ascii="Times New Roman" w:hAnsi="Times New Roman" w:eastAsia="黑体"/>
                <w:b/>
                <w:sz w:val="44"/>
                <w:szCs w:val="44"/>
              </w:rPr>
              <w:t>现场检查（勘察）</w:t>
            </w:r>
            <w:r>
              <w:rPr>
                <w:rFonts w:ascii="Times New Roman" w:hAnsi="Times New Roman" w:eastAsia="黑体"/>
                <w:b/>
                <w:sz w:val="44"/>
                <w:szCs w:val="44"/>
              </w:rPr>
              <w:t>笔录</w:t>
            </w:r>
          </w:p>
          <w:p>
            <w:pPr>
              <w:spacing w:line="360" w:lineRule="auto"/>
              <w:jc w:val="center"/>
              <w:rPr>
                <w:rFonts w:ascii="Times New Roman" w:hAnsi="Times New Roman" w:eastAsia="黑体"/>
                <w:b/>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single" w:color="auto" w:sz="12" w:space="0"/>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时间：</w:t>
            </w:r>
          </w:p>
        </w:tc>
        <w:tc>
          <w:tcPr>
            <w:tcW w:w="850"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2020</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02</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月</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20</w:t>
            </w:r>
          </w:p>
        </w:tc>
        <w:tc>
          <w:tcPr>
            <w:tcW w:w="567"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日</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09</w:t>
            </w:r>
          </w:p>
        </w:tc>
        <w:tc>
          <w:tcPr>
            <w:tcW w:w="567"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3"/>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47</w:t>
            </w:r>
          </w:p>
        </w:tc>
        <w:tc>
          <w:tcPr>
            <w:tcW w:w="850" w:type="dxa"/>
            <w:gridSpan w:val="3"/>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 至</w:t>
            </w:r>
          </w:p>
        </w:tc>
        <w:tc>
          <w:tcPr>
            <w:tcW w:w="567" w:type="dxa"/>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11</w:t>
            </w:r>
          </w:p>
        </w:tc>
        <w:tc>
          <w:tcPr>
            <w:tcW w:w="567" w:type="dxa"/>
            <w:gridSpan w:val="2"/>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时</w:t>
            </w:r>
          </w:p>
        </w:tc>
        <w:tc>
          <w:tcPr>
            <w:tcW w:w="567" w:type="dxa"/>
            <w:gridSpan w:val="2"/>
            <w:tcBorders>
              <w:top w:val="single" w:color="auto" w:sz="12"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25</w:t>
            </w:r>
          </w:p>
        </w:tc>
        <w:tc>
          <w:tcPr>
            <w:tcW w:w="785" w:type="dxa"/>
            <w:tcBorders>
              <w:top w:val="single" w:color="auto" w:sz="12"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分</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地点：</w:t>
            </w:r>
          </w:p>
        </w:tc>
        <w:tc>
          <w:tcPr>
            <w:tcW w:w="3685" w:type="dxa"/>
            <w:gridSpan w:val="11"/>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云南省昆明市宜良县宜良县城东郊</w:t>
            </w:r>
          </w:p>
        </w:tc>
        <w:tc>
          <w:tcPr>
            <w:tcW w:w="2551" w:type="dxa"/>
            <w:gridSpan w:val="10"/>
            <w:tcBorders>
              <w:top w:val="nil"/>
              <w:left w:val="nil"/>
              <w:bottom w:val="nil"/>
            </w:tcBorders>
            <w:vAlign w:val="bottom"/>
          </w:tcPr>
          <w:p>
            <w:pPr>
              <w:spacing w:before="78" w:beforeLines="25" w:after="78" w:afterLines="25" w:line="360" w:lineRule="auto"/>
              <w:rPr>
                <w:rFonts w:ascii="Times New Roman" w:hAnsi="Times New Roman"/>
                <w:sz w:val="24"/>
                <w:szCs w:val="24"/>
              </w:rPr>
            </w:pPr>
            <w:r>
              <w:rPr>
                <w:rFonts w:ascii="Times New Roman" w:hAnsi="Times New Roman"/>
                <w:b/>
                <w:bCs/>
                <w:sz w:val="22"/>
                <w:szCs w:val="24"/>
              </w:rPr>
              <w:t>统一社会信用代码证号</w:t>
            </w:r>
            <w:r>
              <w:rPr>
                <w:rFonts w:hint="eastAsia" w:ascii="Times New Roman" w:hAnsi="Times New Roman"/>
                <w:b/>
                <w:bCs/>
                <w:sz w:val="24"/>
                <w:szCs w:val="24"/>
              </w:rPr>
              <w:t>：</w:t>
            </w:r>
          </w:p>
        </w:tc>
        <w:tc>
          <w:tcPr>
            <w:tcW w:w="2486" w:type="dxa"/>
            <w:gridSpan w:val="6"/>
            <w:tcBorders>
              <w:top w:val="nil"/>
              <w:left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915301252168607711</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w:t>
            </w:r>
            <w:r>
              <w:rPr>
                <w:rFonts w:ascii="Times New Roman" w:hAnsi="Times New Roman"/>
                <w:b/>
                <w:bCs/>
                <w:sz w:val="24"/>
                <w:szCs w:val="24"/>
              </w:rPr>
              <w:t>人及执法证号：</w:t>
            </w:r>
          </w:p>
        </w:tc>
        <w:tc>
          <w:tcPr>
            <w:tcW w:w="3711" w:type="dxa"/>
            <w:gridSpan w:val="13"/>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李志强(533174),肖靖(532050),朱立兵(530666)</w:t>
            </w:r>
          </w:p>
        </w:tc>
        <w:tc>
          <w:tcPr>
            <w:tcW w:w="1108"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记录人：</w:t>
            </w:r>
          </w:p>
        </w:tc>
        <w:tc>
          <w:tcPr>
            <w:tcW w:w="2486" w:type="dxa"/>
            <w:gridSpan w:val="6"/>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李志强(533174)</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267" w:type="dxa"/>
            <w:gridSpan w:val="5"/>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被检查单位名称：</w:t>
            </w:r>
          </w:p>
        </w:tc>
        <w:tc>
          <w:tcPr>
            <w:tcW w:w="4161" w:type="dxa"/>
            <w:gridSpan w:val="1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昆明东昇冶化有限责任公司</w:t>
            </w:r>
          </w:p>
        </w:tc>
        <w:tc>
          <w:tcPr>
            <w:tcW w:w="1549" w:type="dxa"/>
            <w:gridSpan w:val="4"/>
            <w:tcBorders>
              <w:top w:val="nil"/>
              <w:bottom w:val="nil"/>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b/>
                <w:bCs/>
                <w:sz w:val="24"/>
                <w:szCs w:val="24"/>
              </w:rPr>
              <w:t>法定代表人：</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王福邦</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794" w:type="dxa"/>
            <w:gridSpan w:val="4"/>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w:t>
            </w:r>
            <w:r>
              <w:rPr>
                <w:rFonts w:ascii="Times New Roman" w:hAnsi="Times New Roman"/>
                <w:b/>
                <w:bCs/>
                <w:sz w:val="24"/>
                <w:szCs w:val="24"/>
              </w:rPr>
              <w:t>：</w:t>
            </w:r>
          </w:p>
        </w:tc>
        <w:tc>
          <w:tcPr>
            <w:tcW w:w="2474" w:type="dxa"/>
            <w:gridSpan w:val="7"/>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舒伟</w:t>
            </w:r>
          </w:p>
        </w:tc>
        <w:tc>
          <w:tcPr>
            <w:tcW w:w="834"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年龄：</w:t>
            </w:r>
          </w:p>
        </w:tc>
        <w:tc>
          <w:tcPr>
            <w:tcW w:w="621" w:type="dxa"/>
            <w:gridSpan w:val="2"/>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53</w:t>
            </w:r>
          </w:p>
        </w:tc>
        <w:tc>
          <w:tcPr>
            <w:tcW w:w="1363" w:type="dxa"/>
            <w:gridSpan w:val="5"/>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身份证号：</w:t>
            </w:r>
          </w:p>
        </w:tc>
        <w:tc>
          <w:tcPr>
            <w:tcW w:w="2486" w:type="dxa"/>
            <w:gridSpan w:val="6"/>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5301251967</w:t>
            </w:r>
            <w:r>
              <w:rPr>
                <w:rFonts w:hint="eastAsia" w:ascii="Times New Roman" w:hAnsi="Times New Roman"/>
                <w:sz w:val="24"/>
                <w:szCs w:val="24"/>
                <w:lang w:val="en-US" w:eastAsia="zh-CN"/>
              </w:rPr>
              <w:t>****</w:t>
            </w:r>
            <w:bookmarkStart w:id="0" w:name="_GoBack"/>
            <w:bookmarkEnd w:id="0"/>
            <w:r>
              <w:rPr>
                <w:rFonts w:hint="eastAsia" w:ascii="Times New Roman" w:hAnsi="Times New Roman"/>
                <w:sz w:val="24"/>
                <w:szCs w:val="24"/>
              </w:rPr>
              <w:t>0018</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1358" w:type="dxa"/>
            <w:gridSpan w:val="2"/>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工作单位：</w:t>
            </w:r>
          </w:p>
        </w:tc>
        <w:tc>
          <w:tcPr>
            <w:tcW w:w="3426" w:type="dxa"/>
            <w:gridSpan w:val="11"/>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昆明东昇冶化有限责任公司</w:t>
            </w:r>
          </w:p>
        </w:tc>
        <w:tc>
          <w:tcPr>
            <w:tcW w:w="939"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职务：</w:t>
            </w:r>
          </w:p>
        </w:tc>
        <w:tc>
          <w:tcPr>
            <w:tcW w:w="1363" w:type="dxa"/>
            <w:gridSpan w:val="5"/>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管理员</w:t>
            </w:r>
          </w:p>
        </w:tc>
        <w:tc>
          <w:tcPr>
            <w:tcW w:w="1547" w:type="dxa"/>
            <w:gridSpan w:val="4"/>
            <w:tcBorders>
              <w:top w:val="dotted" w:color="auto" w:sz="4" w:space="0"/>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与本案关系：</w:t>
            </w:r>
          </w:p>
        </w:tc>
        <w:tc>
          <w:tcPr>
            <w:tcW w:w="939" w:type="dxa"/>
            <w:gridSpan w:val="2"/>
            <w:tcBorders>
              <w:top w:val="dotted" w:color="auto" w:sz="4" w:space="0"/>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现场负责人</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850" w:type="dxa"/>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地址：</w:t>
            </w:r>
          </w:p>
        </w:tc>
        <w:tc>
          <w:tcPr>
            <w:tcW w:w="3210" w:type="dxa"/>
            <w:gridSpan w:val="9"/>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ascii="Times New Roman" w:hAnsi="Times New Roman"/>
                <w:sz w:val="24"/>
                <w:szCs w:val="24"/>
              </w:rPr>
              <w:t>云南省昆明市宜良县城东郊</w:t>
            </w:r>
          </w:p>
        </w:tc>
        <w:tc>
          <w:tcPr>
            <w:tcW w:w="870" w:type="dxa"/>
            <w:gridSpan w:val="4"/>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电话：</w:t>
            </w:r>
          </w:p>
        </w:tc>
        <w:tc>
          <w:tcPr>
            <w:tcW w:w="1740" w:type="dxa"/>
            <w:gridSpan w:val="7"/>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r>
              <w:rPr>
                <w:rFonts w:hint="eastAsia" w:ascii="Times New Roman" w:hAnsi="Times New Roman"/>
                <w:sz w:val="24"/>
                <w:szCs w:val="24"/>
              </w:rPr>
              <w:t>13888225338</w:t>
            </w:r>
          </w:p>
        </w:tc>
        <w:tc>
          <w:tcPr>
            <w:tcW w:w="1307" w:type="dxa"/>
            <w:gridSpan w:val="3"/>
            <w:tcBorders>
              <w:top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邮政编码：</w:t>
            </w:r>
          </w:p>
        </w:tc>
        <w:tc>
          <w:tcPr>
            <w:tcW w:w="1595" w:type="dxa"/>
            <w:gridSpan w:val="4"/>
            <w:tcBorders>
              <w:top w:val="nil"/>
              <w:bottom w:val="dotted" w:color="auto" w:sz="4" w:space="0"/>
            </w:tcBorders>
            <w:vAlign w:val="bottom"/>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3293" w:type="dxa"/>
            <w:gridSpan w:val="7"/>
            <w:tcBorders>
              <w:top w:val="nil"/>
              <w:left w:val="nil"/>
              <w:bottom w:val="nil"/>
            </w:tcBorders>
            <w:vAlign w:val="bottom"/>
          </w:tcPr>
          <w:p>
            <w:pPr>
              <w:spacing w:before="78" w:beforeLines="25" w:after="78" w:afterLines="25" w:line="360" w:lineRule="auto"/>
              <w:rPr>
                <w:rFonts w:ascii="Times New Roman" w:hAnsi="Times New Roman"/>
                <w:b/>
                <w:bCs/>
                <w:sz w:val="24"/>
                <w:szCs w:val="24"/>
              </w:rPr>
            </w:pPr>
            <w:r>
              <w:rPr>
                <w:rFonts w:ascii="Times New Roman" w:hAnsi="Times New Roman"/>
                <w:b/>
                <w:bCs/>
                <w:sz w:val="24"/>
                <w:szCs w:val="24"/>
              </w:rPr>
              <w:t>其他参加人姓名及工作单位：</w:t>
            </w:r>
          </w:p>
        </w:tc>
        <w:tc>
          <w:tcPr>
            <w:tcW w:w="6279" w:type="dxa"/>
            <w:gridSpan w:val="21"/>
            <w:tcBorders>
              <w:top w:val="nil"/>
              <w:left w:val="nil"/>
              <w:bottom w:val="dotted" w:color="auto" w:sz="4" w:space="0"/>
            </w:tcBorders>
            <w:vAlign w:val="bottom"/>
          </w:tcPr>
          <w:p>
            <w:pPr>
              <w:spacing w:before="78" w:beforeLines="25" w:after="78" w:afterLines="25" w:line="360" w:lineRule="auto"/>
              <w:rPr>
                <w:rFonts w:ascii="Times New Roman" w:hAnsi="Times New Roman"/>
                <w:sz w:val="18"/>
                <w:szCs w:val="18"/>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single" w:color="auto" w:sz="12" w:space="0"/>
            </w:tcBorders>
            <w:vAlign w:val="bottom"/>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single" w:color="auto" w:sz="12" w:space="0"/>
              <w:left w:val="nil"/>
              <w:bottom w:val="nil"/>
              <w:tl2br w:val="nil"/>
              <w:tr2bl w:val="nil"/>
            </w:tcBorders>
          </w:tcPr>
          <w:p>
            <w:pPr>
              <w:spacing w:before="156" w:beforeLines="50" w:after="156" w:afterLines="50" w:line="360" w:lineRule="auto"/>
              <w:ind w:firstLine="480" w:firstLineChars="200"/>
              <w:rPr>
                <w:rFonts w:ascii="仿宋" w:hAnsi="仿宋" w:eastAsia="仿宋" w:cs="仿宋"/>
                <w:sz w:val="24"/>
              </w:rPr>
            </w:pPr>
            <w:r>
              <w:rPr>
                <w:rFonts w:hint="eastAsia" w:ascii="仿宋" w:hAnsi="仿宋" w:eastAsia="仿宋" w:cs="仿宋"/>
                <w:sz w:val="24"/>
              </w:rPr>
              <w:t>我们是</w:t>
            </w:r>
            <w:r>
              <w:rPr>
                <w:rFonts w:hint="eastAsia" w:ascii="仿宋" w:hAnsi="仿宋" w:eastAsia="仿宋" w:cs="仿宋"/>
                <w:sz w:val="24"/>
                <w:lang w:eastAsia="zh-CN"/>
              </w:rPr>
              <w:t>昆明市生态环境局宜良分局</w:t>
            </w:r>
            <w:r>
              <w:rPr>
                <w:rFonts w:ascii="仿宋" w:hAnsi="仿宋" w:eastAsia="仿宋" w:cs="仿宋"/>
                <w:sz w:val="24"/>
              </w:rPr>
              <w:t>环境监察大队</w:t>
            </w:r>
            <w:r>
              <w:rPr>
                <w:rFonts w:hint="eastAsia" w:ascii="仿宋" w:hAnsi="仿宋" w:eastAsia="仿宋" w:cs="仿宋"/>
                <w:sz w:val="24"/>
              </w:rPr>
              <w:t>的行政执法人员，这是我们的执法证件，请过目确认。</w:t>
            </w:r>
            <w:r>
              <w:rPr>
                <w:rFonts w:hint="eastAsia" w:ascii="仿宋" w:hAnsi="仿宋" w:eastAsia="仿宋" w:cs="仿宋"/>
                <w:sz w:val="24"/>
                <w:u w:val="single"/>
              </w:rPr>
              <w:t xml:space="preserve">                                  </w:t>
            </w:r>
            <w:r>
              <w:rPr>
                <w:rFonts w:hint="eastAsia" w:ascii="仿宋" w:hAnsi="仿宋" w:eastAsia="仿宋" w:cs="仿宋"/>
                <w:sz w:val="24"/>
              </w:rPr>
              <w:t>今天我们依法进行检查并了解有关情况，你应当配合调查，如实回答询问和提供材料，不得拒绝、阻碍、隐瞒或者提供虚假情况。如果你认为我们与本案有利害关系，可能影响公正执法，可以申请我们回避，并说明理由（暗查等无法告知的情形除外）。</w:t>
            </w:r>
            <w:r>
              <w:rPr>
                <w:rFonts w:hint="eastAsia" w:ascii="仿宋" w:hAnsi="仿宋" w:eastAsia="仿宋" w:cs="仿宋"/>
                <w:sz w:val="24"/>
                <w:u w:val="single"/>
              </w:rPr>
              <w:t xml:space="preserve">                                                                      </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9572" w:type="dxa"/>
            <w:gridSpan w:val="28"/>
            <w:tcBorders>
              <w:top w:val="nil"/>
              <w:left w:val="nil"/>
              <w:bottom w:val="nil"/>
              <w:tl2br w:val="nil"/>
              <w:tr2bl w:val="nil"/>
            </w:tcBorders>
          </w:tcPr>
          <w:p>
            <w:pPr>
              <w:spacing w:line="360" w:lineRule="auto"/>
              <w:rPr>
                <w:rFonts w:ascii="仿宋" w:hAnsi="仿宋" w:eastAsia="仿宋"/>
                <w:sz w:val="21"/>
                <w:szCs w:val="21"/>
                <w:u w:val="dotted"/>
              </w:rPr>
            </w:pPr>
            <w:r>
              <w:rPr>
                <w:rFonts w:ascii="仿宋" w:hAnsi="仿宋" w:eastAsia="仿宋"/>
                <w:sz w:val="21"/>
                <w:szCs w:val="21"/>
                <w:u w:val="dotted"/>
              </w:rPr>
              <w:t xml:space="preserve"> </w:t>
            </w:r>
            <w:r>
              <w:rPr>
                <w:sz w:val="21"/>
                <w:szCs w:val="21"/>
                <w:u w:val="dotted"/>
              </w:rPr>
              <w:t xml:space="preserve">    一、企业概况：</w:t>
            </w:r>
            <w:r>
              <w:rPr>
                <w:sz w:val="21"/>
                <w:szCs w:val="21"/>
                <w:u w:val="dotted"/>
              </w:rPr>
              <w:cr/>
            </w:r>
            <w:r>
              <w:rPr>
                <w:sz w:val="21"/>
                <w:szCs w:val="21"/>
                <w:u w:val="dotted"/>
              </w:rPr>
              <w:t xml:space="preserve">    昆明东昇冶化有限责任公司位于宜良县汇东桥南侧，该公司属省控重点企业，占地23.1万平方米。始建于1956年，2002年由原宜良磷化工总厂改制成立昆明东昇冶化有限责任公司。公司主要产品及产量分别为：普钙20万吨/年，重钙6万吨/年。主要产品生产工艺分别为： 普钙和重钙生产工艺相同(磷矿石+酸)，只是酸原料不同，前者为硫酸，后者为磷酸。工艺为：合格磷矿粉送入混合器，酸进入混合器与磷矿粉混合后进入化成室反应，物料熟化后制成普钙或重钙。主要生产装置及设备有：硫精矿制硫酸五车间60kt/a一套、 22.5kt/a 。磷酸一套、200kt/a普钙一套、60kt/a重钙一套、70kt/a磨矿两套 和150kt/a造粒一套。企业有硫酸车间、磷酸车间、球磨车间、化肥车间、造粒车间。</w:t>
            </w:r>
            <w:r>
              <w:rPr>
                <w:sz w:val="21"/>
                <w:szCs w:val="21"/>
                <w:u w:val="dotted"/>
              </w:rPr>
              <w:cr/>
            </w:r>
            <w:r>
              <w:rPr>
                <w:sz w:val="21"/>
                <w:szCs w:val="21"/>
                <w:u w:val="dotted"/>
              </w:rPr>
              <w:t xml:space="preserve">    环保设施情况及产废情况：硫酸车间建有一套尾气脱硫装置，磷酸车间尾气、化肥车间尾气有三塔氟吸收各一套，球磨车间有布袋除尘、静电除尘各一套，造粒车间尾气有洗涤塔一套。硫酸车间产生废钒触媒及含砷酸泥，废钒触媒大约3年置换一次，一次产生量约9吨，含砷酸泥年产量约1吨；磷酸车间产品为氟硅酸和磷石膏，氟硅酸年产量约6000吨，磷石膏年产量约8万吨。该公司建有一座污水处理站，生产废水循环使用不外排。                                 </w:t>
            </w:r>
            <w:r>
              <w:rPr>
                <w:sz w:val="21"/>
                <w:szCs w:val="21"/>
                <w:u w:val="dotted"/>
              </w:rPr>
              <w:cr/>
            </w:r>
            <w:r>
              <w:rPr>
                <w:sz w:val="21"/>
                <w:szCs w:val="21"/>
                <w:u w:val="dotted"/>
              </w:rPr>
              <w:t xml:space="preserve">    该公司于2017年编制了突发环境事件应急预案，并于2017年10月23 到宜良县环境保护局进行了备案，备案编号：5301252017022M。</w:t>
            </w:r>
            <w:r>
              <w:rPr>
                <w:sz w:val="21"/>
                <w:szCs w:val="21"/>
                <w:u w:val="dotted"/>
              </w:rPr>
              <w:cr/>
            </w:r>
            <w:r>
              <w:rPr>
                <w:sz w:val="21"/>
                <w:szCs w:val="21"/>
                <w:u w:val="dotted"/>
              </w:rPr>
              <w:t xml:space="preserve">    二、环保手续：</w:t>
            </w:r>
            <w:r>
              <w:rPr>
                <w:sz w:val="21"/>
                <w:szCs w:val="21"/>
                <w:u w:val="dotted"/>
              </w:rPr>
              <w:cr/>
            </w:r>
            <w:r>
              <w:rPr>
                <w:sz w:val="21"/>
                <w:szCs w:val="21"/>
                <w:u w:val="dotted"/>
              </w:rPr>
              <w:t xml:space="preserve">    “15万吨普钙、重钙造粒装置技改项目”环评于2006年5月由云南省环境科学研究院编制，于2006年8月4日取得昆明市环境保护局审批（昆环保〔2006〕93号），于2012年12月31日通过宜良县环境保护局的环保竣工验收（宜环保〔2012〕221号）；2009年8月由昆明理工大学编制“环保整改工程项目”环评，于2009年9月16日取得宜良县环境保护局批复（宜环保〔2009〕171号），于2010年通过环保竣工验收（宜环保〔2010〕208号）；2019年10月16日，取得昆明市生态环境局核发的《排污许可证》，证书编号：915301252168607711002R，有效期限：自2019年10月16日起至2022年10月15日止。</w:t>
            </w:r>
            <w:r>
              <w:rPr>
                <w:sz w:val="21"/>
                <w:szCs w:val="21"/>
                <w:u w:val="dotted"/>
              </w:rPr>
              <w:cr/>
            </w:r>
            <w:r>
              <w:rPr>
                <w:sz w:val="21"/>
                <w:szCs w:val="21"/>
                <w:u w:val="dotted"/>
              </w:rPr>
              <w:t xml:space="preserve">    三、污染防治设施现场检查情况：</w:t>
            </w:r>
            <w:r>
              <w:rPr>
                <w:sz w:val="21"/>
                <w:szCs w:val="21"/>
                <w:u w:val="dotted"/>
              </w:rPr>
              <w:cr/>
            </w:r>
            <w:r>
              <w:rPr>
                <w:sz w:val="21"/>
                <w:szCs w:val="21"/>
                <w:u w:val="dotted"/>
              </w:rPr>
              <w:t xml:space="preserve">    1.现场检查时该公司球磨、硫酸五车间、化肥车间在生产，其余未生产。</w:t>
            </w:r>
            <w:r>
              <w:rPr>
                <w:sz w:val="21"/>
                <w:szCs w:val="21"/>
                <w:u w:val="dotted"/>
              </w:rPr>
              <w:cr/>
            </w:r>
            <w:r>
              <w:rPr>
                <w:sz w:val="21"/>
                <w:szCs w:val="21"/>
                <w:u w:val="dotted"/>
              </w:rPr>
              <w:t xml:space="preserve">    2.现场查阅该公司硫酸五车间排口自动监控数据显示（10:10）氮氧化物：123.44mg/m3，O2：7.34%，二氧化硫：257.00mg/m3，各项污染物均达标排放；</w:t>
            </w:r>
            <w:r>
              <w:rPr>
                <w:sz w:val="21"/>
                <w:szCs w:val="21"/>
                <w:u w:val="dotted"/>
              </w:rPr>
              <w:cr/>
            </w:r>
            <w:r>
              <w:rPr>
                <w:sz w:val="21"/>
                <w:szCs w:val="21"/>
                <w:u w:val="dotted"/>
              </w:rPr>
              <w:t xml:space="preserve">    3.查阅该公司2019年磷石膏产量统计显示，2019年该公司产生83256吨磷石膏，消耗80664.16吨；</w:t>
            </w:r>
            <w:r>
              <w:rPr>
                <w:sz w:val="21"/>
                <w:szCs w:val="21"/>
                <w:u w:val="dotted"/>
              </w:rPr>
              <w:cr/>
            </w:r>
            <w:r>
              <w:rPr>
                <w:sz w:val="21"/>
                <w:szCs w:val="21"/>
                <w:u w:val="dotted"/>
              </w:rPr>
              <w:t xml:space="preserve">    4.据现场负责人介绍，该公司厂区堆存的磷石膏21338吨，位于北古城镇大薛营村委会下河营村青草塘磷石膏堆场堆存磷石膏约50万吨，自2018年1月至今，厂外磷石膏堆场未新增磷石膏，已改性3万吨待处理；</w:t>
            </w:r>
            <w:r>
              <w:rPr>
                <w:sz w:val="21"/>
                <w:szCs w:val="21"/>
                <w:u w:val="dotted"/>
              </w:rPr>
              <w:cr/>
            </w:r>
            <w:r>
              <w:rPr>
                <w:sz w:val="21"/>
                <w:szCs w:val="21"/>
                <w:u w:val="dotted"/>
              </w:rPr>
              <w:t xml:space="preserve">     四、环境风险及应急管理情况：</w:t>
            </w:r>
            <w:r>
              <w:rPr>
                <w:sz w:val="21"/>
                <w:szCs w:val="21"/>
                <w:u w:val="dotted"/>
              </w:rPr>
              <w:cr/>
            </w:r>
            <w:r>
              <w:rPr>
                <w:sz w:val="21"/>
                <w:szCs w:val="21"/>
                <w:u w:val="dotted"/>
              </w:rPr>
              <w:t xml:space="preserve">     该公司于2017年编制了突发环境事件应急预案，并于2017年10月23 到宜良县环境保护局进行了备案，备案编号：5301252017022M。</w:t>
            </w:r>
            <w:r>
              <w:rPr>
                <w:sz w:val="21"/>
                <w:szCs w:val="21"/>
                <w:u w:val="dotted"/>
              </w:rPr>
              <w:cr/>
            </w:r>
            <w:r>
              <w:rPr>
                <w:sz w:val="21"/>
                <w:szCs w:val="21"/>
                <w:u w:val="dotted"/>
              </w:rPr>
              <w:t xml:space="preserve">    五、存在主要问题：</w:t>
            </w:r>
            <w:r>
              <w:rPr>
                <w:sz w:val="21"/>
                <w:szCs w:val="21"/>
                <w:u w:val="dotted"/>
              </w:rPr>
              <w:cr/>
            </w:r>
            <w:r>
              <w:rPr>
                <w:sz w:val="21"/>
                <w:szCs w:val="21"/>
                <w:u w:val="dotted"/>
              </w:rPr>
              <w:t xml:space="preserve">    1.该公司厂区内堆放磷石膏未采取有效防渗漏、防扬散、防流失措施;</w:t>
            </w:r>
            <w:r>
              <w:rPr>
                <w:sz w:val="21"/>
                <w:szCs w:val="21"/>
                <w:u w:val="dotted"/>
              </w:rPr>
              <w:cr/>
            </w:r>
            <w:r>
              <w:rPr>
                <w:sz w:val="21"/>
                <w:szCs w:val="21"/>
                <w:u w:val="dotted"/>
              </w:rPr>
              <w:t xml:space="preserve">    2.厂区外北古城镇大薛营村委会下河营村青草塘磷石膏堆场未采取有效防渗漏、防扬散、防流失措施，防渗措施简单、未设置地下水监测井、无渗滤液收集处理系统、防洪截洪不规范；</w:t>
            </w:r>
            <w:r>
              <w:rPr>
                <w:sz w:val="21"/>
                <w:szCs w:val="21"/>
                <w:u w:val="dotted"/>
              </w:rPr>
              <w:cr/>
            </w:r>
            <w:r>
              <w:rPr>
                <w:sz w:val="21"/>
                <w:szCs w:val="21"/>
                <w:u w:val="dotted"/>
              </w:rPr>
              <w:t xml:space="preserve">    3.厂区道路积尘多，厂区环境卫生较差。</w:t>
            </w:r>
            <w:r>
              <w:rPr>
                <w:sz w:val="21"/>
                <w:szCs w:val="21"/>
                <w:u w:val="dotted"/>
              </w:rPr>
              <w:cr/>
            </w:r>
            <w:r>
              <w:rPr>
                <w:sz w:val="21"/>
                <w:szCs w:val="21"/>
                <w:u w:val="dotted"/>
              </w:rPr>
              <w:t xml:space="preserve">    六、监察要求：</w:t>
            </w:r>
            <w:r>
              <w:rPr>
                <w:sz w:val="21"/>
                <w:szCs w:val="21"/>
                <w:u w:val="dotted"/>
              </w:rPr>
              <w:cr/>
            </w:r>
            <w:r>
              <w:rPr>
                <w:sz w:val="21"/>
                <w:szCs w:val="21"/>
                <w:u w:val="dotted"/>
              </w:rPr>
              <w:t xml:space="preserve">    1.对厂区内堆存的磷石膏采取有效“三防”措施并尽快消耗完；</w:t>
            </w:r>
            <w:r>
              <w:rPr>
                <w:sz w:val="21"/>
                <w:szCs w:val="21"/>
                <w:u w:val="dotted"/>
              </w:rPr>
              <w:cr/>
            </w:r>
            <w:r>
              <w:rPr>
                <w:sz w:val="21"/>
                <w:szCs w:val="21"/>
                <w:u w:val="dotted"/>
              </w:rPr>
              <w:t xml:space="preserve">    2.对厂区外北古城镇大薛营村委会青草塘磷石膏堆场采取有效“三防”措施，严格按照《长江“三磷”专项排查整治技术指南》规范防渗措施、设置地下水监测井、设置渗滤液收集处理系统、规范防洪截洪措施；</w:t>
            </w:r>
            <w:r>
              <w:rPr>
                <w:sz w:val="21"/>
                <w:szCs w:val="21"/>
                <w:u w:val="dotted"/>
              </w:rPr>
              <w:cr/>
            </w:r>
            <w:r>
              <w:rPr>
                <w:sz w:val="21"/>
                <w:szCs w:val="21"/>
                <w:u w:val="dotted"/>
              </w:rPr>
              <w:t xml:space="preserve">    3.制定、完善整改方案，明确专人负责“三磷”问题整改工作，严格按照《长江“三磷”专项排查整治技术指南》要求制定、完善整改方案，细化整改措施报我局备案，认真开展整改工作，定期向我局上报整改情况；</w:t>
            </w:r>
            <w:r>
              <w:rPr>
                <w:sz w:val="21"/>
                <w:szCs w:val="21"/>
                <w:u w:val="dotted"/>
              </w:rPr>
              <w:cr/>
            </w:r>
            <w:r>
              <w:rPr>
                <w:sz w:val="21"/>
                <w:szCs w:val="21"/>
                <w:u w:val="dotted"/>
              </w:rPr>
              <w:t xml:space="preserve">    4.严格按照相关规定做好排污许可证管理工作；</w:t>
            </w:r>
            <w:r>
              <w:rPr>
                <w:sz w:val="21"/>
                <w:szCs w:val="21"/>
                <w:u w:val="dotted"/>
              </w:rPr>
              <w:cr/>
            </w:r>
            <w:r>
              <w:rPr>
                <w:sz w:val="21"/>
                <w:szCs w:val="21"/>
                <w:u w:val="dotted"/>
              </w:rPr>
              <w:t xml:space="preserve">    5.加强环保设施设备的巡查管理力度，正常运行污染防治设施，确保各项污染物达标排放；</w:t>
            </w:r>
            <w:r>
              <w:rPr>
                <w:sz w:val="21"/>
                <w:szCs w:val="21"/>
                <w:u w:val="dotted"/>
              </w:rPr>
              <w:cr/>
            </w:r>
            <w:r>
              <w:rPr>
                <w:sz w:val="21"/>
                <w:szCs w:val="21"/>
                <w:u w:val="dotted"/>
              </w:rPr>
              <w:t xml:space="preserve">    6.严格按危险化学品生产相关管理要求对危化品进行管理，做好相应资料台账和安全生产相关工作；</w:t>
            </w:r>
            <w:r>
              <w:rPr>
                <w:sz w:val="21"/>
                <w:szCs w:val="21"/>
                <w:u w:val="dotted"/>
              </w:rPr>
              <w:cr/>
            </w:r>
            <w:r>
              <w:rPr>
                <w:sz w:val="21"/>
                <w:szCs w:val="21"/>
                <w:u w:val="dotted"/>
              </w:rPr>
              <w:t xml:space="preserve">    7.加强厂区环境清洁力度，保证厂区整洁、卫生；</w:t>
            </w:r>
            <w:r>
              <w:rPr>
                <w:sz w:val="21"/>
                <w:szCs w:val="21"/>
                <w:u w:val="dotted"/>
              </w:rPr>
              <w:cr/>
            </w:r>
            <w:r>
              <w:rPr>
                <w:sz w:val="21"/>
                <w:szCs w:val="21"/>
                <w:u w:val="dotted"/>
              </w:rPr>
              <w:t xml:space="preserve">    8.加强管理，严格按照国家相关规定做好疫情期间的疫情防控工作和安全生产工作。</w:t>
            </w:r>
          </w:p>
          <w:p>
            <w:pPr>
              <w:spacing w:line="360" w:lineRule="auto"/>
              <w:rPr>
                <w:rFonts w:ascii="仿宋" w:hAnsi="仿宋" w:eastAsia="仿宋"/>
                <w:sz w:val="24"/>
                <w:szCs w:val="24"/>
                <w:u w:val="dotted"/>
              </w:rPr>
            </w:pPr>
            <w:r>
              <w:rPr>
                <w:rFonts w:ascii="仿宋" w:hAnsi="仿宋" w:eastAsia="仿宋"/>
                <w:sz w:val="21"/>
                <w:szCs w:val="21"/>
                <w:u w:val="dotted"/>
              </w:rPr>
              <w:t xml:space="preserve">    </w:t>
            </w:r>
            <w:r>
              <w:rPr>
                <w:rFonts w:hint="eastAsia" w:ascii="仿宋" w:hAnsi="仿宋" w:eastAsia="仿宋"/>
                <w:sz w:val="21"/>
                <w:szCs w:val="21"/>
                <w:u w:val="dotted"/>
              </w:rPr>
              <w:t>（以下空白）</w:t>
            </w:r>
            <w:r>
              <w:rPr>
                <w:rFonts w:ascii="仿宋" w:hAnsi="仿宋" w:eastAsia="仿宋"/>
                <w:sz w:val="21"/>
                <w:szCs w:val="21"/>
                <w:u w:val="dotted"/>
              </w:rPr>
              <w:t xml:space="preserve">                                                              </w:t>
            </w:r>
            <w:r>
              <w:rPr>
                <w:rFonts w:ascii="仿宋" w:hAnsi="仿宋" w:eastAsia="仿宋"/>
                <w:sz w:val="24"/>
                <w:szCs w:val="24"/>
                <w:u w:val="dotted"/>
              </w:rPr>
              <w:t xml:space="preserve"> </w:t>
            </w:r>
          </w:p>
        </w:tc>
      </w:tr>
    </w:tbl>
    <w:p>
      <w:pPr>
        <w:spacing w:line="17" w:lineRule="auto"/>
        <w:rPr>
          <w:rFonts w:hint="default"/>
          <w:b/>
          <w:bCs/>
          <w:sz w:val="28"/>
          <w:szCs w:val="28"/>
          <w:u w:val="dotted"/>
          <w:lang w:val="en-US"/>
        </w:rPr>
      </w:pPr>
      <w:r>
        <w:rPr>
          <w:rFonts w:hint="eastAsia"/>
          <w:b/>
          <w:bCs/>
          <w:sz w:val="28"/>
          <w:szCs w:val="28"/>
        </w:rPr>
        <w:t>被检查对象意见：</w:t>
      </w:r>
      <w:r>
        <w:rPr>
          <w:rFonts w:hint="default"/>
          <w:b/>
          <w:bCs/>
          <w:sz w:val="28"/>
          <w:szCs w:val="28"/>
          <w:u w:val="dotted"/>
          <w:lang w:val="en-US"/>
        </w:rPr>
        <w:t xml:space="preserve">                                                          </w:t>
      </w:r>
    </w:p>
    <w:p>
      <w:pPr>
        <w:spacing w:line="17" w:lineRule="auto"/>
        <w:rPr>
          <w:rFonts w:hint="default"/>
          <w:b/>
          <w:bCs/>
          <w:sz w:val="28"/>
          <w:szCs w:val="28"/>
          <w:lang w:val="en-US"/>
        </w:rPr>
      </w:pPr>
      <w:r>
        <w:rPr>
          <w:rFonts w:hint="eastAsia"/>
          <w:b/>
          <w:bCs/>
          <w:sz w:val="28"/>
          <w:szCs w:val="28"/>
        </w:rPr>
        <w:t>现场负责人签名：</w:t>
      </w:r>
      <w:r>
        <w:rPr>
          <w:rFonts w:hint="default"/>
          <w:b/>
          <w:bCs/>
          <w:sz w:val="28"/>
          <w:szCs w:val="28"/>
          <w:u w:val="dotted"/>
          <w:lang w:val="en-US"/>
        </w:rPr>
        <w:t xml:space="preserve">                                    </w:t>
      </w:r>
      <w:r>
        <w:rPr>
          <w:rFonts w:hint="eastAsia"/>
          <w:b/>
          <w:bCs/>
          <w:sz w:val="28"/>
          <w:szCs w:val="28"/>
          <w:u w:val="dotted"/>
        </w:rPr>
        <w:t>年    月    日</w:t>
      </w:r>
      <w:r>
        <w:rPr>
          <w:rFonts w:hint="default"/>
          <w:b/>
          <w:bCs/>
          <w:sz w:val="28"/>
          <w:szCs w:val="28"/>
          <w:lang w:val="en-US"/>
        </w:rPr>
        <w:t xml:space="preserve"> </w:t>
      </w:r>
    </w:p>
    <w:p>
      <w:pPr>
        <w:spacing w:line="17" w:lineRule="auto"/>
        <w:rPr>
          <w:rFonts w:hint="eastAsia"/>
          <w:b/>
          <w:bCs/>
          <w:sz w:val="28"/>
          <w:szCs w:val="28"/>
          <w:u w:val="dotted"/>
        </w:rPr>
      </w:pPr>
      <w:r>
        <w:rPr>
          <w:rFonts w:hint="eastAsia"/>
          <w:b/>
          <w:bCs/>
          <w:sz w:val="28"/>
          <w:szCs w:val="28"/>
        </w:rPr>
        <w:t>检查（勘察）人签名：</w:t>
      </w:r>
      <w:r>
        <w:rPr>
          <w:rFonts w:hint="eastAsia"/>
          <w:b/>
          <w:bCs/>
          <w:sz w:val="28"/>
          <w:szCs w:val="28"/>
          <w:u w:val="dotted"/>
        </w:rPr>
        <w:tab/>
      </w:r>
      <w:r>
        <w:rPr>
          <w:rFonts w:hint="default"/>
          <w:b/>
          <w:bCs/>
          <w:sz w:val="28"/>
          <w:szCs w:val="28"/>
          <w:u w:val="dotted"/>
          <w:lang w:val="en-US"/>
        </w:rPr>
        <w:t xml:space="preserve">                               </w:t>
      </w:r>
      <w:r>
        <w:rPr>
          <w:rFonts w:hint="eastAsia"/>
          <w:b/>
          <w:bCs/>
          <w:sz w:val="28"/>
          <w:szCs w:val="28"/>
          <w:u w:val="dotted"/>
        </w:rPr>
        <w:t>年    月    日</w:t>
      </w:r>
    </w:p>
    <w:p>
      <w:pPr>
        <w:spacing w:line="17" w:lineRule="auto"/>
        <w:rPr>
          <w:rFonts w:hint="eastAsia"/>
          <w:b/>
          <w:bCs/>
          <w:sz w:val="28"/>
          <w:szCs w:val="28"/>
          <w:u w:val="dotted"/>
        </w:rPr>
      </w:pPr>
      <w:r>
        <w:rPr>
          <w:rFonts w:hint="eastAsia"/>
          <w:b/>
          <w:bCs/>
          <w:sz w:val="28"/>
          <w:szCs w:val="28"/>
        </w:rPr>
        <w:t>记录人签名：</w:t>
      </w:r>
      <w:r>
        <w:rPr>
          <w:rFonts w:hint="eastAsia"/>
          <w:b/>
          <w:bCs/>
          <w:sz w:val="28"/>
          <w:szCs w:val="28"/>
          <w:u w:val="dotted"/>
        </w:rPr>
        <w:tab/>
      </w:r>
      <w:r>
        <w:rPr>
          <w:rFonts w:hint="default"/>
          <w:b/>
          <w:bCs/>
          <w:sz w:val="28"/>
          <w:szCs w:val="28"/>
          <w:u w:val="dotted"/>
          <w:lang w:val="en-US"/>
        </w:rPr>
        <w:t xml:space="preserve">                                     </w:t>
      </w:r>
      <w:r>
        <w:rPr>
          <w:rFonts w:hint="eastAsia"/>
          <w:b/>
          <w:bCs/>
          <w:sz w:val="28"/>
          <w:szCs w:val="28"/>
          <w:u w:val="dotted"/>
        </w:rPr>
        <w:t>年    月    日</w:t>
      </w:r>
    </w:p>
    <w:p>
      <w:pPr>
        <w:spacing w:line="17" w:lineRule="auto"/>
        <w:rPr>
          <w:rFonts w:hint="eastAsia"/>
          <w:b/>
          <w:bCs/>
          <w:sz w:val="28"/>
          <w:szCs w:val="28"/>
          <w:u w:val="dotted"/>
        </w:rPr>
      </w:pPr>
      <w:r>
        <w:rPr>
          <w:rFonts w:hint="eastAsia"/>
          <w:b/>
          <w:bCs/>
          <w:sz w:val="28"/>
          <w:szCs w:val="28"/>
        </w:rPr>
        <w:t>参加人签名：</w:t>
      </w:r>
      <w:r>
        <w:rPr>
          <w:rFonts w:hint="eastAsia"/>
          <w:b/>
          <w:bCs/>
          <w:sz w:val="28"/>
          <w:szCs w:val="28"/>
          <w:u w:val="dotted"/>
        </w:rPr>
        <w:tab/>
      </w:r>
      <w:r>
        <w:rPr>
          <w:rFonts w:hint="default"/>
          <w:b/>
          <w:bCs/>
          <w:sz w:val="28"/>
          <w:szCs w:val="28"/>
          <w:u w:val="dotted"/>
          <w:lang w:val="en-US"/>
        </w:rPr>
        <w:t xml:space="preserve">                                     </w:t>
      </w:r>
      <w:r>
        <w:rPr>
          <w:rFonts w:hint="eastAsia"/>
          <w:b/>
          <w:bCs/>
          <w:sz w:val="28"/>
          <w:szCs w:val="28"/>
          <w:u w:val="dotted"/>
        </w:rPr>
        <w:t>年    月    日</w:t>
      </w:r>
    </w:p>
    <w:p>
      <w:pPr>
        <w:spacing w:line="17" w:lineRule="auto"/>
        <w:rPr>
          <w:sz w:val="28"/>
          <w:szCs w:val="28"/>
        </w:rPr>
        <w:sectPr>
          <w:footerReference r:id="rId3"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pPr>
      <w:r>
        <w:rPr>
          <w:rFonts w:hint="eastAsia"/>
          <w:sz w:val="28"/>
          <w:szCs w:val="28"/>
        </w:rPr>
        <w:tab/>
      </w:r>
    </w:p>
    <w:p>
      <w:pPr>
        <w:spacing w:line="17" w:lineRule="auto"/>
        <w:rPr>
          <w:sz w:val="10"/>
          <w:szCs w:val="10"/>
        </w:rPr>
      </w:pPr>
    </w:p>
    <w:p>
      <w:pPr>
        <w:spacing w:line="17" w:lineRule="auto"/>
        <w:rPr>
          <w:sz w:val="10"/>
          <w:szCs w:val="10"/>
        </w:rPr>
      </w:pPr>
    </w:p>
    <w:tbl>
      <w:tblPr>
        <w:tblStyle w:val="5"/>
        <w:tblpPr w:leftFromText="181" w:rightFromText="181" w:tblpY="9640"/>
        <w:tblOverlap w:val="never"/>
        <w:tblW w:w="0" w:type="auto"/>
        <w:tblInd w:w="0" w:type="dxa"/>
        <w:tblBorders>
          <w:top w:val="none" w:color="auto" w:sz="0" w:space="0"/>
          <w:left w:val="single" w:color="000000" w:sz="2" w:space="0"/>
          <w:bottom w:val="none" w:color="auto" w:sz="0" w:space="0"/>
          <w:right w:val="none" w:color="auto" w:sz="0" w:space="0"/>
          <w:insideH w:val="single" w:color="000000" w:sz="4" w:space="0"/>
          <w:insideV w:val="none" w:color="auto" w:sz="0" w:space="0"/>
        </w:tblBorders>
        <w:tblLayout w:type="fixed"/>
        <w:tblCellMar>
          <w:top w:w="0" w:type="dxa"/>
          <w:left w:w="108" w:type="dxa"/>
          <w:bottom w:w="0" w:type="dxa"/>
          <w:right w:w="108" w:type="dxa"/>
        </w:tblCellMar>
      </w:tblPr>
      <w:tblGrid>
        <w:gridCol w:w="2408"/>
        <w:gridCol w:w="7162"/>
      </w:tblGrid>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single" w:color="auto" w:sz="12" w:space="0"/>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被检查对象意见：</w:t>
            </w:r>
          </w:p>
        </w:tc>
        <w:tc>
          <w:tcPr>
            <w:tcW w:w="7162" w:type="dxa"/>
            <w:tcBorders>
              <w:top w:val="single" w:color="auto" w:sz="12" w:space="0"/>
              <w:left w:val="nil"/>
              <w:bottom w:val="dotted" w:color="auto" w:sz="4" w:space="0"/>
              <w:tl2br w:val="nil"/>
              <w:tr2bl w:val="nil"/>
            </w:tcBorders>
          </w:tcPr>
          <w:p>
            <w:pPr>
              <w:spacing w:before="78" w:beforeLines="25" w:after="78" w:afterLines="25" w:line="360" w:lineRule="auto"/>
              <w:rPr>
                <w:rFonts w:ascii="Times New Roman" w:hAnsi="Times New Roman"/>
                <w:sz w:val="24"/>
                <w:szCs w:val="24"/>
              </w:rPr>
            </w:pP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现场负责人签名：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检查（勘察）人签名：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记录人签名：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nil"/>
              <w:right w:val="nil"/>
              <w:tl2br w:val="nil"/>
              <w:tr2bl w:val="nil"/>
            </w:tcBorders>
          </w:tcPr>
          <w:p>
            <w:pPr>
              <w:spacing w:before="78" w:beforeLines="25" w:after="78" w:afterLines="25" w:line="360" w:lineRule="auto"/>
              <w:rPr>
                <w:rFonts w:ascii="Times New Roman" w:hAnsi="Times New Roman"/>
                <w:b/>
                <w:bCs/>
                <w:sz w:val="24"/>
                <w:szCs w:val="24"/>
              </w:rPr>
            </w:pPr>
            <w:r>
              <w:rPr>
                <w:rFonts w:hint="eastAsia" w:ascii="Times New Roman" w:hAnsi="Times New Roman"/>
                <w:b/>
                <w:bCs/>
                <w:sz w:val="24"/>
                <w:szCs w:val="24"/>
              </w:rPr>
              <w:t>参加人签名：</w:t>
            </w:r>
          </w:p>
        </w:tc>
        <w:tc>
          <w:tcPr>
            <w:tcW w:w="7162" w:type="dxa"/>
            <w:tcBorders>
              <w:top w:val="dotted" w:color="auto" w:sz="4" w:space="0"/>
              <w:left w:val="nil"/>
              <w:bottom w:val="dotted" w:color="auto" w:sz="4" w:space="0"/>
              <w:tl2br w:val="nil"/>
              <w:tr2bl w:val="nil"/>
            </w:tcBorders>
          </w:tcPr>
          <w:p>
            <w:pPr>
              <w:spacing w:before="78" w:beforeLines="25" w:after="78" w:afterLines="25" w:line="360" w:lineRule="auto"/>
              <w:jc w:val="right"/>
              <w:rPr>
                <w:rFonts w:ascii="Times New Roman" w:hAnsi="Times New Roman"/>
                <w:sz w:val="24"/>
                <w:szCs w:val="24"/>
              </w:rPr>
            </w:pPr>
            <w:r>
              <w:rPr>
                <w:rFonts w:hint="eastAsia" w:ascii="Times New Roman" w:hAnsi="Times New Roman"/>
                <w:sz w:val="24"/>
                <w:szCs w:val="24"/>
              </w:rPr>
              <w:t>年    月    日</w:t>
            </w:r>
          </w:p>
        </w:tc>
      </w:tr>
      <w:tr>
        <w:tblPrEx>
          <w:tblBorders>
            <w:top w:val="none" w:color="auto" w:sz="0" w:space="0"/>
            <w:left w:val="single" w:color="000000" w:sz="2" w:space="0"/>
            <w:bottom w:val="none" w:color="auto" w:sz="0" w:space="0"/>
            <w:right w:val="none" w:color="auto" w:sz="0" w:space="0"/>
            <w:insideH w:val="single" w:color="000000" w:sz="4" w:space="0"/>
            <w:insideV w:val="none" w:color="auto" w:sz="0" w:space="0"/>
          </w:tblBorders>
          <w:tblCellMar>
            <w:top w:w="0" w:type="dxa"/>
            <w:left w:w="108" w:type="dxa"/>
            <w:bottom w:w="0" w:type="dxa"/>
            <w:right w:w="108" w:type="dxa"/>
          </w:tblCellMar>
        </w:tblPrEx>
        <w:tc>
          <w:tcPr>
            <w:tcW w:w="2408" w:type="dxa"/>
            <w:tcBorders>
              <w:top w:val="nil"/>
              <w:left w:val="nil"/>
              <w:bottom w:val="single" w:color="auto" w:sz="12" w:space="0"/>
              <w:tl2br w:val="nil"/>
              <w:tr2bl w:val="nil"/>
            </w:tcBorders>
          </w:tcPr>
          <w:p>
            <w:pPr>
              <w:spacing w:before="78" w:beforeLines="25" w:after="78" w:afterLines="25" w:line="360" w:lineRule="auto"/>
              <w:rPr>
                <w:rFonts w:ascii="Times New Roman" w:hAnsi="Times New Roman"/>
                <w:b/>
                <w:bCs/>
                <w:sz w:val="24"/>
                <w:szCs w:val="24"/>
              </w:rPr>
            </w:pPr>
          </w:p>
        </w:tc>
        <w:tc>
          <w:tcPr>
            <w:tcW w:w="7162" w:type="dxa"/>
            <w:tcBorders>
              <w:top w:val="dotted" w:color="auto" w:sz="4" w:space="0"/>
              <w:left w:val="nil"/>
              <w:bottom w:val="single" w:color="auto" w:sz="12" w:space="0"/>
              <w:tl2br w:val="nil"/>
              <w:tr2bl w:val="nil"/>
            </w:tcBorders>
          </w:tcPr>
          <w:p>
            <w:pPr>
              <w:spacing w:before="78" w:beforeLines="25" w:after="78" w:afterLines="25" w:line="360" w:lineRule="auto"/>
              <w:jc w:val="right"/>
              <w:rPr>
                <w:rFonts w:ascii="Times New Roman" w:hAnsi="Times New Roman"/>
                <w:sz w:val="24"/>
                <w:szCs w:val="24"/>
              </w:rPr>
            </w:pPr>
          </w:p>
        </w:tc>
      </w:tr>
    </w:tbl>
    <w:p>
      <w:pPr>
        <w:spacing w:line="17" w:lineRule="auto"/>
        <w:rPr>
          <w:sz w:val="10"/>
          <w:szCs w:val="10"/>
        </w:rPr>
      </w:pPr>
    </w:p>
    <w:sectPr>
      <w:footerReference r:id="rId4" w:type="default"/>
      <w:pgSz w:w="11906" w:h="16838"/>
      <w:pgMar w:top="1021" w:right="1134" w:bottom="1021" w:left="1418" w:header="851" w:footer="1134" w:gutter="0"/>
      <w:pgBorders>
        <w:top w:val="single" w:color="auto" w:sz="18" w:space="0"/>
        <w:left w:val="single" w:color="auto" w:sz="18" w:space="15"/>
        <w:bottom w:val="single" w:color="auto" w:sz="18" w:space="0"/>
        <w:right w:val="single" w:color="auto" w:sz="18" w:space="15"/>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楷体" w:hAnsi="楷体" w:eastAsia="楷体" w:cs="楷体"/>
        <w:b/>
        <w:sz w:val="28"/>
        <w:szCs w:val="28"/>
        <w:lang w:val="zh-CN"/>
      </w:rPr>
    </w:pPr>
    <w:r>
      <w:rPr>
        <w:rFonts w:hint="eastAsia" w:ascii="楷体" w:hAnsi="楷体" w:eastAsia="楷体" w:cs="楷体"/>
        <w:b/>
        <w:sz w:val="28"/>
        <w:szCs w:val="28"/>
        <w:lang w:val="zh-CN"/>
      </w:rPr>
      <w:t>现场负责人签名：                     日期：</w:t>
    </w:r>
  </w:p>
  <w:p>
    <w:pPr>
      <w:pStyle w:val="3"/>
      <w:rPr>
        <w:rFonts w:ascii="楷体" w:hAnsi="楷体" w:eastAsia="楷体" w:cs="楷体"/>
        <w:b/>
        <w:sz w:val="28"/>
        <w:szCs w:val="28"/>
        <w:lang w:val="zh-CN"/>
      </w:rPr>
    </w:pPr>
    <w:r>
      <w:rPr>
        <w:rFonts w:hint="eastAsia" w:ascii="楷体" w:hAnsi="楷体" w:eastAsia="楷体" w:cs="楷体"/>
        <w:b/>
        <w:sz w:val="28"/>
        <w:szCs w:val="28"/>
        <w:lang w:val="zh-CN"/>
      </w:rPr>
      <w:t>执法人员签名：                       日期：</w:t>
    </w:r>
  </w:p>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b/>
        <w:sz w:val="21"/>
        <w:szCs w:val="21"/>
      </w:rPr>
    </w:pPr>
    <w:r>
      <w:rPr>
        <w:rFonts w:hint="eastAsia" w:ascii="宋体" w:hAnsi="宋体"/>
        <w:b/>
        <w:sz w:val="21"/>
        <w:szCs w:val="21"/>
        <w:lang w:val="zh-CN"/>
      </w:rPr>
      <w:t>第</w:t>
    </w:r>
    <w:r>
      <w:rPr>
        <w:rFonts w:ascii="宋体" w:hAnsi="宋体"/>
        <w:b/>
        <w:sz w:val="21"/>
        <w:szCs w:val="21"/>
        <w:lang w:val="zh-CN"/>
      </w:rPr>
      <w:t xml:space="preserve">    </w:t>
    </w:r>
    <w:r>
      <w:rPr>
        <w:rFonts w:hint="eastAsia" w:ascii="宋体" w:hAnsi="宋体"/>
        <w:b/>
        <w:sz w:val="21"/>
        <w:szCs w:val="21"/>
      </w:rPr>
      <w:t>页</w:t>
    </w:r>
    <w:r>
      <w:rPr>
        <w:rFonts w:ascii="宋体" w:hAnsi="宋体"/>
        <w:b/>
        <w:sz w:val="21"/>
        <w:szCs w:val="21"/>
        <w:lang w:val="zh-CN"/>
      </w:rPr>
      <w:t xml:space="preserve"> /</w:t>
    </w:r>
    <w:r>
      <w:rPr>
        <w:rFonts w:hint="eastAsia" w:ascii="宋体" w:hAnsi="宋体"/>
        <w:b/>
        <w:sz w:val="21"/>
        <w:szCs w:val="21"/>
        <w:lang w:val="zh-CN"/>
      </w:rPr>
      <w:t>共</w:t>
    </w:r>
    <w:r>
      <w:rPr>
        <w:rFonts w:ascii="宋体" w:hAnsi="宋体"/>
        <w:b/>
        <w:sz w:val="21"/>
        <w:szCs w:val="21"/>
        <w:lang w:val="zh-CN"/>
      </w:rPr>
      <w:t xml:space="preserve"> </w:t>
    </w: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211"/>
    <w:rsid w:val="00027D43"/>
    <w:rsid w:val="000312F6"/>
    <w:rsid w:val="00056025"/>
    <w:rsid w:val="00056F8C"/>
    <w:rsid w:val="00071189"/>
    <w:rsid w:val="000768E1"/>
    <w:rsid w:val="00091D31"/>
    <w:rsid w:val="000A5A56"/>
    <w:rsid w:val="000B2617"/>
    <w:rsid w:val="000E37C1"/>
    <w:rsid w:val="00112B63"/>
    <w:rsid w:val="0011672A"/>
    <w:rsid w:val="00140CCE"/>
    <w:rsid w:val="00172A27"/>
    <w:rsid w:val="00182D12"/>
    <w:rsid w:val="00194169"/>
    <w:rsid w:val="00194B07"/>
    <w:rsid w:val="00195DDC"/>
    <w:rsid w:val="00197B7E"/>
    <w:rsid w:val="001A3EEB"/>
    <w:rsid w:val="001B1475"/>
    <w:rsid w:val="001C0BC2"/>
    <w:rsid w:val="001C1B92"/>
    <w:rsid w:val="001C6DA2"/>
    <w:rsid w:val="001D67B1"/>
    <w:rsid w:val="0025485F"/>
    <w:rsid w:val="00284C8A"/>
    <w:rsid w:val="00286FCE"/>
    <w:rsid w:val="002875E1"/>
    <w:rsid w:val="002D2DEC"/>
    <w:rsid w:val="002D4F8E"/>
    <w:rsid w:val="002D51AA"/>
    <w:rsid w:val="002E308A"/>
    <w:rsid w:val="002E7A9A"/>
    <w:rsid w:val="002F265A"/>
    <w:rsid w:val="003203CC"/>
    <w:rsid w:val="00323E88"/>
    <w:rsid w:val="00341D3B"/>
    <w:rsid w:val="003642A8"/>
    <w:rsid w:val="003816B5"/>
    <w:rsid w:val="0038584C"/>
    <w:rsid w:val="003957F4"/>
    <w:rsid w:val="003B05E9"/>
    <w:rsid w:val="003B1231"/>
    <w:rsid w:val="003B5D61"/>
    <w:rsid w:val="003B7EAB"/>
    <w:rsid w:val="003C256B"/>
    <w:rsid w:val="003D4E46"/>
    <w:rsid w:val="003D7615"/>
    <w:rsid w:val="003E347E"/>
    <w:rsid w:val="004033F9"/>
    <w:rsid w:val="00417FF9"/>
    <w:rsid w:val="00426550"/>
    <w:rsid w:val="004365EC"/>
    <w:rsid w:val="004445B8"/>
    <w:rsid w:val="004600C7"/>
    <w:rsid w:val="0046399E"/>
    <w:rsid w:val="00463B65"/>
    <w:rsid w:val="004640E7"/>
    <w:rsid w:val="00493C4E"/>
    <w:rsid w:val="00496680"/>
    <w:rsid w:val="004A7BDB"/>
    <w:rsid w:val="004B1758"/>
    <w:rsid w:val="004B7E29"/>
    <w:rsid w:val="004E6C91"/>
    <w:rsid w:val="00507553"/>
    <w:rsid w:val="005268F7"/>
    <w:rsid w:val="005368FA"/>
    <w:rsid w:val="00540460"/>
    <w:rsid w:val="005437BE"/>
    <w:rsid w:val="00552A87"/>
    <w:rsid w:val="00553F6C"/>
    <w:rsid w:val="00564B12"/>
    <w:rsid w:val="005703B4"/>
    <w:rsid w:val="00571B7C"/>
    <w:rsid w:val="005727B4"/>
    <w:rsid w:val="00576308"/>
    <w:rsid w:val="005A05A0"/>
    <w:rsid w:val="005A5F86"/>
    <w:rsid w:val="005E59FE"/>
    <w:rsid w:val="005F5D53"/>
    <w:rsid w:val="00607465"/>
    <w:rsid w:val="006239BA"/>
    <w:rsid w:val="006264F8"/>
    <w:rsid w:val="00626D96"/>
    <w:rsid w:val="00634FF1"/>
    <w:rsid w:val="00651D63"/>
    <w:rsid w:val="006525EC"/>
    <w:rsid w:val="006526CC"/>
    <w:rsid w:val="00654432"/>
    <w:rsid w:val="00654715"/>
    <w:rsid w:val="0067093D"/>
    <w:rsid w:val="006732C6"/>
    <w:rsid w:val="006B3020"/>
    <w:rsid w:val="006D6B44"/>
    <w:rsid w:val="007428D7"/>
    <w:rsid w:val="0074685D"/>
    <w:rsid w:val="00772486"/>
    <w:rsid w:val="00790D4C"/>
    <w:rsid w:val="007B3A55"/>
    <w:rsid w:val="007B6095"/>
    <w:rsid w:val="007B6BB5"/>
    <w:rsid w:val="007E28C8"/>
    <w:rsid w:val="007E7545"/>
    <w:rsid w:val="007F5200"/>
    <w:rsid w:val="00830C50"/>
    <w:rsid w:val="00863675"/>
    <w:rsid w:val="00866781"/>
    <w:rsid w:val="00870772"/>
    <w:rsid w:val="008713CE"/>
    <w:rsid w:val="0087657E"/>
    <w:rsid w:val="008A399E"/>
    <w:rsid w:val="008A4126"/>
    <w:rsid w:val="008C038A"/>
    <w:rsid w:val="008C4630"/>
    <w:rsid w:val="008D7F12"/>
    <w:rsid w:val="008F2EFE"/>
    <w:rsid w:val="009033C9"/>
    <w:rsid w:val="0090367D"/>
    <w:rsid w:val="00913C72"/>
    <w:rsid w:val="00923E9F"/>
    <w:rsid w:val="00953D9C"/>
    <w:rsid w:val="0095490E"/>
    <w:rsid w:val="00957ADB"/>
    <w:rsid w:val="009639BD"/>
    <w:rsid w:val="009756A0"/>
    <w:rsid w:val="009926F9"/>
    <w:rsid w:val="0099601F"/>
    <w:rsid w:val="009A2B7E"/>
    <w:rsid w:val="009B3575"/>
    <w:rsid w:val="009B4A75"/>
    <w:rsid w:val="009F79F1"/>
    <w:rsid w:val="00A1096A"/>
    <w:rsid w:val="00A16A40"/>
    <w:rsid w:val="00A216DD"/>
    <w:rsid w:val="00A24782"/>
    <w:rsid w:val="00A26D8A"/>
    <w:rsid w:val="00A6282E"/>
    <w:rsid w:val="00A7226E"/>
    <w:rsid w:val="00AA136D"/>
    <w:rsid w:val="00AA3745"/>
    <w:rsid w:val="00AB1CE1"/>
    <w:rsid w:val="00AC20DC"/>
    <w:rsid w:val="00AD774F"/>
    <w:rsid w:val="00AE68CC"/>
    <w:rsid w:val="00B030B7"/>
    <w:rsid w:val="00B04A68"/>
    <w:rsid w:val="00B16A60"/>
    <w:rsid w:val="00B30F59"/>
    <w:rsid w:val="00B354E2"/>
    <w:rsid w:val="00B47D00"/>
    <w:rsid w:val="00B52203"/>
    <w:rsid w:val="00B5749C"/>
    <w:rsid w:val="00BA68FB"/>
    <w:rsid w:val="00BA735E"/>
    <w:rsid w:val="00BA7490"/>
    <w:rsid w:val="00BA796B"/>
    <w:rsid w:val="00BB1B98"/>
    <w:rsid w:val="00BD709E"/>
    <w:rsid w:val="00BE2194"/>
    <w:rsid w:val="00C0074A"/>
    <w:rsid w:val="00C00FB5"/>
    <w:rsid w:val="00C11D14"/>
    <w:rsid w:val="00C23EF2"/>
    <w:rsid w:val="00C33A81"/>
    <w:rsid w:val="00C36A4D"/>
    <w:rsid w:val="00C37ACE"/>
    <w:rsid w:val="00C62156"/>
    <w:rsid w:val="00C6662B"/>
    <w:rsid w:val="00C9345D"/>
    <w:rsid w:val="00C952F6"/>
    <w:rsid w:val="00C977D2"/>
    <w:rsid w:val="00CC0116"/>
    <w:rsid w:val="00CD5865"/>
    <w:rsid w:val="00D01821"/>
    <w:rsid w:val="00D3353C"/>
    <w:rsid w:val="00D46FDD"/>
    <w:rsid w:val="00D52BCE"/>
    <w:rsid w:val="00D71961"/>
    <w:rsid w:val="00D91DA3"/>
    <w:rsid w:val="00D93C50"/>
    <w:rsid w:val="00D9549C"/>
    <w:rsid w:val="00DB0A0D"/>
    <w:rsid w:val="00DB3A1A"/>
    <w:rsid w:val="00DC430A"/>
    <w:rsid w:val="00DE5CF3"/>
    <w:rsid w:val="00E2263F"/>
    <w:rsid w:val="00E23686"/>
    <w:rsid w:val="00E270DE"/>
    <w:rsid w:val="00E342EE"/>
    <w:rsid w:val="00E70790"/>
    <w:rsid w:val="00E73372"/>
    <w:rsid w:val="00E96DE0"/>
    <w:rsid w:val="00EB29C9"/>
    <w:rsid w:val="00EB5318"/>
    <w:rsid w:val="00EC3893"/>
    <w:rsid w:val="00ED504C"/>
    <w:rsid w:val="00F131EC"/>
    <w:rsid w:val="00F45913"/>
    <w:rsid w:val="00F45E55"/>
    <w:rsid w:val="00F507D4"/>
    <w:rsid w:val="00F546E5"/>
    <w:rsid w:val="00F62CEF"/>
    <w:rsid w:val="00F653D0"/>
    <w:rsid w:val="00F67EC8"/>
    <w:rsid w:val="00F714E5"/>
    <w:rsid w:val="00F81D93"/>
    <w:rsid w:val="00F83FAF"/>
    <w:rsid w:val="00F925B1"/>
    <w:rsid w:val="00FD60FA"/>
    <w:rsid w:val="0327793A"/>
    <w:rsid w:val="08D24049"/>
    <w:rsid w:val="0A862E07"/>
    <w:rsid w:val="0B2C4821"/>
    <w:rsid w:val="0FDE369F"/>
    <w:rsid w:val="215515AA"/>
    <w:rsid w:val="2ADD290C"/>
    <w:rsid w:val="2C0B1F53"/>
    <w:rsid w:val="4E677D02"/>
    <w:rsid w:val="55E16072"/>
    <w:rsid w:val="590A5D2A"/>
    <w:rsid w:val="63953170"/>
    <w:rsid w:val="65DD432F"/>
    <w:rsid w:val="663D7BCC"/>
    <w:rsid w:val="6A1D1DA5"/>
    <w:rsid w:val="6E174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uiPriority w:val="0"/>
    <w:rPr>
      <w:kern w:val="2"/>
      <w:sz w:val="18"/>
      <w:szCs w:val="18"/>
    </w:rPr>
  </w:style>
  <w:style w:type="character" w:customStyle="1" w:styleId="8">
    <w:name w:val="无间隔 字符"/>
    <w:link w:val="9"/>
    <w:qFormat/>
    <w:uiPriority w:val="0"/>
    <w:rPr>
      <w:sz w:val="22"/>
      <w:szCs w:val="22"/>
      <w:lang w:val="en-US" w:eastAsia="zh-CN" w:bidi="ar-SA"/>
    </w:rPr>
  </w:style>
  <w:style w:type="paragraph" w:styleId="9">
    <w:name w:val="No Spacing"/>
    <w:link w:val="8"/>
    <w:qFormat/>
    <w:uiPriority w:val="0"/>
    <w:rPr>
      <w:rFonts w:ascii="Calibri" w:hAnsi="Calibri" w:eastAsia="宋体" w:cs="Times New Roman"/>
      <w:sz w:val="22"/>
      <w:szCs w:val="22"/>
      <w:lang w:val="en-US" w:eastAsia="zh-CN" w:bidi="ar-SA"/>
    </w:rPr>
  </w:style>
  <w:style w:type="character" w:customStyle="1" w:styleId="10">
    <w:name w:val="批注框文本 字符"/>
    <w:link w:val="2"/>
    <w:qFormat/>
    <w:uiPriority w:val="0"/>
    <w:rPr>
      <w:kern w:val="2"/>
      <w:sz w:val="18"/>
      <w:szCs w:val="18"/>
    </w:rPr>
  </w:style>
  <w:style w:type="character" w:customStyle="1" w:styleId="11">
    <w:name w:val="页脚 字符"/>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D55FB-D821-4099-A306-78B5761CFDE3}">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3</Pages>
  <Words>141</Words>
  <Characters>809</Characters>
  <Lines>6</Lines>
  <Paragraphs>1</Paragraphs>
  <TotalTime>5</TotalTime>
  <ScaleCrop>false</ScaleCrop>
  <LinksUpToDate>false</LinksUpToDate>
  <CharactersWithSpaces>949</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2018-04-02T07:24:00Z</dcterms:created>
  <dc:creator>Kingway Horn</dc:creator>
  <cp:lastModifiedBy>镜先生</cp:lastModifiedBy>
  <dcterms:modified xsi:type="dcterms:W3CDTF">2020-11-10T01:50:58Z</dcterms:modified>
  <dc:title>云南省环境监察总队调查询问笔录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