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bookmarkStart w:id="2" w:name="_GoBack"/>
      <w:r>
        <w:rPr>
          <w:rFonts w:hint="eastAsia" w:ascii="???????" w:hAnsi="宋体"/>
          <w:color w:val="000000"/>
          <w:sz w:val="36"/>
          <w:szCs w:val="36"/>
        </w:rPr>
        <w:t>宜良县市场监督管理局农资商品质量检查工作指引</w:t>
      </w:r>
    </w:p>
    <w:bookmarkEnd w:id="2"/>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农资商品质量</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 xml:space="preserve">《流通领域商品质量抽查检验办法》关于对相关产品质量指标 </w:t>
      </w:r>
    </w:p>
    <w:p>
      <w:pPr>
        <w:spacing w:line="500" w:lineRule="exact"/>
        <w:ind w:firstLine="460"/>
        <w:rPr>
          <w:rFonts w:hint="eastAsia" w:ascii="宋体" w:eastAsia="宋体"/>
          <w:color w:val="000000"/>
          <w:sz w:val="23"/>
          <w:szCs w:val="23"/>
          <w:lang w:val="en-US" w:eastAsia="zh-CN"/>
        </w:rPr>
      </w:pPr>
      <w:r>
        <w:rPr>
          <w:rFonts w:hint="eastAsia" w:ascii="宋体" w:hAnsi="宋体"/>
          <w:color w:val="000000"/>
          <w:sz w:val="23"/>
          <w:szCs w:val="23"/>
          <w:lang w:eastAsia="zh-CN"/>
        </w:rPr>
        <w:t>检查方法：现场抽样</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color w:val="000000"/>
          <w:sz w:val="23"/>
          <w:szCs w:val="23"/>
        </w:rPr>
      </w:pPr>
      <w:r>
        <w:rPr>
          <w:rFonts w:hint="eastAsia" w:ascii="宋体" w:hAnsi="宋体"/>
          <w:color w:val="000000"/>
          <w:sz w:val="23"/>
          <w:szCs w:val="23"/>
        </w:rPr>
        <w:t>（一）《流通领域商品质量抽查检验办法》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为了加强流通领域商品质量监督管理，保护消费者合法权益，根据《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"https://baike.baidu.com/item/%E4%B8%AD%E5%8D%8E%E4%BA%BA%E6%B0%91%E5%85%B1%E5%92%8C%E5%9B%BD%E6%B6%88%E8%B4%B9%E8%80%85%E6%9D%83%E7%9B%8A%E4%BF%9D%E6%8A%A4%E6%B3%95"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中华人民共和国消费者权益保护法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中华人民共和国产品质量法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》等法律法规和国务院有关规定，制定本办法。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本办法所称流通领域商品质量抽查检验（以下简称抽检），是指工商行政管理部门按照职责，依法对流通领域的商品质量进行抽样检验，并进行处理的监督检查活动。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工商行政管理部门依照相关法律法规和国务院规定以及本办法，定期或者不定期对商品质量进行抽检。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国家工商行政管理总局负责指导全国流通领域商品质量抽检工作，根据需要开展或者组织省、自治区、直辖市工商行政管理部门开展流通领域商品质量抽检。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省、自治区、直辖市工商行政管理部门（以下简称省级工商行政管理部门）负责统筹管理和组织开展辖区流通领域商品质量抽检工作。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省级以下工商行政管理部门按照省级工商行政管理部门的规定实施流通领域商品质量抽检及相关工作。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抽检应当依据法律法规、强制性标准和其他有关规定，以及商品或者其包装上注明采用的产品标准或者产品说明、实物样品等方式表明的质量状况进行商品质量判定。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抽检不得向经营者收取检验费用。抽检工作所需经费按照国家有关规定列入同级财政预算。</w:t>
      </w:r>
      <w:r>
        <w:rPr>
          <w:rFonts w:hint="default" w:ascii="Arial" w:hAnsi="Arial" w:eastAsia="宋体" w:cs="Arial"/>
          <w:kern w:val="0"/>
          <w:sz w:val="15"/>
          <w:szCs w:val="15"/>
          <w:shd w:val="clear" w:fill="FFFFFF"/>
          <w:lang w:val="en-US" w:eastAsia="zh-CN" w:bidi="ar"/>
        </w:rPr>
        <w:t xml:space="preserve"> [1-2]</w:t>
      </w:r>
      <w:bookmarkStart w:id="0" w:name="ref_[1-2]_12524167"/>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第二章 抽检工作程序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省级工商行政管理部门应当制定抽检工作计划，规定抽检的商品品种、抽检区域以及时间安排、经费预算等。抽检的商品品种主要是消费者、有关组织、大众传播媒介反映的以及行政执法中发现有质量问题的商品，涉及人体健康、人身财产安全和影响国计民生的商品以及上级部门要求的商品。同一年度原则上不得组织对同一商标的同一规格型号商品进行两次以上抽检，但有针对性地跟踪抽检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工商行政管理部门应当严格按照抽检工作计划实施抽检工作，不得随意抽检。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上级工商行政管理部门可以根据工作需要委托下级工商行政管理部门具体实施抽检工作。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抽检的检验工作应当委托具备法定资质的检验机构（以下简称承检机构）进行并签订委托协议书。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工商行政管理部门应当根据抽检工作计划制订抽检实施方案。抽检实施方案应当包括抽检的商品品种、承检机构、抽样地点、样品数量、抽检程序、检验标准、检验项目、判定原则、检验结果通知、复检安排、费用预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实施抽检的工商行政管理执法人员不得少于两人，并应当向被抽检的经营者出示行政执法证和抽检通知书。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经营者对工商行政管理部门依法开展的抽检工作应当予以配合，不得拒绝。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实施抽检的工商行政管理部门应当检查与被抽检商品相关的票证账簿、货源、数量、存货地点、存货量、销售量等，并对相关信息记录在案，由经营者签字确认。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抽检所需检验用样品和备份样品由工商行政管理执法人员、承检机构人员按照有关规定抽取。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样品和备份样品应当封样，并由工商行政管理执法人员、承检机构人员、经营者三方签字确认。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备份样品经工商行政管理执法人员、承检机构人员和经营者三方认可后封存。经营者不得私自拆封、毁损代为保管的备份样品。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抽检所需检验用样品，按经营者进货价格购买。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检验不进行破坏性测试且对样品质量不造成实质影响的，检验用样品可以由经营者无偿提供。抽检所需备份样品由经营者无偿提供。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无偿提供的样品，检验符合要求的，退还经营者；检验不合格的，由实施抽检的工商行政管理部门按照有关规定处理。购买的样品经检验符合要求，仍具有使用价值的，按照有关资产管理规定处理。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地方性法规、规章及规范性文件对样品抽取费用另有规定的，从其规定。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商品或者其包装上注明采用的产品标准为企业标准的，经营者应当在接到抽检通知之日起十五日内将相关标准提供给实施抽检的工商行政管理部门。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承检机构应当严格按照委托协议书开展检验工作，及时将检验结果报送实施抽检的工商行政管理部门，并严格遵守相关保密规定。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承检机构出具的检验报告应当格式规范、内容齐全、结论明确，并对其出具的检验报告的真实性、准确性、合法性负责，禁止伪造检验报告、出具虚假数据和结果。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实施抽检的工商行政管理部门应当自收到检验结果之日起五个工作日内通知被抽样的经营者。检验不合格的，应当通知样品标称的生产者并责令被抽检的经营者限期改正。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被抽样的经营者或者样品标称生产者对检验结果有异议的，应当自收到检验结果通知书之日起十五日内，向实施抽检的工商行政管理部门提出书面复检申请。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逾期未提出书面复检申请的，视为对检验结果无异议。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经营者私自拆封、毁损备份样品的，不予复检。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实施抽检的工商行政管理部门收到复检申请后，应当及时确定具备法定资质的复检机构，并书面通知复检申请人和承检机构。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复检申请人和承检机构应当自收到通知之日起七日内，按照要求分别办理复检手续和向复检机构送达样品。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第十九条 复检应当按照有关抽检程序规定对原样品或者备份样品进行检验。复检机构应当及时将复检结果报送实施抽检的工商行政管理部门。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实施抽检的工商行政管理部门应当自收到复检结果之日起五个工作日内通知复检申请人。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复检结果判定商品合格的，复检费用由工商行政管理部门承担。复检结果判定商品不合格的，复检费用由复检申请人承担。复检结果为最终结论。</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第三章 抽检结果处理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第二十条 实施抽检的工商行政管理部门应当及时向社会公布抽检结果。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省级工商行政管理部门负责本辖区抽检结果及其信息的管理，并制定具体办法。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第二十一条 对经抽检并依法认定为不合格商品的，工商行政管理部门应当责令被抽样的经营者立即停止销售；消费者要求退货的，经营者应当负责退货。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工商行政管理部门发现并认定商品存在缺陷，有危及人身、财产安全危险的，应当立即责令经营者采取停止销售、警示等措施，并及时通报商品标称生产者所在地有关行政部门。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第二十二条 实施抽检的工商行政管理部门公布有危及人身、财产安全危险且不符合强制性标准的商品名单后，辖区内经营者应当立即停止销售名单中同一商标的同一规格型号的商品。已经采取措施消除危险，并经法定检验机构检验符合保障人身、财产安全的，可以继续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第二十三条 省级工商行政管理部门应当定期向当地政府和国家工商行政管理总局报送抽检工作分析报告。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第二十四条 工商行政管理部门应当妥善保存抽检相关的文书资料。文书资料保存期限不得少于两年。</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第二十五条 对认定为销售不合格商品的违法行为，工商行政管理部门应当依据相关法律、法规和规章进行查处。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第二十六条 经营者违反本办法第十条规定，拒绝接受工商行政管理部门依法开展的抽检的，依照《产品质量法》第五十六条规定处罚。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第二十七条 经营者违反本办法第十二条规定，私自拆封、毁损备份样品的，处一万元以下罚款。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第二十八条 经营者违反本办法第十四条规定，未在规定期限内提供相关产品标准的，或者提供虚假企业标准以及与抽检商品相关虚假信息的，责令停止销售并处三万元以下罚款。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第二十九条 经营者违反本办法第十六条规定，逾期不改正的，处三万元以下罚款。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第三十条　经营者违反本办法第二十一条规定，拒绝或者拖延工商行政管理部门责令的对缺陷商品采取停止销售、警示等措施的，依据《消费者权益保护法》第五十六条相关规定处罚。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第三十一条 经营者违反本办法第二十二条规定，未停止销售工商行政管理部门公布的有危及人身、财产安全危险且不符合强制性标准商品名单中商品的，责令限期改正，逾期不改正的，按照相关法律法规有关销售不符合保障人身、财产安全要求商品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第三十二条 经营者违反本办法规定，依据《消费者权益保护法》予以处罚的，处罚机关应当将处罚情况记入经营者信用档案，并依法及时向社会公布。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第三十三条 承检机构、复检机构伪造检验报告或者出具虚假、错误检验数据和结论、泄露抽检信息的，通报相关部门依法处理。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第三十四条　工商行政管理执法人员滥用职权、玩忽职守、徇私舞弊的，依法给予行政处分；情节严重构成犯罪的，依法追究刑事责任。</w:t>
      </w:r>
      <w:r>
        <w:rPr>
          <w:rFonts w:hint="default" w:ascii="Arial" w:hAnsi="Arial" w:eastAsia="宋体" w:cs="Arial"/>
          <w:kern w:val="0"/>
          <w:sz w:val="15"/>
          <w:szCs w:val="15"/>
          <w:shd w:val="clear" w:fill="FFFFFF"/>
          <w:lang w:val="en-US" w:eastAsia="zh-CN" w:bidi="ar"/>
        </w:rPr>
        <w:t xml:space="preserve"> [1-2]</w:t>
      </w:r>
      <w:r>
        <w:rPr>
          <w:rFonts w:hint="default" w:ascii="Arial" w:hAnsi="Arial" w:eastAsia="宋体" w:cs="Arial"/>
          <w:color w:val="136EC2"/>
          <w:kern w:val="0"/>
          <w:sz w:val="0"/>
          <w:szCs w:val="0"/>
          <w:u w:val="none"/>
          <w:shd w:val="clear" w:fill="FFFFFF"/>
          <w:lang w:val="en-US" w:eastAsia="zh-CN" w:bidi="ar"/>
        </w:rPr>
        <w:t> </w:t>
      </w:r>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第三十五条　抽检相关文书参考式样由国家工商行政管理总局统一制定。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第三十六条 对采用网络、电视、电话、邮购等方式提供的商品质量抽检参照本办法执行。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第三十七条　本办法由</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"https://baike.baidu.com/item/%E5%9B%BD%E5%AE%B6%E5%B7%A5%E5%95%86%E8%A1%8C%E6%94%BF%E7%AE%A1%E7%90%86%E6%80%BB%E5%B1%80"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国家工商行政管理总局</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第三十八条 本办法自2014年3月15日起施行。</w:t>
      </w:r>
      <w:r>
        <w:rPr>
          <w:rFonts w:hint="default" w:ascii="Arial" w:hAnsi="Arial" w:eastAsia="宋体" w:cs="Arial"/>
          <w:kern w:val="0"/>
          <w:sz w:val="15"/>
          <w:szCs w:val="15"/>
          <w:shd w:val="clear" w:fill="FFFFFF"/>
          <w:lang w:val="en-US" w:eastAsia="zh-CN" w:bidi="ar"/>
        </w:rPr>
        <w:t xml:space="preserve"> </w:t>
      </w:r>
      <w:bookmarkEnd w:id="0"/>
    </w:p>
    <w:p>
      <w:pPr>
        <w:spacing w:line="500" w:lineRule="exact"/>
        <w:ind w:firstLine="460"/>
        <w:rPr>
          <w:rFonts w:hint="eastAsia" w:ascii="宋体" w:hAnsi="宋体"/>
          <w:color w:val="000000"/>
          <w:sz w:val="23"/>
          <w:szCs w:val="23"/>
        </w:rPr>
      </w:pPr>
    </w:p>
    <w:p>
      <w:pPr>
        <w:spacing w:line="500" w:lineRule="exact"/>
        <w:ind w:firstLine="460"/>
        <w:rPr>
          <w:rFonts w:hint="eastAsia" w:ascii="宋体" w:hAnsi="宋体"/>
          <w:color w:val="000000"/>
          <w:sz w:val="23"/>
          <w:szCs w:val="23"/>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535" w:leftChars="0" w:right="0" w:firstLine="0" w:firstLineChars="0"/>
        <w:jc w:val="left"/>
        <w:rPr>
          <w:rFonts w:hint="eastAsia" w:ascii="宋体" w:hAnsi="宋体"/>
          <w:color w:val="000000"/>
          <w:sz w:val="23"/>
          <w:szCs w:val="23"/>
        </w:rPr>
      </w:pPr>
      <w:r>
        <w:rPr>
          <w:rFonts w:hint="eastAsia" w:ascii="宋体" w:hAnsi="宋体"/>
          <w:color w:val="000000"/>
          <w:sz w:val="23"/>
          <w:szCs w:val="23"/>
        </w:rPr>
        <w:t>《农业生产资料市场监督管理办法》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535" w:leftChars="0" w:right="0" w:rightChars="0"/>
        <w:jc w:val="left"/>
        <w:rPr>
          <w:rFonts w:hint="eastAsia"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第一条　为了加强农业生产资料（以下简称农资）市场管理，规范农资市场经营行为，保护经营者和消费者，特别是维护农民的合法权益，保障粮食生产，促进农村改革发展，根据《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"https://baike.baidu.com/item/%E4%BA%A7%E5%93%81%E8%B4%A8%E9%87%8F%E6%B3%95"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产品质量法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"https://baike.baidu.com/item/%E7%A7%8D%E5%AD%90%E6%B3%95"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种子法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》、《农业机械化促进法》、《</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"https://baike.baidu.com/item/%E5%86%9C%E8%8D%AF%E7%AE%A1%E7%90%86%E6%9D%A1%E4%BE%8B" \t "https://baike.baidu.com/item/_blank"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9"/>
          <w:rFonts w:hint="default" w:ascii="Arial" w:hAnsi="Arial" w:eastAsia="宋体" w:cs="Arial"/>
          <w:color w:val="136EC2"/>
          <w:sz w:val="21"/>
          <w:szCs w:val="21"/>
          <w:u w:val="none"/>
          <w:shd w:val="clear" w:fill="FFFFFF"/>
        </w:rPr>
        <w:t>农药管理条例</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》等有关法律、法规，制定本办法</w:t>
      </w:r>
      <w:r>
        <w:rPr>
          <w:rFonts w:hint="default" w:ascii="Arial" w:hAnsi="Arial" w:eastAsia="宋体" w:cs="Arial"/>
          <w:kern w:val="0"/>
          <w:sz w:val="15"/>
          <w:szCs w:val="15"/>
          <w:shd w:val="clear" w:fill="FFFFFF"/>
          <w:lang w:val="en-US" w:eastAsia="zh-CN" w:bidi="ar"/>
        </w:rPr>
        <w:t xml:space="preserve"> [1]</w:t>
      </w:r>
      <w:bookmarkStart w:id="1" w:name="ref_[1]_2840363"/>
      <w:r>
        <w:rPr>
          <w:rFonts w:hint="default" w:ascii="Arial" w:hAnsi="Arial" w:eastAsia="宋体" w:cs="Arial"/>
          <w:color w:val="136EC2"/>
          <w:kern w:val="0"/>
          <w:sz w:val="0"/>
          <w:szCs w:val="0"/>
          <w:u w:val="none"/>
          <w:shd w:val="clear" w:fill="FFFFFF"/>
          <w:lang w:val="en-US" w:eastAsia="zh-CN" w:bidi="ar"/>
        </w:rPr>
        <w:t> </w:t>
      </w:r>
      <w:bookmarkEnd w:id="1"/>
      <w:r>
        <w:rPr>
          <w:rFonts w:hint="default" w:ascii="Arial" w:hAnsi="Arial" w:eastAsia="宋体" w:cs="Arial"/>
          <w:color w:val="333333"/>
          <w:kern w:val="0"/>
          <w:sz w:val="21"/>
          <w:szCs w:val="21"/>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第二条　在中华人民共和国境内的农资经营者和农资交易市场开办者，应当遵守本办法。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第三条　本办法所称农资，是指种子、农药、肥料、农业机械及零配件、农用薄膜等与农业生产密切相关的农业投入品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本办法所称农资经营者，是指从事农资经营的自然人、企业法人和其他经济组织。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第四条　工商行政管理部门负责农资市场的监督管理，依法履行下列职责：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（一）依法监督检查辖区内农资经营者的经营行为，对违法行为进行查处；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（二）依法监督检查辖区内农资的质量，对不合格的农资进行查处；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（三）依法受理并处理辖区内农资消费者的申诉和举报；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（四）依法履行其它农资市场监督管理职责。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第五条　农资经营者和农资交易市场开办者，应当依法向工商行政管理部门申请办理登记，领取营业执照后，方可从事经营活动。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法律、行政法规或者国务院决定规定设立农资经营者和农资交易市场开办者须经批准的，或者申请登记的经营范围中属于法律、行政法规或者国务院决定规定在登记前须经批准的项目的，应当在申请登记前，报经国家有关部门批准，并在登记注册时提交有关批准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第六条　申请从事化肥经营的企业、个体工商户、农民专业合作社，可以直接向工商行政管理部门申请办理登记。企业从事化肥连锁经营的，可以持企业总部的连锁经营相关文件和登记材料，直接到门店所在地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申请从事化肥经营的企业、个体工商户应当有相应的住所、经营场所；企业注册资本（金）、个体工商户的资金数额不得少于3万元人民币。申请在省域范围内设立分支机构、从事化肥经营的企业，企业总部的注册资本（金）不得少于1000万元人民币；申请跨省域设立分支机构、从事化肥经营的企业，企业总部的注册资本（金）不得少于3000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专门经营不再分装的包装种子的，或者受具有种子经营许可证的种子经营者的书面委托为其代销种子的，或者种子经营者按照经营许可证规定的有效区域设立分支机构的，可以直接向工商行政管理部门申请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第七条　农民专业合作社向其成员销售农资的，可以不办理营业执照。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农民个人自繁、自用的常规种子有剩余的，可以在集贸市场上出售、串换，可以不办理种子经营许可证和营业执照。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第八条　农资经营者应当依法从事经营活动，并接受工商行政管理部门的监督管理，不得从事下列经营活动：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（一）依法应当取得营业执照而未取得营业执照或者超出核准的经营范围和期限从事农资经营活动的；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（二）经营国家明令禁止、过期、失效、变质以及其他不合格农资的；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（三）经营标签标识标注内容不符合国家标准，伪造、涂改国家标准规定的标签标识标注内容，侵犯他人注册商标专用权，假冒知名商品特有的名称、包装、装潢或者使用与之近似的名称、包装、装潢的农资的；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（四）利用广告、说明书、标签或者包装标识等形式对农资的质量、制作成分、性能、用途、生产者、适用范围、有效期限和产地等做引人误解的虚假宣传的；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（五）其他违反法律、法规规定的行为。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第九条　农资经营者应当对其经营的农资的产品质量负责，建立健全内部产品质量管理制度，承担以下责任和义务：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（三）农资经营者应当向消费者提供销售凭证，按照国家法律法规规定或者与消费者的约定，承担修理、更换、退货等三包责任和赔偿损失等农资的产品质量责任；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（五）配合工商行政管理部门的监督管理工作；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第十条　农资交易市场开办者应当遵守相关法律、法规，建立并落实农资的产品质量管理制度和责任制度，承担以下责任和义务：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（一）审查入场经营者的经营资格，对无证无照的，不得允许其在市场内经营。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（二）明确告知入场经营者对农资的质量管理责任，以书面形式约定入场经营者建立进货查验、索证索票、进销货台帐、质量承诺、不合格产品下架、退市制度，对种子经营者还应当要求其建立种子经营档案；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（三）建立消费者投诉处理制度，配合有关部门处理消费纠纷；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（四）配合工商行政管理部门的监督管理，发现经营者有本办法第八条所禁止行为的，应当及时制止并报告工商行政管理部门；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第十一条　工商行政管理部门应当建立下列制度，对农资市场实施监督管理：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（一）实行农资经营者信用分类监管制度；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（二）按照属地管理原则，实行农资市场巡查制度；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（三）实行农资市场监管预警制度，根据市场巡查、消费者申诉、举报和查处违法行为记录等情况，向社会公布农资市场监管动态信息，及时发布消费警示；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（四）建立12315消费者申诉举报网络，及时受理和处理农资消费者咨询、申诉和举报。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第十二条　工商行政管理部门监督管理农资市场，依据《行政处罚法》、《产品质量法》、《反不正当竞争法》、《无照经营查处取缔办法》等法律、法规的有关规定，可以行使下列职权：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（一）责令停止相关活动；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（二）向有关的单位和个人调查、了解有关情况；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（三）进入农资经营场所，实施现场检查；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（四）查阅、复制、查封、扣押有关的合同、票据、账簿等资料；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（五）查封、扣押有证据表明危害人体健康和人身、财产安全的或者有其他严重质量问题的农资，以及直接用于销售该农资的原材料、包装物、工具；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（六）法律、法规规定的其他职权。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第十三条　工商行政管理部门应当建立农资市场监管工作责任制度和责任追究制度。工商行政管理部门工作人员不依法履行职责，损害农资经营者、消费者的合法权益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第十四条　农资经营者违反本办法第九条规定的，由工商行政管理部门责令改正，处1000元以上1万元以下的罚款。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第十五条　农资交易市场开办者违反本办法第十条规定，由工商行政管理部门责令改正，处1000元以上1万元以下罚款。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第十六条　违反本办法规定，现行法律、法规和规章有明确规定的，从其规定。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第十七条　本办法由国家工商行政管理总局负责解释。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第十八条　本办法自2009年11月1日起实施。</w:t>
      </w:r>
    </w:p>
    <w:p>
      <w:pPr>
        <w:spacing w:line="500" w:lineRule="exact"/>
        <w:ind w:firstLine="460"/>
        <w:rPr>
          <w:rFonts w:ascii="宋体"/>
          <w:color w:val="000000"/>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6105D"/>
    <w:multiLevelType w:val="singleLevel"/>
    <w:tmpl w:val="AEE6105D"/>
    <w:lvl w:ilvl="0" w:tentative="0">
      <w:start w:val="2"/>
      <w:numFmt w:val="chineseCounting"/>
      <w:suff w:val="nothing"/>
      <w:lvlText w:val="（%1）"/>
      <w:lvlJc w:val="left"/>
      <w:pPr>
        <w:ind w:left="53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3BF36648"/>
    <w:rsid w:val="755A0637"/>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vanish/>
      <w:color w:val="338DE6"/>
      <w:sz w:val="19"/>
      <w:szCs w:val="19"/>
      <w:u w:val="none"/>
    </w:rPr>
  </w:style>
  <w:style w:type="character" w:styleId="5">
    <w:name w:val="FollowedHyperlink"/>
    <w:basedOn w:val="3"/>
    <w:uiPriority w:val="0"/>
    <w:rPr>
      <w:color w:val="338DE6"/>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8DE6"/>
      <w:u w:val="none"/>
    </w:rPr>
  </w:style>
  <w:style w:type="character" w:styleId="10">
    <w:name w:val="HTML Code"/>
    <w:basedOn w:val="3"/>
    <w:uiPriority w:val="0"/>
    <w:rPr>
      <w:rFonts w:ascii="serif" w:hAnsi="serif" w:eastAsia="serif" w:cs="serif"/>
      <w:sz w:val="21"/>
      <w:szCs w:val="21"/>
    </w:rPr>
  </w:style>
  <w:style w:type="character" w:styleId="11">
    <w:name w:val="HTML Cite"/>
    <w:basedOn w:val="3"/>
    <w:uiPriority w:val="0"/>
  </w:style>
  <w:style w:type="character" w:styleId="12">
    <w:name w:val="HTML Keyboard"/>
    <w:basedOn w:val="3"/>
    <w:uiPriority w:val="0"/>
    <w:rPr>
      <w:rFonts w:hint="default" w:ascii="serif" w:hAnsi="serif" w:eastAsia="serif" w:cs="serif"/>
      <w:sz w:val="21"/>
      <w:szCs w:val="21"/>
    </w:rPr>
  </w:style>
  <w:style w:type="character" w:styleId="13">
    <w:name w:val="HTML Sample"/>
    <w:basedOn w:val="3"/>
    <w:uiPriority w:val="0"/>
    <w:rPr>
      <w:rFonts w:hint="default" w:ascii="serif" w:hAnsi="serif" w:eastAsia="serif" w:cs="serif"/>
      <w:sz w:val="21"/>
      <w:szCs w:val="21"/>
    </w:rPr>
  </w:style>
  <w:style w:type="character" w:customStyle="1" w:styleId="14">
    <w:name w:val="fontstrikethrough"/>
    <w:basedOn w:val="3"/>
    <w:uiPriority w:val="0"/>
    <w:rPr>
      <w:strike/>
    </w:rPr>
  </w:style>
  <w:style w:type="character" w:customStyle="1" w:styleId="15">
    <w:name w:val="fontborder"/>
    <w:basedOn w:val="3"/>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