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spacing w:before="0" w:beforeAutospacing="0" w:after="0" w:afterAutospacing="0" w:line="540" w:lineRule="exact"/>
        <w:jc w:val="center"/>
        <w:rPr>
          <w:rFonts w:hint="eastAsia" w:ascii="仿宋_GB2312" w:hAnsi="仿宋" w:eastAsia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color w:val="000000"/>
          <w:sz w:val="36"/>
          <w:szCs w:val="36"/>
          <w:lang w:eastAsia="zh-CN"/>
        </w:rPr>
        <w:t>宜良县市场监督管理局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jc w:val="center"/>
        <w:rPr>
          <w:rFonts w:hint="eastAsia" w:ascii="仿宋_GB2312" w:hAnsi="仿宋" w:eastAsia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color w:val="000000"/>
          <w:sz w:val="36"/>
          <w:szCs w:val="36"/>
          <w:lang w:eastAsia="zh-CN"/>
        </w:rPr>
        <w:t>关于开展能源计量监督检查工作计划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为全面贯彻落实《昆明市人民政府关于贯彻落实国务院计量发展规划（2013-2020年）的实施意见》（昆政发〔2017〕11号）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和《昆明市市场监督管理局关于开展重点用能单位（一级）能源资源计量器具配置和达标检查的通知》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精神，进一步推动重点用能单位（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一级）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能源资源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计量器具配置和达标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工作，提高节能效率，开展全市重点用能单位开展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能源一级计量器具配置和达标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检查工作。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一、检查依据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1.《中华人民共和国计量法》、《中华人民共和国计量法实施细则》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2.《云南省用能和排污计量监督管理办法》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3.《能源计量监督管理办法》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left="638" w:leftChars="30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4.《用能单位能源计量器具配备和管理通则》（GB17167）5.《重点用能单位能源计量审查规范》（JJF1356）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二、检查内容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对重点用能单位的进出用能单位（一级）能源资源计量器具开展检查。具体内容包括用能单位能源计量器具的识别，配备的能源计量器具是否满足能源分类、分级、分项的计量要求，能源计量器具的配备和检定（校准）情况；指导和帮助企业建立进出用能单位（一级）能源资源计量器具台账，完善全市进出用能单位（一级）能源资源计量器具台账；对能源资源计量器具配备的符合性、技术性进行分析研判。二是讲授能源计量管理业务知识、法律法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、检查比例和频次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，监督检查的频次和抽查比例如下：监督检查每年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%，经随机抽取。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、有关要求</w:t>
      </w: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（一）重点用能单位能源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一级计量器具配置和达标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工作是节能减排的重要基础性工作，各重点用能企业要高度重视，加强与云南省计量院的联系，严格遵守有关法律、法规和技术规范，切实把能源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一级计量器具配置和达标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工作落到实处。</w:t>
      </w:r>
    </w:p>
    <w:p>
      <w:pPr>
        <w:pStyle w:val="6"/>
        <w:autoSpaceDE w:val="0"/>
        <w:spacing w:line="5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（二）对检查中发现的问题，辖区监管单位要严格依据《中华人民共和国计量法》及其《中华人民共和国计量法实施细则》、《能源计量监督管理办法》等法律法规进行处罚。</w:t>
      </w:r>
    </w:p>
    <w:p>
      <w:pPr>
        <w:pStyle w:val="8"/>
        <w:widowControl w:val="0"/>
        <w:autoSpaceDE w:val="0"/>
        <w:spacing w:line="540" w:lineRule="exact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widowControl/>
        <w:autoSpaceDE w:val="0"/>
        <w:spacing w:before="0" w:beforeAutospacing="0" w:after="0" w:afterAutospacing="0" w:line="54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4262"/>
    <w:rsid w:val="708C2341"/>
    <w:rsid w:val="7D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basedOn w:val="3"/>
    <w:uiPriority w:val="0"/>
    <w:rPr>
      <w:rFonts w:ascii="Times New Roman" w:hAnsi="Times New Roman" w:cs="Times New Roman"/>
    </w:rPr>
  </w:style>
  <w:style w:type="paragraph" w:customStyle="1" w:styleId="7">
    <w:name w:val="正文_1"/>
    <w:basedOn w:val="3"/>
    <w:uiPriority w:val="0"/>
    <w:rPr>
      <w:rFonts w:ascii="Times New Roman" w:hAnsi="Times New Roman" w:cs="宋体"/>
    </w:rPr>
  </w:style>
  <w:style w:type="paragraph" w:customStyle="1" w:styleId="8">
    <w:name w:val="p15"/>
    <w:basedOn w:val="3"/>
    <w:uiPriority w:val="0"/>
    <w:pPr>
      <w:widowControl/>
    </w:pPr>
    <w:rPr>
      <w:rFonts w:ascii="宋体" w:hAnsi="宋体" w:cs="宋体"/>
    </w:rPr>
  </w:style>
  <w:style w:type="character" w:customStyle="1" w:styleId="9">
    <w:name w:val="公文签发日期"/>
    <w:uiPriority w:val="0"/>
    <w:rPr>
      <w:rFonts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2019-08-13T03:30:00Z</dcterms:created>
  <dc:creator>Jinchy</dc:creator>
  <cp:lastModifiedBy>Jinchy</cp:lastModifiedBy>
  <dcterms:modified xsi:type="dcterms:W3CDTF">2019-08-29T02:37:10Z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